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Plan de Formación y Desarrollo del Talento – Ejercicio 2025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Dirección de Recursos Humanos – Manufacturas Levante S.A.</w:t>
      </w:r>
    </w:p>
    <w:p>
      <w:pPr>
        <w:pStyle w:val="Heading1"/>
        <w:spacing w:after="150" w:before="300"/>
      </w:pPr>
      <w:r>
        <w:t xml:space="preserve">Diagnóstico de Necesidades Formativas</w:t>
      </w:r>
    </w:p>
    <w:p>
      <w:pPr>
        <w:spacing w:after="160"/>
        <w:jc w:val="both"/>
      </w:pPr>
      <w:r>
        <w:rPr>
          <w:sz w:val="22"/>
          <w:szCs w:val="22"/>
        </w:rPr>
        <w:t xml:space="preserve">El diagnóstico de necesidades formativas para el ejercicio 2025 se ha realizado mediante la combinación de tres metodologías: evaluación del desempeño anual 2024 (con participación del 94% de la plantilla), encuesta de autopercepción de competencias a todos los empleados, y entrevistas estructuradas con los 18 responsables de departamento.</w:t>
      </w:r>
    </w:p>
    <w:p>
      <w:pPr>
        <w:spacing w:after="160"/>
        <w:jc w:val="both"/>
      </w:pPr>
      <w:r>
        <w:rPr>
          <w:sz w:val="22"/>
          <w:szCs w:val="22"/>
        </w:rPr>
        <w:t xml:space="preserve">Los resultados del análisis identifican cinco áreas de brecha competencial prioritaria: competencias digitales básicas y avanzadas (afecta al 67% de la plantilla de administración y producción), inglés profesional (requerimiento crítico para la nueva estrategia de exportación), gestión de equipos y liderazgo situacional (directivos intermedios), metodologías ágiles (equipos de proyecto e IT), y prevención de riesgos laborales y emergencias.</w:t>
      </w:r>
    </w:p>
    <w:p>
      <w:pPr>
        <w:pStyle w:val="Heading1"/>
        <w:spacing w:after="150" w:before="300"/>
      </w:pPr>
      <w:r>
        <w:t xml:space="preserve">Programas y Acciones Formativas</w:t>
      </w:r>
    </w:p>
    <w:p>
      <w:pPr>
        <w:spacing w:after="160"/>
        <w:jc w:val="both"/>
      </w:pPr>
      <w:r>
        <w:rPr>
          <w:sz w:val="22"/>
          <w:szCs w:val="22"/>
        </w:rPr>
        <w:t xml:space="preserve">El plan contempla 47 acciones formativas distribuidas en cuatro modalidades: formación presencial (23%), formación online asíncrona a través de la plataforma LMS corporativa (41%), formación blended (28%) y talleres de transferencia al puesto (8%).</w:t>
      </w:r>
    </w:p>
    <w:p>
      <w:pPr>
        <w:spacing w:after="160"/>
        <w:jc w:val="both"/>
      </w:pPr>
      <w:r>
        <w:rPr>
          <w:sz w:val="22"/>
          <w:szCs w:val="22"/>
        </w:rPr>
        <w:t xml:space="preserve">Las acciones de mayor impacto y prioridad son el Programa de Transformación Digital (120 horas, 85 participantes, modalidad blended), el Curso de Inglés Profesional B1-B2 (80 horas, 34 participantes), el Programa de Desarrollo de Liderazgo para Mandos Intermedios (48 horas, 22 participantes) y las Jornadas de Metodología Lean Manufacturing (16 horas, 140 participantes de planta).</w:t>
      </w:r>
    </w:p>
    <w:p>
      <w:pPr>
        <w:pStyle w:val="Heading1"/>
        <w:spacing w:after="150" w:before="300"/>
      </w:pPr>
      <w:r>
        <w:t xml:space="preserve">Presupuesto y Evaluación</w:t>
      </w:r>
    </w:p>
    <w:p>
      <w:pPr>
        <w:spacing w:after="160"/>
        <w:jc w:val="both"/>
      </w:pPr>
      <w:r>
        <w:rPr>
          <w:sz w:val="22"/>
          <w:szCs w:val="22"/>
        </w:rPr>
        <w:t xml:space="preserve">El presupuesto total del Plan de Formación 2025 asciende a 187.000 euros, de los que se prevé recuperar mediante bonificaciones de la Fundae un máximo de 43.500 euros, resultando un coste neto de 143.500 euros, un 8,3% superior al del ejercicio anterior motivado fundamentalmente por la incorporación del programa de transformación digital.</w:t>
      </w:r>
    </w:p>
    <w:p>
      <w:pPr>
        <w:spacing w:after="160"/>
        <w:jc w:val="both"/>
      </w:pPr>
      <w:r>
        <w:rPr>
          <w:sz w:val="22"/>
          <w:szCs w:val="22"/>
        </w:rPr>
        <w:t xml:space="preserve">La evaluación del impacto formativo seguirá el modelo de Kirkpatrick de cuatro niveles (reacción, aprendizaje, transferencia e impacto en resultados), con medición específica para las acciones estratégicas y evaluación simplificada de satisfacción para el resto.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Formación y Desarrollo del Talento – Ejercicio 2025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2026-03-27T06:41:22.152Z</dcterms:created>
  <dcterms:modified xsi:type="dcterms:W3CDTF">2026-03-27T06:41:22.152Z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