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Estrategia de Expansión Internacional – Mercados LATAM 2024-2026</w:t>
      </w:r>
    </w:p>
    <w:p>
      <w:pPr>
        <w:spacing w:after="400"/>
      </w:pPr>
      <w:r>
        <w:rPr>
          <w:i/>
          <w:iCs/>
          <w:color w:val="666666"/>
          <w:sz w:val="18"/>
          <w:szCs w:val="18"/>
        </w:rPr>
        <w:t xml:space="preserve">Dirección General – TECNO RIEGO MEDITERRÁNEO S.A.</w:t>
      </w:r>
    </w:p>
    <w:p>
      <w:pPr>
        <w:pStyle w:val="Heading1"/>
        <w:spacing w:after="140" w:before="280"/>
      </w:pPr>
      <w:r>
        <w:t xml:space="preserve">Diagnóstico y Motivación de la Expansión</w:t>
      </w:r>
    </w:p>
    <w:p>
      <w:pPr>
        <w:spacing w:after="160"/>
        <w:jc w:val="both"/>
      </w:pPr>
      <w:r>
        <w:rPr>
          <w:sz w:val="22"/>
          <w:szCs w:val="22"/>
        </w:rPr>
        <w:t xml:space="preserve">TECNO RIEGO MEDITERRÁNEO S.A., empresa líder en la fabricación de sistemas de riego localizado de alta eficiencia con sede en Orihuela (Alicante), ha consolidado en los últimos cinco años una posición de referencia en el mercado español con una cuota estimada del 18% y en los mercados del norte de África (Marruecos, Argelia, Túnez) donde opera a través de distribuidores locales.</w:t>
      </w:r>
    </w:p>
    <w:p>
      <w:pPr>
        <w:spacing w:after="160"/>
        <w:jc w:val="both"/>
      </w:pPr>
      <w:r>
        <w:rPr>
          <w:sz w:val="22"/>
          <w:szCs w:val="22"/>
        </w:rPr>
        <w:t xml:space="preserve">El crecimiento del mercado español se está moderando hacia tasas del 4-6% anual, condicionado por la saturación del segmento de clientes grandes y la madurez tecnológica del sector. La dirección de la empresa ha identificado en los mercados de América Latina, especialmente México, Chile y Colombia, una oportunidad de crecimiento de primer orden dada la combinación de condiciones agroclimáticas similares a las del mediterráneo español, inversión pública creciente en infraestructuras de riego, y una demanda creciente de tecnología de precisión agrícola.</w:t>
      </w:r>
    </w:p>
    <w:p>
      <w:pPr>
        <w:pStyle w:val="Heading1"/>
        <w:spacing w:after="140" w:before="280"/>
      </w:pPr>
      <w:r>
        <w:t xml:space="preserve">Mercados Objetivo y Estrategia de Entrada</w:t>
      </w:r>
    </w:p>
    <w:p>
      <w:pPr>
        <w:spacing w:after="160"/>
        <w:jc w:val="both"/>
      </w:pPr>
      <w:r>
        <w:rPr>
          <w:sz w:val="22"/>
          <w:szCs w:val="22"/>
        </w:rPr>
        <w:t xml:space="preserve">México es el mercado prioritario: es el mayor mercado agrícola de la región, el sector hortofrutícola de exportación (principalmente tomate, aguacate y berries) tiene una demanda demostrada de tecnología de riego de alta calidad, y la presencia de una comunidad empresarial de origen español facilita los primeros contactos. La estrategia de entrada será mediante la apertura de una filial comercial en Culiacán (centro del agro exportador del noroeste mexicano) con un gerente de ventas y un técnico de aplicaciones locales.</w:t>
      </w:r>
    </w:p>
    <w:p>
      <w:pPr>
        <w:spacing w:after="160"/>
        <w:jc w:val="both"/>
      </w:pPr>
      <w:r>
        <w:rPr>
          <w:sz w:val="22"/>
          <w:szCs w:val="22"/>
        </w:rPr>
        <w:t xml:space="preserve">Chile y Colombia se abordarán en una segunda fase (2025-2026) mediante distribuidores exclusivos en cada país, seleccionados a través de un proceso de due diligence que evalúe su red de relaciones con los grandes productores agrícolas, su capacidad técnica y su solidez financiera.</w:t>
      </w:r>
    </w:p>
    <w:p>
      <w:pPr>
        <w:pStyle w:val="Heading1"/>
        <w:spacing w:after="140" w:before="280"/>
      </w:pPr>
      <w:r>
        <w:t xml:space="preserve">Inversión y Proyecciones Financieras</w:t>
      </w:r>
    </w:p>
    <w:p>
      <w:pPr>
        <w:spacing w:after="160"/>
        <w:jc w:val="both"/>
      </w:pPr>
      <w:r>
        <w:rPr>
          <w:sz w:val="22"/>
          <w:szCs w:val="22"/>
        </w:rPr>
        <w:t xml:space="preserve">La inversión total prevista para la primera fase de expansión (México, 2024) asciende a 480.000 euros, distribuidos entre la constitución de la filial y gastos legales (45.000 €), instalación de la oficina y almacén técnico en Culiacán (120.000 €), contratación y formación del equipo local (180.000 € para el primer año, incluyendo sueldos y viajes de formación), y presupuesto de marketing y desarrollo de negocio (135.000 €).</w:t>
      </w:r>
    </w:p>
    <w:p>
      <w:pPr>
        <w:spacing w:after="160"/>
        <w:jc w:val="both"/>
      </w:pPr>
      <w:r>
        <w:rPr>
          <w:sz w:val="22"/>
          <w:szCs w:val="22"/>
        </w:rPr>
        <w:t xml:space="preserve">Las proyecciones de ventas para México contemplan 1,2 millones de euros en el primer año de operación (2024), 3,4 millones en 2025 y 6,8 millones en 2026, alcanzando el punto de equilibrio de la filial en el segundo año. El retorno de la inversión total del proyecto LATAM se estima en 4,2 años.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 de Expansión Internacional – Mercados LATAM 2024-2026</dc:title>
  <dc:creator>Claude AI - Anthropic</dc:creator>
  <dc:description>Documento generado por Claude (Anthropic AI) para testing ScanIt</dc:description>
  <cp:lastModifiedBy>Un-named</cp:lastModifiedBy>
  <cp:revision>1</cp:revision>
  <dcterms:created xsi:type="dcterms:W3CDTF">2026-03-27T13:26:13.719Z</dcterms:created>
  <dcterms:modified xsi:type="dcterms:W3CDTF">2026-03-27T13:26:13.719Z</dcterms:modified>
</cp:coreProperties>
</file>

<file path=docProps/custom.xml><?xml version="1.0" encoding="utf-8"?>
<Properties xmlns="http://schemas.openxmlformats.org/officeDocument/2006/custom-properties" xmlns:vt="http://schemas.openxmlformats.org/officeDocument/2006/docPropsVTypes"/>
</file>