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Estudio de Demanda de Movilidad Urbana Sostenible – Ciudad de Alicante</w:t>
      </w:r>
    </w:p>
    <w:p>
      <w:pPr>
        <w:spacing w:after="400"/>
      </w:pPr>
      <w:r>
        <w:rPr>
          <w:i/>
          <w:iCs/>
          <w:color w:val="666666"/>
          <w:sz w:val="18"/>
          <w:szCs w:val="18"/>
        </w:rPr>
        <w:t xml:space="preserve">Área de Urbanismo y Movilidad – Ayuntamiento de Alicante</w:t>
      </w:r>
    </w:p>
    <w:p>
      <w:pPr>
        <w:pStyle w:val="Heading1"/>
        <w:spacing w:after="140" w:before="280"/>
      </w:pPr>
      <w:r>
        <w:t xml:space="preserve">Objetivos y Metodología</w:t>
      </w:r>
    </w:p>
    <w:p>
      <w:pPr>
        <w:spacing w:after="160"/>
        <w:jc w:val="both"/>
      </w:pPr>
      <w:r>
        <w:rPr>
          <w:sz w:val="22"/>
          <w:szCs w:val="22"/>
        </w:rPr>
        <w:t xml:space="preserve">El presente estudio tiene por objeto analizar los patrones de movilidad de los residentes en el municipio de Alicante, con especial atención a las oportunidades de transferencia modal del vehículo privado hacia modos más sostenibles (transporte público, bicicleta y desplazamientos a pie), en el marco de la elaboración del Plan de Movilidad Urbana Sostenible (PMUS) de Alicante 2024-2030.</w:t>
      </w:r>
    </w:p>
    <w:p>
      <w:pPr>
        <w:spacing w:after="160"/>
        <w:jc w:val="both"/>
      </w:pPr>
      <w:r>
        <w:rPr>
          <w:sz w:val="22"/>
          <w:szCs w:val="22"/>
        </w:rPr>
        <w:t xml:space="preserve">La recogida de información se ha realizado mediante tres instrumentos complementarios: encuesta domiciliaria de movilidad a 3.200 hogares seleccionados por muestreo estratificado por barrios y zonas de la ciudad (tasa de respuesta del 67%), conteos de tráfico en los 45 puntos de la red viaria identificados como críticos para la comprensión de los flujos de movilidad, y análisis de datos de telefonía móvil anonimizados cedidos por los operadores para la reconstrucción de los patrones de desplazamiento a escala de hora y día de la semana.</w:t>
      </w:r>
    </w:p>
    <w:p>
      <w:pPr>
        <w:pStyle w:val="Heading1"/>
        <w:spacing w:after="140" w:before="280"/>
      </w:pPr>
      <w:r>
        <w:t xml:space="preserve">Principales Hallazgos</w:t>
      </w:r>
    </w:p>
    <w:p>
      <w:pPr>
        <w:spacing w:after="160"/>
        <w:jc w:val="both"/>
      </w:pPr>
      <w:r>
        <w:rPr>
          <w:sz w:val="22"/>
          <w:szCs w:val="22"/>
        </w:rPr>
        <w:t xml:space="preserve">Los resultados de la encuesta revelan que el 58% de los desplazamientos diarios en el municipio se realizan en vehículo privado (un punto porcentual menos que en el estudio de 2019), el 22% a pie, el 13% en transporte público (autobús urbano TAM y TRAM) y el 7% restante en otros modos (bicicleta, taxi, VTC). La cuota modal del automóvil privado es significativamente más elevada en los barrios periféricos de nueva construcción (72-78%) que en el centro histórico y los barrios consolidados (42-48%).</w:t>
      </w:r>
    </w:p>
    <w:p>
      <w:pPr>
        <w:spacing w:after="160"/>
        <w:jc w:val="both"/>
      </w:pPr>
      <w:r>
        <w:rPr>
          <w:sz w:val="22"/>
          <w:szCs w:val="22"/>
        </w:rPr>
        <w:t xml:space="preserve">La principal barrera para el uso del transporte público identificada por los encuestados es la frecuencia y la fiabilidad del servicio (citada por el 63% de los no usuarios del transporte público como principal motivo de no uso), seguida de la insuficiente cobertura de los barrios periféricos (47%) y el tiempo de desplazamiento superior al del vehículo privado (41%).</w:t>
      </w:r>
    </w:p>
    <w:p>
      <w:pPr>
        <w:pStyle w:val="Heading1"/>
        <w:spacing w:after="140" w:before="280"/>
      </w:pPr>
      <w:r>
        <w:t xml:space="preserve">Propuestas de Actuación</w:t>
      </w:r>
    </w:p>
    <w:p>
      <w:pPr>
        <w:spacing w:after="160"/>
        <w:jc w:val="both"/>
      </w:pPr>
      <w:r>
        <w:rPr>
          <w:sz w:val="22"/>
          <w:szCs w:val="22"/>
        </w:rPr>
        <w:t xml:space="preserve">Las propuestas de actuación prioritarias del estudio para mejorar la cuota modal de los modos sostenibles son: ampliación de la red de carriles bici en continuidad con las líneas de deseo identificadas (especialmente los corredores Centro-Campus Universitario, Centro-MARQ y los barrios del norte de la ciudad), mejora de la frecuencia de las líneas de autobús urbano en horas punta hasta un mínimo de 10 minutos en las líneas principales, implantación de un sistema de bicicleta pública compartida de cuarta generación con estaciones en los principales polos generadores y atractores de viajes, y creación de una zona de bajas emisiones en el centro histórico con restricciones progresivas al tráfico privado.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Demanda de Movilidad Urbana Sostenible – Ciudad de Alicante</dc:title>
  <dc:creator>Claude AI - Anthropic</dc:creator>
  <dc:description>Documento generado por Claude (Anthropic AI) para testing ScanIt</dc:description>
  <cp:lastModifiedBy>Un-named</cp:lastModifiedBy>
  <cp:revision>1</cp:revision>
  <dcterms:created xsi:type="dcterms:W3CDTF">2026-03-27T13:26:13.652Z</dcterms:created>
  <dcterms:modified xsi:type="dcterms:W3CDTF">2026-03-27T13:26:13.652Z</dcterms:modified>
</cp:coreProperties>
</file>

<file path=docProps/custom.xml><?xml version="1.0" encoding="utf-8"?>
<Properties xmlns="http://schemas.openxmlformats.org/officeDocument/2006/custom-properties" xmlns:vt="http://schemas.openxmlformats.org/officeDocument/2006/docPropsVTypes"/>
</file>