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Guía para la Tramitación de Licencias de Obras y Actividades</w:t>
      </w:r>
    </w:p>
    <w:p>
      <w:pPr>
        <w:spacing w:after="400"/>
      </w:pPr>
      <w:r>
        <w:rPr>
          <w:i/>
          <w:iCs/>
          <w:color w:val="666666"/>
          <w:sz w:val="18"/>
          <w:szCs w:val="18"/>
        </w:rPr>
        <w:t xml:space="preserve">Oficina Técnica – Ayuntamiento de Benidorm</w:t>
      </w:r>
    </w:p>
    <w:p>
      <w:pPr>
        <w:pStyle w:val="Heading1"/>
        <w:spacing w:after="140" w:before="280"/>
      </w:pPr>
      <w:r>
        <w:t xml:space="preserve">Tipos de Licencia y Comunicaciones</w:t>
      </w:r>
    </w:p>
    <w:p>
      <w:pPr>
        <w:spacing w:after="160"/>
        <w:jc w:val="both"/>
      </w:pPr>
      <w:r>
        <w:rPr>
          <w:sz w:val="22"/>
          <w:szCs w:val="22"/>
        </w:rPr>
        <w:t xml:space="preserve">El Ayuntamiento de Benidorm distingue los siguientes procedimientos de control urbanístico en función de la naturaleza y el alcance de las obras o actividades: Licencia de Obra Mayor (obras de nueva planta, ampliaciones, rehabilitaciones estructurales, cambios de uso de edificios), Licencia de Obra Menor (obras de reforma sin alteración estructural, cambio de acabados, instalaciones en edificios existentes), Comunicación Previa (obras de escasa entidad como reparaciones de cubierta, solados y alicatados en zonas no protegidas, pintura de fachadas), Licencia de Apertura y Actividad (establecimientos que desarrollan actividades clasificadas o con acceso al público), y Declaración Responsable de Actividad Inocua (actividades de bajo impacto ambiental y sanitario en establecimientos de menos de 250 m²).</w:t>
      </w:r>
    </w:p>
    <w:p>
      <w:pPr>
        <w:pStyle w:val="Heading1"/>
        <w:spacing w:after="140" w:before="280"/>
      </w:pPr>
      <w:r>
        <w:t xml:space="preserve">Documentación Requerida para Obra Mayor</w:t>
      </w:r>
    </w:p>
    <w:p>
      <w:pPr>
        <w:spacing w:after="160"/>
        <w:jc w:val="both"/>
      </w:pPr>
      <w:r>
        <w:rPr>
          <w:sz w:val="22"/>
          <w:szCs w:val="22"/>
        </w:rPr>
        <w:t xml:space="preserve">La solicitud de licencia de obra mayor debe presentarse en el Registro General del Ayuntamiento o por sede electrónica, acompañada de la siguiente documentación: impreso de solicitud normalizado (disponible en la web municipal), proyecto técnico completo visado por el colegio profesional correspondiente (arquitecto para edificación, ingeniero para instalaciones industriales), estudio de gestión de residuos de construcción y demolición, estudio de seguridad y salud o estudio básico según proceda, presupuesto de ejecución material (base para la liquidación del ICIO), copia del recibo del Impuesto sobre Bienes Inmuebles del solar o del inmueble, y acreditación de la representación cuando el solicitante actúe en nombre de tercero.</w:t>
      </w:r>
    </w:p>
    <w:p>
      <w:pPr>
        <w:spacing w:after="160"/>
        <w:jc w:val="both"/>
      </w:pPr>
      <w:r>
        <w:rPr>
          <w:sz w:val="22"/>
          <w:szCs w:val="22"/>
        </w:rPr>
        <w:t xml:space="preserve">La documentación debe presentarse en formato digital (PDF/A) a través de la sede electrónica del Ayuntamiento, con firma electrónica del solicitante y del técnico redactor del proyecto.</w:t>
      </w:r>
    </w:p>
    <w:p>
      <w:pPr>
        <w:pStyle w:val="Heading1"/>
        <w:spacing w:after="140" w:before="280"/>
      </w:pPr>
      <w:r>
        <w:t xml:space="preserve">Plazos y Tasas</w:t>
      </w:r>
    </w:p>
    <w:p>
      <w:pPr>
        <w:spacing w:after="160"/>
        <w:jc w:val="both"/>
      </w:pPr>
      <w:r>
        <w:rPr>
          <w:sz w:val="22"/>
          <w:szCs w:val="22"/>
        </w:rPr>
        <w:t xml:space="preserve">El plazo máximo de resolución de la solicitud de licencia de obra mayor es de TRES MESES desde la fecha de presentación de la documentación completa, según lo establecido en la legislación urbanística valenciana. Transcurrido este plazo sin resolución expresa, la solicitud se entenderá estimada por silencio administrativo positivo, salvo en los supuestos que el planeamiento municipal exceptúe expresamente.</w:t>
      </w:r>
    </w:p>
    <w:p>
      <w:pPr>
        <w:spacing w:after="160"/>
        <w:jc w:val="both"/>
      </w:pPr>
      <w:r>
        <w:rPr>
          <w:sz w:val="22"/>
          <w:szCs w:val="22"/>
        </w:rPr>
        <w:t xml:space="preserve">Las tasas municipales de tramitación se calculan aplicando el 0,8% sobre el presupuesto de ejecución material visado del proyecto, con un mínimo de 180 euros por expediente. El Impuesto sobre Construcciones, Instalaciones y Obras (ICIO) se liquida al tipo del 3,5% sobre el presupuesto de ejecución material, conforme a la Ordenanza Fiscal Municipal vigente. Ambas liquidaciones se notifican junto con la resolución de la licencia.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para la Tramitación de Licencias de Obras y Actividades</dc:title>
  <dc:creator>Claude AI - Anthropic</dc:creator>
  <dc:description>Documento generado por Claude (Anthropic AI) para testing ScanIt</dc:description>
  <cp:lastModifiedBy>Un-named</cp:lastModifiedBy>
  <cp:revision>1</cp:revision>
  <dcterms:created xsi:type="dcterms:W3CDTF">2026-03-27T13:26:13.748Z</dcterms:created>
  <dcterms:modified xsi:type="dcterms:W3CDTF">2026-03-27T13:26:13.748Z</dcterms:modified>
</cp:coreProperties>
</file>

<file path=docProps/custom.xml><?xml version="1.0" encoding="utf-8"?>
<Properties xmlns="http://schemas.openxmlformats.org/officeDocument/2006/custom-properties" xmlns:vt="http://schemas.openxmlformats.org/officeDocument/2006/docPropsVTypes"/>
</file>