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Guía de Uso Responsable de Herramientas de IA Generativa en la Empresa</w:t>
      </w:r>
    </w:p>
    <w:p>
      <w:pPr>
        <w:spacing w:after="400"/>
      </w:pPr>
      <w:r>
        <w:rPr>
          <w:i/>
          <w:iCs/>
          <w:color w:val="666666"/>
          <w:sz w:val="18"/>
          <w:szCs w:val="18"/>
        </w:rPr>
        <w:t xml:space="preserve">Comité de Transformación Digital – CONSULTORES ASOCIADOS MEDITERRÁNEO S.L.</w:t>
      </w:r>
    </w:p>
    <w:p>
      <w:pPr>
        <w:pStyle w:val="Heading1"/>
        <w:spacing w:after="140" w:before="280"/>
      </w:pPr>
      <w:r>
        <w:t xml:space="preserve">Contexto y Propósito de la Guía</w:t>
      </w:r>
    </w:p>
    <w:p>
      <w:pPr>
        <w:spacing w:after="160"/>
        <w:jc w:val="both"/>
      </w:pPr>
      <w:r>
        <w:rPr>
          <w:sz w:val="22"/>
          <w:szCs w:val="22"/>
        </w:rPr>
        <w:t xml:space="preserve">La rápida adopción de herramientas de inteligencia artificial generativa (ChatGPT, Claude, Copilot, Gemini y similares) por parte de empleados de todos los niveles y departamentos de nuestra organización hace necesario establecer un marco de uso que permita aprovechar las oportunidades de productividad que estas herramientas ofrecen, al tiempo que se minimizan los riesgos legales, éticos y reputacionales que su uso inadecuado puede generar.</w:t>
      </w:r>
    </w:p>
    <w:p>
      <w:pPr>
        <w:spacing w:after="160"/>
        <w:jc w:val="both"/>
      </w:pPr>
      <w:r>
        <w:rPr>
          <w:sz w:val="22"/>
          <w:szCs w:val="22"/>
        </w:rPr>
        <w:t xml:space="preserve">Esta guía no pretende prohibir ni limitar innecesariamente el uso de estas herramientas, que ya forman parte de la realidad cotidiana del trabajo de muchos de nuestros profesionales. Pretende establecer unas pautas claras de uso responsable que protejan a la empresa y a sus clientes, y que garanticen la calidad y la autoría de los entregables que producimos.</w:t>
      </w:r>
    </w:p>
    <w:p>
      <w:pPr>
        <w:pStyle w:val="Heading1"/>
        <w:spacing w:after="140" w:before="280"/>
      </w:pPr>
      <w:r>
        <w:t xml:space="preserve">Usos Permitidos y Recomendados</w:t>
      </w:r>
    </w:p>
    <w:p>
      <w:pPr>
        <w:spacing w:after="160"/>
        <w:jc w:val="both"/>
      </w:pPr>
      <w:r>
        <w:rPr>
          <w:sz w:val="22"/>
          <w:szCs w:val="22"/>
        </w:rPr>
        <w:t xml:space="preserve">Los usos de la IA generativa que consideramos claramente beneficiosos y que fomentamos activamente son: asistencia en la redacción de borradores de documentos internos (que deben ser siempre revisados y validados por un profesional antes de su uso); resumen y síntesis de documentación larga; generación de ideas y brainstorming; asistencia en la corrección gramatical y de estilo; traducción de textos; y generación de código de programación para tareas de automatización interna (con revisión del departamento técnico).</w:t>
      </w:r>
    </w:p>
    <w:p>
      <w:pPr>
        <w:spacing w:after="160"/>
        <w:jc w:val="both"/>
      </w:pPr>
      <w:r>
        <w:rPr>
          <w:sz w:val="22"/>
          <w:szCs w:val="22"/>
        </w:rPr>
        <w:t xml:space="preserve">En todos los casos, el profesional que utiliza la herramienta es el responsable del resultado final. La IA es una herramienta de asistencia, no un sustituto del criterio profesional.</w:t>
      </w:r>
    </w:p>
    <w:p>
      <w:pPr>
        <w:pStyle w:val="Heading1"/>
        <w:spacing w:after="140" w:before="280"/>
      </w:pPr>
      <w:r>
        <w:t xml:space="preserve">Usos Prohibidos y Datos Sensibles</w:t>
      </w:r>
    </w:p>
    <w:p>
      <w:pPr>
        <w:spacing w:after="160"/>
        <w:jc w:val="both"/>
      </w:pPr>
      <w:r>
        <w:rPr>
          <w:sz w:val="22"/>
          <w:szCs w:val="22"/>
        </w:rPr>
        <w:t xml:space="preserve">Queda expresamente prohibido: introducir en herramientas de IA públicas datos personales de clientes, datos financieros confidenciales, secretos comerciales o cualquier información sujeta a NDA o a obligaciones de confidencialidad; utilizar la IA para producir entregables para clientes sin revisión y validación humana explícita; presentar como propio trabajo generado íntegramente por IA sin valor añadido profesional; y utilizar herramientas de IA no aprobadas por el departamento de sistemas para tareas que impliquen información corporativa sensible.</w:t>
      </w:r>
    </w:p>
    <w:p>
      <w:pPr>
        <w:spacing w:after="160"/>
        <w:jc w:val="both"/>
      </w:pPr>
      <w:r>
        <w:rPr>
          <w:sz w:val="22"/>
          <w:szCs w:val="22"/>
        </w:rPr>
        <w:t xml:space="preserve">Para el trabajo con información confidencial, el departamento de sistemas está habilitando acceso a versiones enterprise de las principales herramientas, que garantizan que los datos introducidos no se utilizan para el entrenamiento de los modelos y permanecen dentro del perímetro de seguridad corporativo.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Uso Responsable de Herramientas de IA Generativa en la Empresa</dc:title>
  <dc:creator>Claude AI - Anthropic</dc:creator>
  <dc:description>Documento generado por Claude (Anthropic AI) para testing ScanIt</dc:description>
  <cp:lastModifiedBy>Un-named</cp:lastModifiedBy>
  <cp:revision>1</cp:revision>
  <dcterms:created xsi:type="dcterms:W3CDTF">2026-03-27T13:26:13.610Z</dcterms:created>
  <dcterms:modified xsi:type="dcterms:W3CDTF">2026-03-27T13:26:13.610Z</dcterms:modified>
</cp:coreProperties>
</file>

<file path=docProps/custom.xml><?xml version="1.0" encoding="utf-8"?>
<Properties xmlns="http://schemas.openxmlformats.org/officeDocument/2006/custom-properties" xmlns:vt="http://schemas.openxmlformats.org/officeDocument/2006/docPropsVTypes"/>
</file>