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Informe de Auditoría Interna – Revisión de Procesos Financieros</w:t>
      </w:r>
    </w:p>
    <w:p>
      <w:pPr>
        <w:spacing w:after="400"/>
      </w:pPr>
      <w:r>
        <w:rPr>
          <w:i/>
          <w:iCs/>
          <w:color w:val="666666"/>
          <w:sz w:val="18"/>
          <w:szCs w:val="18"/>
        </w:rPr>
        <w:t xml:space="preserve">Unidad de Auditoría Interna – FINANCIERA DEL MEDITERRÁNEO S.A.</w:t>
      </w:r>
    </w:p>
    <w:p>
      <w:pPr>
        <w:pStyle w:val="Heading1"/>
        <w:spacing w:after="140" w:before="280"/>
      </w:pPr>
      <w:r>
        <w:t xml:space="preserve">Alcance y Metodología</w:t>
      </w:r>
    </w:p>
    <w:p>
      <w:pPr>
        <w:spacing w:after="160"/>
        <w:jc w:val="both"/>
      </w:pPr>
      <w:r>
        <w:rPr>
          <w:sz w:val="22"/>
          <w:szCs w:val="22"/>
        </w:rPr>
        <w:t xml:space="preserve">La presente auditoría interna ha revisado los procesos de gestión de tesorería, control de gastos y ciclo de pagos a proveedores de la empresa correspondientes al período enero-septiembre de 2023. El trabajo se ha desarrollado durante las semanas del 16 de octubre al 10 de noviembre de 2023 mediante entrevistas con el personal responsable de cada proceso, revisión documental de procedimientos internos, pruebas de cumplimiento sobre una muestra de 127 transacciones seleccionadas aleatoriamente y pruebas analíticas sobre los datos del ERP.</w:t>
      </w:r>
    </w:p>
    <w:p>
      <w:pPr>
        <w:spacing w:after="160"/>
        <w:jc w:val="both"/>
      </w:pPr>
      <w:r>
        <w:rPr>
          <w:sz w:val="22"/>
          <w:szCs w:val="22"/>
        </w:rPr>
        <w:t xml:space="preserve">La auditoría se ha planificado y ejecutado de acuerdo con las Normas Internacionales para el Ejercicio Profesional de la Auditoría Interna (NIEPAI) del Instituto de Auditores Internos y con el Plan Anual de Auditoría Interna aprobado por el Comité de Auditoría.</w:t>
      </w:r>
    </w:p>
    <w:p>
      <w:pPr>
        <w:pStyle w:val="Heading1"/>
        <w:spacing w:after="140" w:before="280"/>
      </w:pPr>
      <w:r>
        <w:t xml:space="preserve">Hallazgos y Observaciones</w:t>
      </w:r>
    </w:p>
    <w:p>
      <w:pPr>
        <w:spacing w:after="160"/>
        <w:jc w:val="both"/>
      </w:pPr>
      <w:r>
        <w:rPr>
          <w:sz w:val="22"/>
          <w:szCs w:val="22"/>
        </w:rPr>
        <w:t xml:space="preserve">Se han identificado cuatro observaciones de auditoría, clasificadas según su nivel de riesgo:</w:t>
      </w:r>
    </w:p>
    <w:p>
      <w:pPr>
        <w:spacing w:after="160"/>
        <w:jc w:val="both"/>
      </w:pPr>
      <w:r>
        <w:rPr>
          <w:sz w:val="22"/>
          <w:szCs w:val="22"/>
        </w:rPr>
        <w:t xml:space="preserve">OBSERVACIÓN 1 (Riesgo Alto): Se han detectado 7 pagos por importe superior a 15.000 euros realizados sin la doble autorización requerida por el procedimiento PF-003. En 5 de los casos, el segundo autorizante aprobó la operación a posteriori, pero en 2 casos no existe evidencia de la segunda autorización. Recomendación: reforzar los controles en el sistema ERP para que los pagos por encima del umbral no puedan ejecutarse sin la autorización de los dos firmantes habilitados.</w:t>
      </w:r>
    </w:p>
    <w:p>
      <w:pPr>
        <w:spacing w:after="160"/>
        <w:jc w:val="both"/>
      </w:pPr>
      <w:r>
        <w:rPr>
          <w:sz w:val="22"/>
          <w:szCs w:val="22"/>
        </w:rPr>
        <w:t xml:space="preserve">OBSERVACIÓN 2 (Riesgo Medio): El archivo de documentación soporte de los pagos a proveedores presenta deficiencias en el 18% de la muestra revisada, con facturas sin sello de recepción, albaranes no adjuntados o documentación incompleta. Recomendación: implementar un proceso digitalizado de gestión documental integrado con el ERP.</w:t>
      </w:r>
    </w:p>
    <w:p>
      <w:pPr>
        <w:pStyle w:val="Heading1"/>
        <w:spacing w:after="140" w:before="280"/>
      </w:pPr>
      <w:r>
        <w:t xml:space="preserve">Conclusión y Plan de Acción</w:t>
      </w:r>
    </w:p>
    <w:p>
      <w:pPr>
        <w:spacing w:after="160"/>
        <w:jc w:val="both"/>
      </w:pPr>
      <w:r>
        <w:rPr>
          <w:sz w:val="22"/>
          <w:szCs w:val="22"/>
        </w:rPr>
        <w:t xml:space="preserve">Las observaciones identificadas no afectan a la fiabilidad de los estados financieros de la empresa, pero evidencian debilidades en los controles de proceso que deben ser subsanadas para reducir el riesgo operacional y de fraude.</w:t>
      </w:r>
    </w:p>
    <w:p>
      <w:pPr>
        <w:spacing w:after="160"/>
        <w:jc w:val="both"/>
      </w:pPr>
      <w:r>
        <w:rPr>
          <w:sz w:val="22"/>
          <w:szCs w:val="22"/>
        </w:rPr>
        <w:t xml:space="preserve">El Responsable Financiero ha aceptado todas las recomendaciones y se ha comprometido a implementar un plan de acción con las medidas correctoras antes del 31 de marzo de 2024, con los responsables y plazos específicos detallados en el Anexo I del presente informe. La Unidad de Auditoría Interna realizará una revisión de seguimiento en el segundo trimestre de 2024 para verificar el cierre efectivo de las observaciones.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Interna – Revisión de Procesos Financieros</dc:title>
  <dc:creator>Claude AI - Anthropic</dc:creator>
  <dc:description>Documento generado por Claude (Anthropic AI) para testing ScanIt</dc:description>
  <cp:lastModifiedBy>Un-named</cp:lastModifiedBy>
  <cp:revision>1</cp:revision>
  <dcterms:created xsi:type="dcterms:W3CDTF">2026-03-27T13:26:13.305Z</dcterms:created>
  <dcterms:modified xsi:type="dcterms:W3CDTF">2026-03-27T13:26:13.305Z</dcterms:modified>
</cp:coreProperties>
</file>

<file path=docProps/custom.xml><?xml version="1.0" encoding="utf-8"?>
<Properties xmlns="http://schemas.openxmlformats.org/officeDocument/2006/custom-properties" xmlns:vt="http://schemas.openxmlformats.org/officeDocument/2006/docPropsVTypes"/>
</file>