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Informe sobre Morosidad en el Sector de la Construcción – Comunidad Valenciana 2023</w:t>
      </w:r>
    </w:p>
    <w:p>
      <w:pPr>
        <w:spacing w:after="400"/>
      </w:pPr>
      <w:r>
        <w:rPr>
          <w:i/>
          <w:iCs/>
          <w:color w:val="666666"/>
          <w:sz w:val="18"/>
          <w:szCs w:val="18"/>
        </w:rPr>
        <w:t xml:space="preserve">Confederación de Asociaciones Empresariales de la Construcción de Valencia (CAEV)</w:t>
      </w:r>
    </w:p>
    <w:p>
      <w:pPr>
        <w:pStyle w:val="Heading1"/>
        <w:spacing w:after="140" w:before="280"/>
      </w:pPr>
      <w:r>
        <w:t xml:space="preserve">Magnitud del Problema</w:t>
      </w:r>
    </w:p>
    <w:p>
      <w:pPr>
        <w:spacing w:after="160"/>
        <w:jc w:val="both"/>
      </w:pPr>
      <w:r>
        <w:rPr>
          <w:sz w:val="22"/>
          <w:szCs w:val="22"/>
        </w:rPr>
        <w:t xml:space="preserve">La morosidad en el sector de la construcción de la Comunidad Valenciana alcanzó en 2023 niveles que la Confederación considera preocupantes y que requieren medidas urgentes tanto de las empresas del sector como de las administraciones públicas. Según la encuesta realizada entre 487 empresas asociadas, el plazo medio de cobro se sitúa en 87 días para clientes privados y en 134 días para administraciones públicas, muy por encima de los plazos legalmente establecidos en la Ley 3/2004 y su modificación de 2013.</w:t>
      </w:r>
    </w:p>
    <w:p>
      <w:pPr>
        <w:spacing w:after="160"/>
        <w:jc w:val="both"/>
      </w:pPr>
      <w:r>
        <w:rPr>
          <w:sz w:val="22"/>
          <w:szCs w:val="22"/>
        </w:rPr>
        <w:t xml:space="preserve">El impacto económico estimado de la morosidad para las empresas constructoras valencianas asciende a 1.340 millones de euros en deuda pendiente de cobro, de los que aproximadamente el 23% tiene más de 180 días de antigüedad y presenta un riesgo de impago elevado.</w:t>
      </w:r>
    </w:p>
    <w:p>
      <w:pPr>
        <w:pStyle w:val="Heading1"/>
        <w:spacing w:after="140" w:before="280"/>
      </w:pPr>
      <w:r>
        <w:t xml:space="preserve">Principales Deudores y Causas</w:t>
      </w:r>
    </w:p>
    <w:p>
      <w:pPr>
        <w:spacing w:after="160"/>
        <w:jc w:val="both"/>
      </w:pPr>
      <w:r>
        <w:rPr>
          <w:sz w:val="22"/>
          <w:szCs w:val="22"/>
        </w:rPr>
        <w:t xml:space="preserve">El análisis por tipología de deudor revela una situación preocupante en el subsector de la promoción residencial privada, donde el 34% de las empresas encuestadas reporta impagos de promotores en dificultades financieras. El sector de la rehabilitación de edificios privados presenta también tasas de morosidad elevadas, con un plazo medio de cobro de 97 días.</w:t>
      </w:r>
    </w:p>
    <w:p>
      <w:pPr>
        <w:spacing w:after="160"/>
        <w:jc w:val="both"/>
      </w:pPr>
      <w:r>
        <w:rPr>
          <w:sz w:val="22"/>
          <w:szCs w:val="22"/>
        </w:rPr>
        <w:t xml:space="preserve">En cuanto a las administraciones públicas, los ayuntamientos de municipios de menos de 10.000 habitantes son los que presentan los plazos de pago más elevados, con una media de 178 días, seguidos de los organismos autonómicos de segundo nivel (consorcios, fundaciones públicas). La Generalitat Valenciana y las grandes diputaciones provinciales han mejorado sus plazos de pago en los últimos dos años.</w:t>
      </w:r>
    </w:p>
    <w:p>
      <w:pPr>
        <w:pStyle w:val="Heading1"/>
        <w:spacing w:after="140" w:before="280"/>
      </w:pPr>
      <w:r>
        <w:t xml:space="preserve">Propuestas y Recomendaciones</w:t>
      </w:r>
    </w:p>
    <w:p>
      <w:pPr>
        <w:spacing w:after="160"/>
        <w:jc w:val="both"/>
      </w:pPr>
      <w:r>
        <w:rPr>
          <w:sz w:val="22"/>
          <w:szCs w:val="22"/>
        </w:rPr>
        <w:t xml:space="preserve">La CAEV formula las siguientes propuestas de actuación: en el ámbito legislativo, la modificación de la Ley de Contratos del Sector Público para establecer mecanismos automáticos de pago directo a subcontratistas cuando el contratista principal incumpla los plazos de pago; en el ámbito financiero, la creación de una línea de financiación específica para circulante de empresas constructoras con deuda pública certificada pendiente de cobro; y en el ámbito de la transparencia, la publicación trimestral y en tiempo real del Período Medio de Pago (PMP) de todas las administraciones públicas valencianas con nombre y denominación del organismo.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sobre Morosidad en el Sector de la Construcción – Comunidad Valenciana 2023</dc:title>
  <dc:creator>Claude AI - Anthropic</dc:creator>
  <dc:description>Documento generado por Claude (Anthropic AI) para testing ScanIt</dc:description>
  <cp:lastModifiedBy>Un-named</cp:lastModifiedBy>
  <cp:revision>1</cp:revision>
  <dcterms:created xsi:type="dcterms:W3CDTF">2026-03-27T13:26:13.618Z</dcterms:created>
  <dcterms:modified xsi:type="dcterms:W3CDTF">2026-03-27T13:26:13.618Z</dcterms:modified>
</cp:coreProperties>
</file>

<file path=docProps/custom.xml><?xml version="1.0" encoding="utf-8"?>
<Properties xmlns="http://schemas.openxmlformats.org/officeDocument/2006/custom-properties" xmlns:vt="http://schemas.openxmlformats.org/officeDocument/2006/docPropsVTypes"/>
</file>