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Plan de Acción – Mejora del Clima Organizacional 2024</w:t>
      </w:r>
    </w:p>
    <w:p>
      <w:pPr>
        <w:spacing w:after="400"/>
      </w:pPr>
      <w:r>
        <w:rPr>
          <w:i/>
          <w:iCs/>
          <w:color w:val="666666"/>
          <w:sz w:val="18"/>
          <w:szCs w:val="18"/>
        </w:rPr>
        <w:t xml:space="preserve">Dirección de Personas – SEGUROS MEDITERRÁNEO VIDA S.A.</w:t>
      </w:r>
    </w:p>
    <w:p>
      <w:pPr>
        <w:pStyle w:val="Heading1"/>
        <w:spacing w:after="140" w:before="280"/>
      </w:pPr>
      <w:r>
        <w:t xml:space="preserve">Resultados de la Encuesta de Clima</w:t>
      </w:r>
    </w:p>
    <w:p>
      <w:pPr>
        <w:spacing w:after="160"/>
        <w:jc w:val="both"/>
      </w:pPr>
      <w:r>
        <w:rPr>
          <w:sz w:val="22"/>
          <w:szCs w:val="22"/>
        </w:rPr>
        <w:t xml:space="preserve">En octubre de 2023 se realizó la cuarta edición de la Encuesta de Clima Organizacional de Seguros Mediterráneo Vida, con una participación del 89% de la plantilla (comparado con el 78% de la edición anterior, lo que refleja una mejora en la confianza en el proceso). El índice de satisfacción global alcanzó los 67 puntos sobre 100, frente a los 63 de 2022, con una tendencia positiva pero todavía alejada del objetivo de 75 puntos que el Comité de Dirección se fijó para 2025.</w:t>
      </w:r>
    </w:p>
    <w:p>
      <w:pPr>
        <w:spacing w:after="160"/>
        <w:jc w:val="both"/>
      </w:pPr>
      <w:r>
        <w:rPr>
          <w:sz w:val="22"/>
          <w:szCs w:val="22"/>
        </w:rPr>
        <w:t xml:space="preserve">Los resultados revelan que los aspectos mejor valorados por los empleados son la estabilidad del empleo (84/100), la calidad de las relaciones con los compañeros directos (79/100) y las condiciones físicas del lugar de trabajo (76/100). Los aspectos que requieren mejora urgente son las oportunidades de desarrollo y carrera profesional (48/100), la comunicación descendente de la dirección (52/100) y el reconocimiento del desempeño individual (54/100).</w:t>
      </w:r>
    </w:p>
    <w:p>
      <w:pPr>
        <w:pStyle w:val="Heading1"/>
        <w:spacing w:after="140" w:before="280"/>
      </w:pPr>
      <w:r>
        <w:t xml:space="preserve">Iniciativas Prioritarias 2024</w:t>
      </w:r>
    </w:p>
    <w:p>
      <w:pPr>
        <w:spacing w:after="160"/>
        <w:jc w:val="both"/>
      </w:pPr>
      <w:r>
        <w:rPr>
          <w:sz w:val="22"/>
          <w:szCs w:val="22"/>
        </w:rPr>
        <w:t xml:space="preserve">En respuesta a los hallazgos de la encuesta, el equipo de Personas ha diseñado un plan de acción estructurado en torno a tres ejes de mejora: Desarrollo y carrera (implantación de planes de desarrollo individuales para todos los empleados con más de 2 años de antigüedad, lanzamiento de un programa de movilidad interna transparente con publicación de todas las vacantes antes de abrirlas externamente, y creación de itinerarios de carrera por familia profesional); Comunicación (reunión trimestral del CEO con grupos pequeños de empleados de distintos niveles, publicación semanal de un resumen de noticias internas relevantes, y mejora de la intranet como canal de comunicación bidireccional).</w:t>
      </w:r>
    </w:p>
    <w:p>
      <w:pPr>
        <w:pStyle w:val="Heading1"/>
        <w:spacing w:after="140" w:before="280"/>
      </w:pPr>
      <w:r>
        <w:t xml:space="preserve">Seguimiento y Métricas</w:t>
      </w:r>
    </w:p>
    <w:p>
      <w:pPr>
        <w:spacing w:after="160"/>
        <w:jc w:val="both"/>
      </w:pPr>
      <w:r>
        <w:rPr>
          <w:sz w:val="22"/>
          <w:szCs w:val="22"/>
        </w:rPr>
        <w:t xml:space="preserve">El seguimiento de las iniciativas del plan se realizará a través de un cuadro de mando mensual que el Director de Personas presentará al Comité de Dirección. Los indicadores principales de seguimiento son: tasa de empleados con plan de desarrollo individual (objetivo: 100% en diciembre de 2024), tasa de vacantes publicadas internamente antes de apertura externa (objetivo: 90%), puntuación en la encuesta de pulso trimestral de comunicación (objetivo: superar 60/100 en Q4 2024), y tasa de rotación voluntaria (objetivo: reducir del 12% actual al 9%).</w:t>
      </w:r>
    </w:p>
    <w:p>
      <w:pPr>
        <w:spacing w:after="160"/>
        <w:jc w:val="both"/>
      </w:pPr>
      <w:r>
        <w:rPr>
          <w:sz w:val="22"/>
          <w:szCs w:val="22"/>
        </w:rPr>
        <w:t xml:space="preserve">La próxima encuesta de clima completa se realizará en octubre de 2024, estableciéndose como objetivo alcanzar los 72 puntos de satisfacción global, como paso intermedio hacia el objetivo de 75 para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Acción – Mejora del Clima Organizacional 2024</dc:title>
  <dc:creator>Claude AI - Anthropic</dc:creator>
  <dc:description>Documento generado por Claude (Anthropic AI) para testing ScanIt</dc:description>
  <cp:lastModifiedBy>Un-named</cp:lastModifiedBy>
  <cp:revision>1</cp:revision>
  <dcterms:created xsi:type="dcterms:W3CDTF">2026-03-27T13:26:13.637Z</dcterms:created>
  <dcterms:modified xsi:type="dcterms:W3CDTF">2026-03-27T13:26:13.637Z</dcterms:modified>
</cp:coreProperties>
</file>

<file path=docProps/custom.xml><?xml version="1.0" encoding="utf-8"?>
<Properties xmlns="http://schemas.openxmlformats.org/officeDocument/2006/custom-properties" xmlns:vt="http://schemas.openxmlformats.org/officeDocument/2006/docPropsVTypes"/>
</file>