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Plan de Gestión de Crisis de Comunicación – Protocolo Corporativo</w:t>
      </w:r>
    </w:p>
    <w:p>
      <w:pPr>
        <w:spacing w:after="400"/>
      </w:pPr>
      <w:r>
        <w:rPr>
          <w:i/>
          <w:iCs/>
          <w:color w:val="666666"/>
          <w:sz w:val="18"/>
          <w:szCs w:val="18"/>
        </w:rPr>
        <w:t xml:space="preserve">Dirección de Comunicación y RSC – ALIMENTARIA LEVANTE GROUP S.A.</w:t>
      </w:r>
    </w:p>
    <w:p>
      <w:pPr>
        <w:pStyle w:val="Heading1"/>
        <w:spacing w:after="140" w:before="280"/>
      </w:pPr>
      <w:r>
        <w:t xml:space="preserve">Definición de Crisis y Tipología</w:t>
      </w:r>
    </w:p>
    <w:p>
      <w:pPr>
        <w:spacing w:after="160"/>
        <w:jc w:val="both"/>
      </w:pPr>
      <w:r>
        <w:rPr>
          <w:sz w:val="22"/>
          <w:szCs w:val="22"/>
        </w:rPr>
        <w:t xml:space="preserve">Una crisis de comunicación es cualquier situación que amenaza la reputación de la organización, su relación con los grupos de interés clave o su continuidad operativa, y que requiere una respuesta coordinada, rápida y coherente por parte del equipo directivo y de comunicación.</w:t>
      </w:r>
    </w:p>
    <w:p>
      <w:pPr>
        <w:spacing w:after="160"/>
        <w:jc w:val="both"/>
      </w:pPr>
      <w:r>
        <w:rPr>
          <w:sz w:val="22"/>
          <w:szCs w:val="22"/>
        </w:rPr>
        <w:t xml:space="preserve">ALIMENTARIA LEVANTE GROUP ha identificado las siguientes tipologías de crisis con mayor probabilidad de ocurrencia en nuestro sector: alerta alimentaria (retirada de producto, contaminación, etiquetado incorrecto), accidente laboral grave en las instalaciones, crisis medioambiental (vertido, contaminación), conflicto laboral colectivo con repercusión mediática, ciberataque con filtración de datos, y crisis reputacional derivada de actuaciones de empleados o directivos.</w:t>
      </w:r>
    </w:p>
    <w:p>
      <w:pPr>
        <w:pStyle w:val="Heading1"/>
        <w:spacing w:after="140" w:before="280"/>
      </w:pPr>
      <w:r>
        <w:t xml:space="preserve">Estructura del Comité de Crisis</w:t>
      </w:r>
    </w:p>
    <w:p>
      <w:pPr>
        <w:spacing w:after="160"/>
        <w:jc w:val="both"/>
      </w:pPr>
      <w:r>
        <w:rPr>
          <w:sz w:val="22"/>
          <w:szCs w:val="22"/>
        </w:rPr>
        <w:t xml:space="preserve">Ante cualquier crisis de nivel 2 o superior (escala de 1 a 3, siendo 3 la más grave), se activa automáticamente el Comité de Crisis, integrado por: Director General (presidencia), Director de Comunicación (portavocía principal y coordinación del comité), Director Jurídico (gestión legal y relación con autoridades), Director de Operaciones (gestión de los aspectos técnicos y productivos de la crisis), y Director de RRHH (gestión de la comunicación interna y del impacto en las personas).</w:t>
      </w:r>
    </w:p>
    <w:p>
      <w:pPr>
        <w:spacing w:after="160"/>
        <w:jc w:val="both"/>
      </w:pPr>
      <w:r>
        <w:rPr>
          <w:sz w:val="22"/>
          <w:szCs w:val="22"/>
        </w:rPr>
        <w:t xml:space="preserve">El Director de Comunicación es el único portavoz autorizado ante los medios de comunicación durante la crisis. Ningún otro directivo o empleado puede hacer declaraciones a medios sin autorización expresa del Director General. Se establecerá una sala de crisis física o virtual (en función de la situación) con conexión permanente entre los miembros del comité.</w:t>
      </w:r>
    </w:p>
    <w:p>
      <w:pPr>
        <w:pStyle w:val="Heading1"/>
        <w:spacing w:after="140" w:before="280"/>
      </w:pPr>
      <w:r>
        <w:t xml:space="preserve">Protocolos de Respuesta por Tipología</w:t>
      </w:r>
    </w:p>
    <w:p>
      <w:pPr>
        <w:spacing w:after="160"/>
        <w:jc w:val="both"/>
      </w:pPr>
      <w:r>
        <w:rPr>
          <w:sz w:val="22"/>
          <w:szCs w:val="22"/>
        </w:rPr>
        <w:t xml:space="preserve">ALERTA ALIMENTARIA: En las primeras 2 horas tras la detección, el Director de Operaciones debe verificar el alcance del problema y el Director General tomar la decisión de retirada preventiva si existe cualquier duda razonable sobre la seguridad del producto. La comunicación a la AECOSAN se realizará en el plazo legal establecido. La comunicación pública se hará de forma proactiva antes de que la información aparezca en medios, con un mensaje que priorice la seguridad del consumidor sobre cualquier consideración comercial.</w:t>
      </w:r>
    </w:p>
    <w:p>
      <w:pPr>
        <w:spacing w:after="160"/>
        <w:jc w:val="both"/>
      </w:pPr>
      <w:r>
        <w:rPr>
          <w:sz w:val="22"/>
          <w:szCs w:val="22"/>
        </w:rPr>
        <w:t xml:space="preserve">ACCIDENTE LABORAL GRAVE: La primera llamada es a los servicios de emergencia. La segunda es al Director de RRHH y al Director General. La comunicación a la familia del trabajador se realizará de forma personal, nunca por teléfono. Se suspenderá cualquier comunicación comercial planificada para ese día. La comunicación pública, si la gravedad del accidente la requiere, se realizará solo tras tener información verificada y tras informar a la familia del trabajador.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Gestión de Crisis de Comunicación – Protocolo Corporativo</dc:title>
  <dc:creator>Claude AI - Anthropic</dc:creator>
  <dc:description>Documento generado por Claude (Anthropic AI) para testing ScanIt</dc:description>
  <cp:lastModifiedBy>Un-named</cp:lastModifiedBy>
  <cp:revision>1</cp:revision>
  <dcterms:created xsi:type="dcterms:W3CDTF">2026-03-27T13:26:13.550Z</dcterms:created>
  <dcterms:modified xsi:type="dcterms:W3CDTF">2026-03-27T13:26:13.550Z</dcterms:modified>
</cp:coreProperties>
</file>

<file path=docProps/custom.xml><?xml version="1.0" encoding="utf-8"?>
<Properties xmlns="http://schemas.openxmlformats.org/officeDocument/2006/custom-properties" xmlns:vt="http://schemas.openxmlformats.org/officeDocument/2006/docPropsVTypes"/>
</file>