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Política de Uso Aceptable de Recursos TIC</w:t>
      </w:r>
    </w:p>
    <w:p>
      <w:pPr>
        <w:spacing w:after="400"/>
      </w:pPr>
      <w:r>
        <w:rPr>
          <w:i/>
          <w:iCs/>
          <w:color w:val="666666"/>
          <w:sz w:val="18"/>
          <w:szCs w:val="18"/>
        </w:rPr>
        <w:t xml:space="preserve">Departamento de Sistemas – Grupo Empresarial Mediterráneo</w:t>
      </w:r>
    </w:p>
    <w:p>
      <w:pPr>
        <w:pStyle w:val="Heading1"/>
        <w:spacing w:after="140" w:before="280"/>
      </w:pPr>
      <w:r>
        <w:t xml:space="preserve">Propósito y Ámbito de Aplicación</w:t>
      </w:r>
    </w:p>
    <w:p>
      <w:pPr>
        <w:spacing w:after="160"/>
        <w:jc w:val="both"/>
      </w:pPr>
      <w:r>
        <w:rPr>
          <w:sz w:val="22"/>
          <w:szCs w:val="22"/>
        </w:rPr>
        <w:t xml:space="preserve">La presente Política de Uso Aceptable de Recursos de Tecnología de la Información y Comunicaciones (TIC) establece las normas que deben cumplir todos los empleados, colaboradores, proveedores y cualquier tercero que acceda a los sistemas de información del Grupo Empresarial Mediterráneo, ya sea de forma presencial en las instalaciones de la empresa o mediante acceso remoto.</w:t>
      </w:r>
    </w:p>
    <w:p>
      <w:pPr>
        <w:spacing w:after="160"/>
        <w:jc w:val="both"/>
      </w:pPr>
      <w:r>
        <w:rPr>
          <w:sz w:val="22"/>
          <w:szCs w:val="22"/>
        </w:rPr>
        <w:t xml:space="preserve">El objetivo de esta política es proteger los activos de información del Grupo, garantizar la continuidad de los servicios TIC, minimizar los riesgos de seguridad y asegurar el cumplimiento de la normativa legal aplicable, en particular el RGPD y la normativa española de protección de datos personales.</w:t>
      </w:r>
    </w:p>
    <w:p>
      <w:pPr>
        <w:pStyle w:val="Heading1"/>
        <w:spacing w:after="140" w:before="280"/>
      </w:pPr>
      <w:r>
        <w:t xml:space="preserve">Normas de Uso de Equipos y Sistemas</w:t>
      </w:r>
    </w:p>
    <w:p>
      <w:pPr>
        <w:spacing w:after="160"/>
        <w:jc w:val="both"/>
      </w:pPr>
      <w:r>
        <w:rPr>
          <w:sz w:val="22"/>
          <w:szCs w:val="22"/>
        </w:rPr>
        <w:t xml:space="preserve">Los equipos informáticos propiedad de la empresa están destinados exclusivamente al desarrollo de las actividades profesionales. Se permite un uso personal ocasional y razonable siempre que no interfiera con el rendimiento laboral, no consuma recursos de red de forma significativa y no implique el acceso a contenidos inapropiados o ilegales.</w:t>
      </w:r>
    </w:p>
    <w:p>
      <w:pPr>
        <w:spacing w:after="160"/>
        <w:jc w:val="both"/>
      </w:pPr>
      <w:r>
        <w:rPr>
          <w:sz w:val="22"/>
          <w:szCs w:val="22"/>
        </w:rPr>
        <w:t xml:space="preserve">Queda expresamente prohibido: instalar software no autorizado por el Departamento de Sistemas; desactivar o eludir los sistemas de seguridad instalados; acceder a sistemas o datos para los que no se disponga de autorización expresa; utilizar los recursos TIC de la empresa para actividades comerciales propias o de terceros; y conectar dispositivos de almacenamiento externo no cifrados sin autorización previa.</w:t>
      </w:r>
    </w:p>
    <w:p>
      <w:pPr>
        <w:pStyle w:val="Heading1"/>
        <w:spacing w:after="140" w:before="280"/>
      </w:pPr>
      <w:r>
        <w:t xml:space="preserve">Consecuencias del Incumplimiento</w:t>
      </w:r>
    </w:p>
    <w:p>
      <w:pPr>
        <w:spacing w:after="160"/>
        <w:jc w:val="both"/>
      </w:pPr>
      <w:r>
        <w:rPr>
          <w:sz w:val="22"/>
          <w:szCs w:val="22"/>
        </w:rPr>
        <w:t xml:space="preserve">El incumplimiento de la presente política podrá dar lugar a medidas disciplinarias proporcionales a la gravedad del incidente, que podrán incluir desde la amonestación verbal o escrita hasta el despido disciplinario en los casos de mayor gravedad, previa instrucción del expediente disciplinario correspondiente y audiencia del trabajador afectado.</w:t>
      </w:r>
    </w:p>
    <w:p>
      <w:pPr>
        <w:spacing w:after="160"/>
        <w:jc w:val="both"/>
      </w:pPr>
      <w:r>
        <w:rPr>
          <w:sz w:val="22"/>
          <w:szCs w:val="22"/>
        </w:rPr>
        <w:t xml:space="preserve">En los casos en que el incumplimiento pueda constituir una infracción legal (acceso no autorizado a sistemas, violación de datos personales, etc.), la empresa se reserva el derecho de poner los hechos en conocimiento de las autoridades competentes con independencia de las medidas disciplinarias internas adoptadas.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Uso Aceptable de Recursos TIC</dc:title>
  <dc:creator>Claude AI - Anthropic</dc:creator>
  <dc:description>Documento generado por Claude (Anthropic AI) para testing ScanIt</dc:description>
  <cp:lastModifiedBy>Un-named</cp:lastModifiedBy>
  <cp:revision>1</cp:revision>
  <dcterms:created xsi:type="dcterms:W3CDTF">2026-03-27T13:26:13.219Z</dcterms:created>
  <dcterms:modified xsi:type="dcterms:W3CDTF">2026-03-27T13:26:13.219Z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