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Presentación de Resultados – Tercer Trimestre 2023</w:t>
      </w:r>
    </w:p>
    <w:p>
      <w:pPr>
        <w:spacing w:after="400"/>
      </w:pPr>
      <w:r>
        <w:rPr>
          <w:i/>
          <w:iCs/>
          <w:color w:val="666666"/>
          <w:sz w:val="18"/>
          <w:szCs w:val="18"/>
        </w:rPr>
        <w:t xml:space="preserve">Dirección Financiera – TEXTIL MEDITERRÁNEO S.A.</w:t>
      </w:r>
    </w:p>
    <w:p>
      <w:pPr>
        <w:pStyle w:val="Heading1"/>
        <w:spacing w:after="140" w:before="280"/>
      </w:pPr>
      <w:r>
        <w:t xml:space="preserve">Resumen Ejecutivo del Trimestre</w:t>
      </w:r>
    </w:p>
    <w:p>
      <w:pPr>
        <w:spacing w:after="160"/>
        <w:jc w:val="both"/>
      </w:pPr>
      <w:r>
        <w:rPr>
          <w:sz w:val="22"/>
          <w:szCs w:val="22"/>
        </w:rPr>
        <w:t xml:space="preserve">El tercer trimestre de 2023 ha sido el mejor trimestre de la historia de TEXTIL MEDITERRÁNEO S.A. en términos de facturación, con unos ingresos de 18,4 millones de euros, un crecimiento del 23% respecto al mismo período del ejercicio anterior. Este resultado excepcional ha sido impulsado por tres factores principales: el éxito de la nueva línea de tejidos técnicos para activewear, que ha superado en un 40% las proyecciones iniciales de ventas; la incorporación de dos nuevos distribuidores en el mercado alemán que han activado una demanda que supera nuestra capacidad productiva actual; y el efecto tipo de cambio positivo en las ventas denominadas en dólares americanos.</w:t>
      </w:r>
    </w:p>
    <w:p>
      <w:pPr>
        <w:spacing w:after="160"/>
        <w:jc w:val="both"/>
      </w:pPr>
      <w:r>
        <w:rPr>
          <w:sz w:val="22"/>
          <w:szCs w:val="22"/>
        </w:rPr>
        <w:t xml:space="preserve">El EBITDA del trimestre se ha situado en 3,1 millones de euros (margen del 16,8%), y el resultado neto después de impuestos alcanza los 2,2 millones de euros, lo que sitúa el resultado acumulado del ejercicio en 5,8 millones de euros a 30 de septiembre, superando ya el resultado del conjunto del ejercicio 2022.</w:t>
      </w:r>
    </w:p>
    <w:p>
      <w:pPr>
        <w:pStyle w:val="Heading1"/>
        <w:spacing w:after="140" w:before="280"/>
      </w:pPr>
      <w:r>
        <w:t xml:space="preserve">Análisis por Línea de Negocio</w:t>
      </w:r>
    </w:p>
    <w:p>
      <w:pPr>
        <w:spacing w:after="160"/>
        <w:jc w:val="both"/>
      </w:pPr>
      <w:r>
        <w:rPr>
          <w:sz w:val="22"/>
          <w:szCs w:val="22"/>
        </w:rPr>
        <w:t xml:space="preserve">La línea de tejidos para moda (52% de la facturación total del trimestre) creció un 11% en volumen de ventas, con una mejora del precio medio del 8% derivada del reposicionamiento hacia segmentos de mayor valor añadido. La línea de tejidos técnicos e industriales (31% de la facturación) fue la de mayor crecimiento, con un aumento del 47% impulsado por la incorporación de la gama de tejidos para activewear.</w:t>
      </w:r>
    </w:p>
    <w:p>
      <w:pPr>
        <w:spacing w:after="160"/>
        <w:jc w:val="both"/>
      </w:pPr>
      <w:r>
        <w:rPr>
          <w:sz w:val="22"/>
          <w:szCs w:val="22"/>
        </w:rPr>
        <w:t xml:space="preserve">La línea de tejidos para el hogar (17% de la facturación) experimentó una contracción del 8% en volumen, en línea con la debilidad del mercado del textil hogar en el contexto de la moderación del consumo en Europa, aunque el margen de esta línea mejoró gracias al ajuste del mix de producto hacia referencias de mayor precio.</w:t>
      </w:r>
    </w:p>
    <w:p>
      <w:pPr>
        <w:pStyle w:val="Heading1"/>
        <w:spacing w:after="140" w:before="280"/>
      </w:pPr>
      <w:r>
        <w:t xml:space="preserve">Perspectivas y Orientación Para el Cuarto Trimestre</w:t>
      </w:r>
    </w:p>
    <w:p>
      <w:pPr>
        <w:spacing w:after="160"/>
        <w:jc w:val="both"/>
      </w:pPr>
      <w:r>
        <w:rPr>
          <w:sz w:val="22"/>
          <w:szCs w:val="22"/>
        </w:rPr>
        <w:t xml:space="preserve">Las perspectivas para el cuarto trimestre son positivas aunque con algunas incertidumbres. La cartera de pedidos a 1 de octubre asciende a 21,3 millones de euros, cifra sin precedentes en la historia de la empresa, con una demanda que supera la capacidad productiva instalada.</w:t>
      </w:r>
    </w:p>
    <w:p>
      <w:pPr>
        <w:spacing w:after="160"/>
        <w:jc w:val="both"/>
      </w:pPr>
      <w:r>
        <w:rPr>
          <w:sz w:val="22"/>
          <w:szCs w:val="22"/>
        </w:rPr>
        <w:t xml:space="preserve">La principal restricción para el crecimiento es la capacidad productiva: la ampliación de la planta de Crevillent iniciada en mayo de 2023 está sufriendo retrasos en la recepción de la maquinaria, por lo que la incorporación de la nueva capacidad productiva se pospone al primer trimestre de 2024. En consecuencia, la orientación para el conjunto del ejercicio 2023 se revisa al alza: esperamos un crecimiento de ingresos del 18-20% sobre 2022 y un EBITDA de entre 10,5 y 11 millones de euros.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Presentación de Resultados – Tercer Trimestre 2023</dc:title>
  <dc:creator>Claude AI - Anthropic</dc:creator>
  <dc:description>Documento generado por Claude (Anthropic AI) para testing ScanIt</dc:description>
  <cp:lastModifiedBy>Un-named</cp:lastModifiedBy>
  <cp:revision>1</cp:revision>
  <dcterms:created xsi:type="dcterms:W3CDTF">2026-03-27T13:26:13.704Z</dcterms:created>
  <dcterms:modified xsi:type="dcterms:W3CDTF">2026-03-27T13:26:13.704Z</dcterms:modified>
</cp:coreProperties>
</file>

<file path=docProps/custom.xml><?xml version="1.0" encoding="utf-8"?>
<Properties xmlns="http://schemas.openxmlformats.org/officeDocument/2006/custom-properties" xmlns:vt="http://schemas.openxmlformats.org/officeDocument/2006/docPropsVTypes"/>
</file>