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Arial" w:cs="Arial" w:eastAsia="Arial" w:hAnsi="Arial"/>
          <w:b/>
          <w:bCs/>
          <w:color w:val="1A365D"/>
          <w:sz w:val="40"/>
          <w:szCs w:val="40"/>
        </w:rPr>
        <w:t xml:space="preserve">Note de Conformite RGPD</w:t>
      </w:r>
    </w:p>
    <w:p>
      <w:pPr>
        <w:jc w:val="center"/>
      </w:pPr>
      <w:r>
        <w:rPr>
          <w:rFonts w:ascii="Arial" w:cs="Arial" w:eastAsia="Arial" w:hAnsi="Arial"/>
          <w:i/>
          <w:iCs/>
          <w:color w:val="718096"/>
          <w:sz w:val="22"/>
          <w:szCs w:val="22"/>
        </w:rPr>
        <w:t xml:space="preserve">Health-InsurTech — Outil d'Estimation des Frais Medicaux</w:t>
      </w:r>
    </w:p>
    <w:p>
      <w:pPr>
        <w:jc w:val="center"/>
      </w:pPr>
      <w:r>
        <w:rPr>
          <w:rFonts w:ascii="Arial" w:cs="Arial" w:eastAsia="Arial" w:hAnsi="Arial"/>
          <w:color w:val="718096"/>
          <w:sz w:val="20"/>
          <w:szCs w:val="20"/>
        </w:rPr>
        <w:t xml:space="preserve">Analyse d'Impact sur la Protection des Donnees (AIPD) — Juin 2025</w:t>
      </w:r>
    </w:p>
    <w:p>
      <w:r>
        <w:t xml:space="preserve"/>
      </w:r>
    </w:p>
    <w:p>
      <w:pPr>
        <w:pStyle w:val="Heading1"/>
      </w:pPr>
      <w:r>
        <w:t xml:space="preserve">1. Contexte et Objectif du Traitement</w:t>
      </w:r>
    </w:p>
    <w:p>
      <w:r>
        <w:rPr>
          <w:rFonts w:ascii="Arial" w:cs="Arial" w:eastAsia="Arial" w:hAnsi="Arial"/>
          <w:sz w:val="22"/>
          <w:szCs w:val="22"/>
        </w:rPr>
        <w:t xml:space="preserve">Health-InsurTech developpe une application web permettant aux futurs assures d'estimer leurs frais medicaux annuels. Ce traitement implique des donnees de sante (IMC, statut fumeur) qualifiees de categories speciales au sens de l'article 9 du RGPD, necessitant une protection renforcee.</w:t>
      </w:r>
    </w:p>
    <w:p>
      <w:r>
        <w:t xml:space="preserve"/>
      </w:r>
    </w:p>
    <w:p>
      <w:pPr>
        <w:pStyle w:val="Heading1"/>
      </w:pPr>
      <w:r>
        <w:t xml:space="preserve">2. Identification des Donnees Traitees</w:t>
      </w:r>
    </w:p>
    <w:p>
      <w:pPr>
        <w:pStyle w:val="Heading2"/>
      </w:pPr>
      <w:r>
        <w:t xml:space="preserve">2.1 Donnees collectees pour la simulation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Donnee</w:t>
            </w:r>
          </w:p>
        </w:tc>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Finalite</w:t>
            </w:r>
          </w:p>
        </w:tc>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Conservation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Calcul actuariel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Session uniquement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IMC (BMI)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Facteur de risque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Session uniquement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Statut fumeur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Facteur de risque majeur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Session uniquement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Sexe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Estimation personnalisee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Session uniquement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Nb. enfants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Calcul de dependants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Session uniquement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Logs d'acces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Securite et audit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12 mois maximum</w:t>
            </w:r>
          </w:p>
        </w:tc>
      </w:tr>
    </w:tbl>
    <w:p>
      <w:r>
        <w:t xml:space="preserve"/>
      </w:r>
    </w:p>
    <w:p>
      <w:pPr>
        <w:pStyle w:val="Heading2"/>
      </w:pPr>
      <w:r>
        <w:t xml:space="preserve">2.2 Donnees non collectees (PII exclues)</w:t>
      </w:r>
    </w:p>
    <w:p>
      <w:r>
        <w:rPr>
          <w:rFonts w:ascii="Arial" w:cs="Arial" w:eastAsia="Arial" w:hAnsi="Arial"/>
          <w:sz w:val="22"/>
          <w:szCs w:val="22"/>
        </w:rPr>
        <w:t xml:space="preserve">Les donnees suivantes sont presentes dans le dataset source mais sont strictement exclues de toute interface utilisateur et de tout traitement en production :</w:t>
      </w:r>
    </w:p>
    <w:p>
      <w:pPr>
        <w:pStyle w:val="ListParagraph"/>
        <w:numPr>
          <w:ilvl w:val="0"/>
          <w:numId w:val="2"/>
        </w:numPr>
      </w:pPr>
      <w:r>
        <w:rPr>
          <w:rFonts w:ascii="Arial" w:cs="Arial" w:eastAsia="Arial" w:hAnsi="Arial"/>
          <w:sz w:val="22"/>
          <w:szCs w:val="22"/>
        </w:rPr>
        <w:t xml:space="preserve">Nom, prenom, date de naissance</w:t>
      </w:r>
    </w:p>
    <w:p>
      <w:pPr>
        <w:pStyle w:val="ListParagraph"/>
        <w:numPr>
          <w:ilvl w:val="0"/>
          <w:numId w:val="2"/>
        </w:numPr>
      </w:pPr>
      <w:r>
        <w:rPr>
          <w:rFonts w:ascii="Arial" w:cs="Arial" w:eastAsia="Arial" w:hAnsi="Arial"/>
          <w:sz w:val="22"/>
          <w:szCs w:val="22"/>
        </w:rPr>
        <w:t xml:space="preserve">Email, telephone</w:t>
      </w:r>
    </w:p>
    <w:p>
      <w:pPr>
        <w:pStyle w:val="ListParagraph"/>
        <w:numPr>
          <w:ilvl w:val="0"/>
          <w:numId w:val="2"/>
        </w:numPr>
      </w:pPr>
      <w:r>
        <w:rPr>
          <w:rFonts w:ascii="Arial" w:cs="Arial" w:eastAsia="Arial" w:hAnsi="Arial"/>
          <w:sz w:val="22"/>
          <w:szCs w:val="22"/>
        </w:rPr>
        <w:t xml:space="preserve">Numero de securite sociale</w:t>
      </w:r>
    </w:p>
    <w:p>
      <w:pPr>
        <w:pStyle w:val="ListParagraph"/>
        <w:numPr>
          <w:ilvl w:val="0"/>
          <w:numId w:val="2"/>
        </w:numPr>
      </w:pPr>
      <w:r>
        <w:rPr>
          <w:rFonts w:ascii="Arial" w:cs="Arial" w:eastAsia="Arial" w:hAnsi="Arial"/>
          <w:sz w:val="22"/>
          <w:szCs w:val="22"/>
        </w:rPr>
        <w:t xml:space="preserve">Adresse IP, adresse postale, code postal</w:t>
      </w:r>
    </w:p>
    <w:p>
      <w:r>
        <w:t xml:space="preserve"/>
      </w:r>
    </w:p>
    <w:p>
      <w:pPr>
        <w:pStyle w:val="Heading1"/>
      </w:pPr>
      <w:r>
        <w:t xml:space="preserve">3. Base Legale et Consentement</w:t>
      </w:r>
    </w:p>
    <w:p>
      <w:r>
        <w:rPr>
          <w:rFonts w:ascii="Arial" w:cs="Arial" w:eastAsia="Arial" w:hAnsi="Arial"/>
          <w:sz w:val="22"/>
          <w:szCs w:val="22"/>
        </w:rPr>
        <w:t xml:space="preserve">Conformement a l'article 6(1)(a) et l'article 9(2)(a) du RGPD, le traitement est fonde sur le consentement explicite de l'utilisateur. Un bandeau de consentement est affiche a chaque premiere connexion. L'utilisateur peut retirer son consentement a tout moment sans que cela affecte la licéite du traitement anterieur.</w:t>
      </w:r>
    </w:p>
    <w:p>
      <w:r>
        <w:t xml:space="preserve"/>
      </w:r>
    </w:p>
    <w:p>
      <w:pPr>
        <w:pStyle w:val="Heading1"/>
      </w:pPr>
      <w:r>
        <w:t xml:space="preserve">4. Mesures Techniques et Organisationnelles</w:t>
      </w:r>
    </w:p>
    <w:p>
      <w:pPr>
        <w:pStyle w:val="Heading2"/>
      </w:pPr>
      <w:r>
        <w:t xml:space="preserve">4.1 Minimisation des donnees</w:t>
      </w:r>
    </w:p>
    <w:p>
      <w:pPr>
        <w:pStyle w:val="ListParagraph"/>
        <w:numPr>
          <w:ilvl w:val="0"/>
          <w:numId w:val="2"/>
        </w:numPr>
      </w:pPr>
      <w:r>
        <w:rPr>
          <w:rFonts w:ascii="Arial" w:cs="Arial" w:eastAsia="Arial" w:hAnsi="Arial"/>
          <w:sz w:val="22"/>
          <w:szCs w:val="22"/>
        </w:rPr>
        <w:t xml:space="preserve">Seules les variables strictement necessaires au calcul sont exposees dans l'interface</w:t>
      </w:r>
    </w:p>
    <w:p>
      <w:pPr>
        <w:pStyle w:val="ListParagraph"/>
        <w:numPr>
          <w:ilvl w:val="0"/>
          <w:numId w:val="2"/>
        </w:numPr>
      </w:pPr>
      <w:r>
        <w:rPr>
          <w:rFonts w:ascii="Arial" w:cs="Arial" w:eastAsia="Arial" w:hAnsi="Arial"/>
          <w:sz w:val="22"/>
          <w:szCs w:val="22"/>
        </w:rPr>
        <w:t xml:space="preserve">Le modele de regression est entraine sur un jeu anonymise (colonnes PII retirees)</w:t>
      </w:r>
    </w:p>
    <w:p>
      <w:pPr>
        <w:pStyle w:val="ListParagraph"/>
        <w:numPr>
          <w:ilvl w:val="0"/>
          <w:numId w:val="2"/>
        </w:numPr>
      </w:pPr>
      <w:r>
        <w:rPr>
          <w:rFonts w:ascii="Arial" w:cs="Arial" w:eastAsia="Arial" w:hAnsi="Arial"/>
          <w:sz w:val="22"/>
          <w:szCs w:val="22"/>
        </w:rPr>
        <w:t xml:space="preserve">Aucune donnee n'est persistee apres la session utilisateur</w:t>
      </w:r>
    </w:p>
    <w:p>
      <w:r>
        <w:t xml:space="preserve"/>
      </w:r>
    </w:p>
    <w:p>
      <w:pPr>
        <w:pStyle w:val="Heading2"/>
      </w:pPr>
      <w:r>
        <w:t xml:space="preserve">4.2 Securite des traitements</w:t>
      </w:r>
    </w:p>
    <w:p>
      <w:pPr>
        <w:pStyle w:val="ListParagraph"/>
        <w:numPr>
          <w:ilvl w:val="0"/>
          <w:numId w:val="2"/>
        </w:numPr>
      </w:pPr>
      <w:r>
        <w:rPr>
          <w:rFonts w:ascii="Arial" w:cs="Arial" w:eastAsia="Arial" w:hAnsi="Arial"/>
          <w:sz w:val="22"/>
          <w:szCs w:val="22"/>
        </w:rPr>
        <w:t xml:space="preserve">Authentification par mot de passe hache (SHA-256)</w:t>
      </w:r>
    </w:p>
    <w:p>
      <w:pPr>
        <w:pStyle w:val="ListParagraph"/>
        <w:numPr>
          <w:ilvl w:val="0"/>
          <w:numId w:val="2"/>
        </w:numPr>
      </w:pPr>
      <w:r>
        <w:rPr>
          <w:rFonts w:ascii="Arial" w:cs="Arial" w:eastAsia="Arial" w:hAnsi="Arial"/>
          <w:sz w:val="22"/>
          <w:szCs w:val="22"/>
        </w:rPr>
        <w:t xml:space="preserve">Journalisation des acces dans app.log (conserve 12 mois)</w:t>
      </w:r>
    </w:p>
    <w:p>
      <w:pPr>
        <w:pStyle w:val="ListParagraph"/>
        <w:numPr>
          <w:ilvl w:val="0"/>
          <w:numId w:val="2"/>
        </w:numPr>
      </w:pPr>
      <w:r>
        <w:rPr>
          <w:rFonts w:ascii="Arial" w:cs="Arial" w:eastAsia="Arial" w:hAnsi="Arial"/>
          <w:sz w:val="22"/>
          <w:szCs w:val="22"/>
        </w:rPr>
        <w:t xml:space="preserve">Communication HTTPS obligatoire en production (TLS 1.3)</w:t>
      </w:r>
    </w:p>
    <w:p>
      <w:pPr>
        <w:pStyle w:val="ListParagraph"/>
        <w:numPr>
          <w:ilvl w:val="0"/>
          <w:numId w:val="2"/>
        </w:numPr>
      </w:pPr>
      <w:r>
        <w:rPr>
          <w:rFonts w:ascii="Arial" w:cs="Arial" w:eastAsia="Arial" w:hAnsi="Arial"/>
          <w:sz w:val="22"/>
          <w:szCs w:val="22"/>
        </w:rPr>
        <w:t xml:space="preserve">Aucun stockage persistant des donnees de sante en base de donnees</w:t>
      </w:r>
    </w:p>
    <w:p>
      <w:pPr>
        <w:pStyle w:val="ListParagraph"/>
        <w:numPr>
          <w:ilvl w:val="0"/>
          <w:numId w:val="2"/>
        </w:numPr>
      </w:pPr>
      <w:r>
        <w:rPr>
          <w:rFonts w:ascii="Arial" w:cs="Arial" w:eastAsia="Arial" w:hAnsi="Arial"/>
          <w:sz w:val="22"/>
          <w:szCs w:val="22"/>
        </w:rPr>
        <w:t xml:space="preserve">Modele IA entraine localement, aucune donnee transmise a des tiers</w:t>
      </w:r>
    </w:p>
    <w:p>
      <w:r>
        <w:t xml:space="preserve"/>
      </w:r>
    </w:p>
    <w:p>
      <w:pPr>
        <w:pStyle w:val="Heading1"/>
      </w:pPr>
      <w:r>
        <w:t xml:space="preserve">5. Droits des Personnes Concernees</w:t>
      </w:r>
    </w:p>
    <w:p>
      <w:r>
        <w:rPr>
          <w:rFonts w:ascii="Arial" w:cs="Arial" w:eastAsia="Arial" w:hAnsi="Arial"/>
          <w:sz w:val="22"/>
          <w:szCs w:val="22"/>
        </w:rPr>
        <w:t xml:space="preserve">Conformement aux articles 15 a 22 du RGPD, les utilisateurs beneficient de :</w:t>
      </w:r>
    </w:p>
    <w:p>
      <w:pPr>
        <w:pStyle w:val="ListParagraph"/>
        <w:numPr>
          <w:ilvl w:val="0"/>
          <w:numId w:val="2"/>
        </w:numPr>
      </w:pPr>
      <w:r>
        <w:rPr>
          <w:rFonts w:ascii="Arial" w:cs="Arial" w:eastAsia="Arial" w:hAnsi="Arial"/>
          <w:sz w:val="22"/>
          <w:szCs w:val="22"/>
        </w:rPr>
        <w:t xml:space="preserve">Art. 15 - Droit d'acces : consultation des donnees traitees</w:t>
      </w:r>
    </w:p>
    <w:p>
      <w:pPr>
        <w:pStyle w:val="ListParagraph"/>
        <w:numPr>
          <w:ilvl w:val="0"/>
          <w:numId w:val="2"/>
        </w:numPr>
      </w:pPr>
      <w:r>
        <w:rPr>
          <w:rFonts w:ascii="Arial" w:cs="Arial" w:eastAsia="Arial" w:hAnsi="Arial"/>
          <w:sz w:val="22"/>
          <w:szCs w:val="22"/>
        </w:rPr>
        <w:t xml:space="preserve">Art. 16 - Droit de rectification : correction des informations inexactes</w:t>
      </w:r>
    </w:p>
    <w:p>
      <w:pPr>
        <w:pStyle w:val="ListParagraph"/>
        <w:numPr>
          <w:ilvl w:val="0"/>
          <w:numId w:val="2"/>
        </w:numPr>
      </w:pPr>
      <w:r>
        <w:rPr>
          <w:rFonts w:ascii="Arial" w:cs="Arial" w:eastAsia="Arial" w:hAnsi="Arial"/>
          <w:sz w:val="22"/>
          <w:szCs w:val="22"/>
        </w:rPr>
        <w:t xml:space="preserve">Art. 17 - Droit a l'effacement : suppression des donnees personnelles</w:t>
      </w:r>
    </w:p>
    <w:p>
      <w:pPr>
        <w:pStyle w:val="ListParagraph"/>
        <w:numPr>
          <w:ilvl w:val="0"/>
          <w:numId w:val="2"/>
        </w:numPr>
      </w:pPr>
      <w:r>
        <w:rPr>
          <w:rFonts w:ascii="Arial" w:cs="Arial" w:eastAsia="Arial" w:hAnsi="Arial"/>
          <w:sz w:val="22"/>
          <w:szCs w:val="22"/>
        </w:rPr>
        <w:t xml:space="preserve">Art. 20 - Droit a la portabilite : export des donnees en format CSV/JSON</w:t>
      </w:r>
    </w:p>
    <w:p>
      <w:pPr>
        <w:pStyle w:val="ListParagraph"/>
        <w:numPr>
          <w:ilvl w:val="0"/>
          <w:numId w:val="2"/>
        </w:numPr>
      </w:pPr>
      <w:r>
        <w:rPr>
          <w:rFonts w:ascii="Arial" w:cs="Arial" w:eastAsia="Arial" w:hAnsi="Arial"/>
          <w:sz w:val="22"/>
          <w:szCs w:val="22"/>
        </w:rPr>
        <w:t xml:space="preserve">Art. 21 - Droit d'opposition : refus du traitement a tout moment</w:t>
      </w:r>
    </w:p>
    <w:p>
      <w:pPr>
        <w:pStyle w:val="ListParagraph"/>
        <w:numPr>
          <w:ilvl w:val="0"/>
          <w:numId w:val="2"/>
        </w:numPr>
      </w:pPr>
      <w:r>
        <w:rPr>
          <w:rFonts w:ascii="Arial" w:cs="Arial" w:eastAsia="Arial" w:hAnsi="Arial"/>
          <w:sz w:val="22"/>
          <w:szCs w:val="22"/>
        </w:rPr>
        <w:t xml:space="preserve">Art. 22 - Droit contre la decision automatisee : information fournie que l'outil est indicatif</w:t>
      </w:r>
    </w:p>
    <w:p>
      <w:r>
        <w:t xml:space="preserve"/>
      </w:r>
    </w:p>
    <w:p>
      <w:r>
        <w:rPr>
          <w:rFonts w:ascii="Arial" w:cs="Arial" w:eastAsia="Arial" w:hAnsi="Arial"/>
          <w:b/>
          <w:bCs/>
          <w:color w:val="2B6CB0"/>
          <w:sz w:val="22"/>
          <w:szCs w:val="22"/>
        </w:rPr>
        <w:t xml:space="preserve">Contact DPO : dpo@healthinsurtech.fr | Reponse garantie sous 30 jours ouvrés.</w:t>
      </w:r>
    </w:p>
    <w:p>
      <w:r>
        <w:t xml:space="preserve"/>
      </w:r>
    </w:p>
    <w:p>
      <w:pPr>
        <w:pStyle w:val="Heading1"/>
      </w:pPr>
      <w:r>
        <w:t xml:space="preserve">6. Accessibilite RGAA / WCAG 2.1 — 3 Mesures Implementees</w:t>
      </w:r>
    </w:p>
    <w:p>
      <w:pPr>
        <w:pStyle w:val="Heading2"/>
      </w:pPr>
      <w:r>
        <w:t xml:space="preserve">Mesure 1 : Contraste de couleurs (WCAG 1.4.3)</w:t>
      </w:r>
    </w:p>
    <w:p>
      <w:r>
        <w:rPr>
          <w:rFonts w:ascii="Arial" w:cs="Arial" w:eastAsia="Arial" w:hAnsi="Arial"/>
          <w:sz w:val="22"/>
          <w:szCs w:val="22"/>
        </w:rPr>
        <w:t xml:space="preserve">Toutes les combinaisons texte/fond respectent un ratio de contraste &gt;= 4.5:1 pour le texte normal et &gt;= 3:1 pour le grand texte. Couleur principale #1A365D sur blanc : ratio 12.6:1 (AAA). Verifie avec l'outil WebAIM Contrast Checker.</w:t>
      </w:r>
    </w:p>
    <w:p>
      <w:r>
        <w:t xml:space="preserve"/>
      </w:r>
    </w:p>
    <w:p>
      <w:pPr>
        <w:pStyle w:val="Heading2"/>
      </w:pPr>
      <w:r>
        <w:t xml:space="preserve">Mesure 2 : Navigation clavier et attributs ARIA (WCAG 2.1.1 &amp; 4.1.2)</w:t>
      </w:r>
    </w:p>
    <w:p>
      <w:r>
        <w:rPr>
          <w:rFonts w:ascii="Arial" w:cs="Arial" w:eastAsia="Arial" w:hAnsi="Arial"/>
          <w:sz w:val="22"/>
          <w:szCs w:val="22"/>
        </w:rPr>
        <w:t xml:space="preserve">Tous les formulaires et boutons sont accessibles via Tab/Enter/Espace. Les elements interactifs disposent d'attributs ARIA explicites (role, aria-label, aria-modal). Un lien "Aller au contenu principal" (skip link) est disponible en debut de page pour les utilisateurs de lecteurs d'ecran.</w:t>
      </w:r>
    </w:p>
    <w:p>
      <w:r>
        <w:t xml:space="preserve"/>
      </w:r>
    </w:p>
    <w:p>
      <w:pPr>
        <w:pStyle w:val="Heading2"/>
      </w:pPr>
      <w:r>
        <w:t xml:space="preserve">Mesure 3 : Etiquettes et messages d'erreur (WCAG 1.3.1 &amp; 3.3.1)</w:t>
      </w:r>
    </w:p>
    <w:p>
      <w:r>
        <w:rPr>
          <w:rFonts w:ascii="Arial" w:cs="Arial" w:eastAsia="Arial" w:hAnsi="Arial"/>
          <w:sz w:val="22"/>
          <w:szCs w:val="22"/>
        </w:rPr>
        <w:t xml:space="preserve">Chaque champ de saisie possede un label explicite associe via attribut for/id et un texte d'aide (placeholder + tooltip). Les messages d'erreur sont descriptifs et indiquent precisement la correction attendue. L'interface est entierement testee avec NVDA (lecteur d'ecran).</w:t>
      </w:r>
    </w:p>
    <w:p>
      <w:r>
        <w:t xml:space="preserve"/>
      </w:r>
    </w:p>
    <w:p>
      <w:pPr>
        <w:pBdr>
          <w:top w:val="single" w:color="2B6CB0" w:sz="6" w:space="4"/>
        </w:pBdr>
        <w:jc w:val="center"/>
      </w:pPr>
      <w:r>
        <w:rPr>
          <w:rFonts w:ascii="Arial" w:cs="Arial" w:eastAsia="Arial" w:hAnsi="Arial"/>
          <w:i/>
          <w:iCs/>
          <w:color w:val="718096"/>
          <w:sz w:val="18"/>
          <w:szCs w:val="18"/>
        </w:rPr>
        <w:t xml:space="preserve">Health-InsurTech SAS — Document confidentiel — RGPD Art. 35 AIPD — Version 1.0 — Juin 2025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60" w:after="200"/>
      <w:outlineLvl w:val="0"/>
    </w:pPr>
    <w:rPr>
      <w:rFonts w:ascii="Arial" w:cs="Arial" w:eastAsia="Arial" w:hAnsi="Arial"/>
      <w:b/>
      <w:bCs/>
      <w:color w:val="1A365D"/>
      <w:sz w:val="36"/>
      <w:szCs w:val="36"/>
    </w:rPr>
  </w:style>
  <w:style w:type="paragraph" w:styleId="Heading2">
    <w:name w:val="Heading 2"/>
    <w:basedOn w:val="Normal"/>
    <w:next w:val="Normal"/>
    <w:pPr>
      <w:spacing w:before="280" w:after="120"/>
      <w:outlineLvl w:val="1"/>
    </w:pPr>
    <w:rPr>
      <w:rFonts w:ascii="Arial" w:cs="Arial" w:eastAsia="Arial" w:hAnsi="Arial"/>
      <w:b/>
      <w:bCs/>
      <w:color w:val="2B6CB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2026-03-13T10:18:17.676Z</dcterms:created>
  <dcterms:modified xsi:type="dcterms:W3CDTF">2026-03-13T10:18:17.676Z</dcterms:modified>
</cp:coreProperties>
</file>

<file path=docProps/custom.xml><?xml version="1.0" encoding="utf-8"?>
<Properties xmlns="http://schemas.openxmlformats.org/officeDocument/2006/custom-properties" xmlns:vt="http://schemas.openxmlformats.org/officeDocument/2006/docPropsVTypes"/>
</file>