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B0794" w14:textId="77777777" w:rsidR="004F45B6" w:rsidRDefault="004F45B6" w:rsidP="004F45B6">
      <w:sdt>
        <w:sdtPr>
          <w:id w:val="-1117978499"/>
          <w:citation/>
        </w:sdtPr>
        <w:sdtContent>
          <w:r>
            <w:fldChar w:fldCharType="begin"/>
          </w:r>
          <w:r>
            <w:instrText xml:space="preserve"> CITATION DeS20 \l 1033 </w:instrText>
          </w:r>
          <w:r>
            <w:fldChar w:fldCharType="separate"/>
          </w:r>
          <w:r>
            <w:rPr>
              <w:noProof/>
            </w:rPr>
            <w:t>(De, Mohapatra, &amp; Ratha, 2020)</w:t>
          </w:r>
          <w:r>
            <w:fldChar w:fldCharType="end"/>
          </w:r>
        </w:sdtContent>
      </w:sdt>
    </w:p>
    <w:p w14:paraId="372E79C6" w14:textId="77777777" w:rsidR="004F45B6" w:rsidRDefault="004F45B6"/>
    <w:p w14:paraId="2F895324" w14:textId="749BCBDB" w:rsidR="004F45B6" w:rsidRDefault="00CA3F47">
      <w:r>
        <w:t>Scale origins?</w:t>
      </w:r>
    </w:p>
    <w:p w14:paraId="4D76F813" w14:textId="24E5E336" w:rsidR="00CA3F47" w:rsidRDefault="00CA3F47">
      <w:r w:rsidRPr="00CA3F47">
        <w:t xml:space="preserve">Systems of converting the alphabetical ratings into numerical scores have been proposed in papers such as </w:t>
      </w:r>
      <w:proofErr w:type="spellStart"/>
      <w:r w:rsidRPr="00CA3F47">
        <w:t>Dadush</w:t>
      </w:r>
      <w:proofErr w:type="spellEnd"/>
      <w:r w:rsidRPr="00CA3F47">
        <w:t xml:space="preserve"> and Dasgupta (2001) and Gaillard (2009). We build on this system but introduce an innocuous cardinal change (Sen 1977; Basu 1983) of multiplying each number by 3, as done in Basu et al. (2012).2 This modification allows for a richer analysis.3 Since in addition to the grades, the agencies give three outlook classifications, positive, stable, and negative for each grade, we refine the conversion system further by subdividing each grade across the three outlook classes and assigning a numerical score corresponding to each. Furthermore, following Ratha, De and </w:t>
      </w:r>
      <w:proofErr w:type="spellStart"/>
      <w:r w:rsidRPr="00CA3F47">
        <w:t>Mohaptra</w:t>
      </w:r>
      <w:proofErr w:type="spellEnd"/>
      <w:r w:rsidRPr="00CA3F47">
        <w:t xml:space="preserve"> (2011), better scores are </w:t>
      </w:r>
      <w:proofErr w:type="gramStart"/>
      <w:r w:rsidRPr="00CA3F47">
        <w:t>assigned</w:t>
      </w:r>
      <w:proofErr w:type="gramEnd"/>
      <w:r w:rsidRPr="00CA3F47">
        <w:t xml:space="preserve"> smaller numbers since the scores for the lower-than-default category are indeterminate.</w:t>
      </w:r>
    </w:p>
    <w:p w14:paraId="46ED07C0" w14:textId="7BE06B13" w:rsidR="004F45B6" w:rsidRDefault="004F45B6" w:rsidP="004F45B6">
      <w:pPr>
        <w:pStyle w:val="ListParagraph"/>
        <w:numPr>
          <w:ilvl w:val="0"/>
          <w:numId w:val="1"/>
        </w:numPr>
      </w:pPr>
      <w:sdt>
        <w:sdtPr>
          <w:id w:val="-1829433178"/>
          <w:citation/>
        </w:sdtPr>
        <w:sdtContent>
          <w:r>
            <w:fldChar w:fldCharType="begin"/>
          </w:r>
          <w:r>
            <w:instrText xml:space="preserve"> CITATION Det96 \l 1033 </w:instrText>
          </w:r>
          <w:r>
            <w:fldChar w:fldCharType="separate"/>
          </w:r>
          <w:r>
            <w:rPr>
              <w:noProof/>
            </w:rPr>
            <w:t>(Cantor &amp; Packer, 1996)</w:t>
          </w:r>
          <w:r>
            <w:fldChar w:fldCharType="end"/>
          </w:r>
        </w:sdtContent>
      </w:sdt>
      <w:r>
        <w:t xml:space="preserve"> hypothesize sovereign credit ratings as “risk assessments” of countries as debtors.</w:t>
      </w:r>
    </w:p>
    <w:p w14:paraId="2BD9CB89" w14:textId="77777777" w:rsidR="00727C7C" w:rsidRDefault="00727C7C" w:rsidP="004F45B6">
      <w:pPr>
        <w:pStyle w:val="ListParagraph"/>
        <w:numPr>
          <w:ilvl w:val="0"/>
          <w:numId w:val="1"/>
        </w:numPr>
      </w:pPr>
    </w:p>
    <w:p w14:paraId="47FC578F" w14:textId="649400B0" w:rsidR="004F45B6" w:rsidRDefault="004F45B6" w:rsidP="004F45B6">
      <w:pPr>
        <w:pStyle w:val="ListParagraph"/>
        <w:numPr>
          <w:ilvl w:val="0"/>
          <w:numId w:val="1"/>
        </w:numPr>
      </w:pPr>
      <w:sdt>
        <w:sdtPr>
          <w:id w:val="-796534292"/>
          <w:citation/>
        </w:sdtPr>
        <w:sdtContent>
          <w:r>
            <w:fldChar w:fldCharType="begin"/>
          </w:r>
          <w:r>
            <w:instrText xml:space="preserve"> CITATION DeS20 \l 1033 </w:instrText>
          </w:r>
          <w:r>
            <w:fldChar w:fldCharType="separate"/>
          </w:r>
          <w:r>
            <w:rPr>
              <w:noProof/>
            </w:rPr>
            <w:t>(De, Mohapatra, &amp; Ratha, 2020)</w:t>
          </w:r>
          <w:r>
            <w:fldChar w:fldCharType="end"/>
          </w:r>
        </w:sdtContent>
      </w:sdt>
      <w:r>
        <w:t xml:space="preserve"> find that “</w:t>
      </w:r>
      <w:r w:rsidRPr="004F45B6">
        <w:t>while absolute ratings were an important determinant of net capital inflows prior to the global financial crisis in 2008, the influence of relative risk ratings increased in the</w:t>
      </w:r>
      <w:r>
        <w:t xml:space="preserve"> post-crisis period”.</w:t>
      </w:r>
    </w:p>
    <w:p w14:paraId="07087D03" w14:textId="24E1A5D8" w:rsidR="004F45B6" w:rsidRDefault="004F45B6" w:rsidP="00764251">
      <w:pPr>
        <w:pStyle w:val="ListParagraph"/>
        <w:numPr>
          <w:ilvl w:val="0"/>
          <w:numId w:val="1"/>
        </w:numPr>
      </w:pPr>
      <w:sdt>
        <w:sdtPr>
          <w:id w:val="-274021541"/>
          <w:citation/>
        </w:sdtPr>
        <w:sdtContent>
          <w:r>
            <w:fldChar w:fldCharType="begin"/>
          </w:r>
          <w:r>
            <w:instrText xml:space="preserve"> CITATION Ras12 \l 1033 </w:instrText>
          </w:r>
          <w:r>
            <w:fldChar w:fldCharType="separate"/>
          </w:r>
          <w:r>
            <w:rPr>
              <w:noProof/>
            </w:rPr>
            <w:t>(Alsakka &amp; Gwilym, 2012)</w:t>
          </w:r>
          <w:r>
            <w:fldChar w:fldCharType="end"/>
          </w:r>
        </w:sdtContent>
      </w:sdt>
      <w:r>
        <w:t xml:space="preserve"> “</w:t>
      </w:r>
      <w:proofErr w:type="gramStart"/>
      <w:r w:rsidRPr="004F45B6">
        <w:t>positive</w:t>
      </w:r>
      <w:proofErr w:type="gramEnd"/>
      <w:r w:rsidRPr="004F45B6">
        <w:t xml:space="preserve"> and negative credit news affects both the own-country exchange rate and other countries’ exchange rates</w:t>
      </w:r>
      <w:r w:rsidR="00764251">
        <w:t xml:space="preserve"> [on the foreign exchange spot market].</w:t>
      </w:r>
      <w:r>
        <w:t>”</w:t>
      </w:r>
    </w:p>
    <w:p w14:paraId="5675BD05" w14:textId="5C1CEED4" w:rsidR="00764251" w:rsidRDefault="00764251" w:rsidP="00764251">
      <w:pPr>
        <w:pStyle w:val="ListParagraph"/>
        <w:numPr>
          <w:ilvl w:val="0"/>
          <w:numId w:val="1"/>
        </w:numPr>
      </w:pPr>
      <w:sdt>
        <w:sdtPr>
          <w:id w:val="-1497409700"/>
          <w:citation/>
        </w:sdtPr>
        <w:sdtContent>
          <w:r>
            <w:fldChar w:fldCharType="begin"/>
          </w:r>
          <w:r>
            <w:instrText xml:space="preserve"> CITATION Chu98 \l 1033 </w:instrText>
          </w:r>
          <w:r>
            <w:fldChar w:fldCharType="separate"/>
          </w:r>
          <w:r>
            <w:rPr>
              <w:noProof/>
            </w:rPr>
            <w:t>(Chuhan, Mamingi, &amp; Claessens, 1998)</w:t>
          </w:r>
          <w:r>
            <w:fldChar w:fldCharType="end"/>
          </w:r>
        </w:sdtContent>
      </w:sdt>
      <w:r>
        <w:t xml:space="preserve"> “</w:t>
      </w:r>
      <w:proofErr w:type="gramStart"/>
      <w:r w:rsidRPr="00764251">
        <w:t>the</w:t>
      </w:r>
      <w:proofErr w:type="gramEnd"/>
      <w:r w:rsidRPr="00764251">
        <w:t xml:space="preserve"> credit rating is significant for equity flows in Asia.</w:t>
      </w:r>
      <w:r>
        <w:t>”</w:t>
      </w:r>
    </w:p>
    <w:p w14:paraId="5BA85731" w14:textId="2F5CC0CF" w:rsidR="00764251" w:rsidRDefault="00764251" w:rsidP="00764251">
      <w:pPr>
        <w:pStyle w:val="ListParagraph"/>
        <w:numPr>
          <w:ilvl w:val="0"/>
          <w:numId w:val="1"/>
        </w:numPr>
      </w:pPr>
      <w:sdt>
        <w:sdtPr>
          <w:id w:val="-394889820"/>
          <w:citation/>
        </w:sdtPr>
        <w:sdtContent>
          <w:r>
            <w:fldChar w:fldCharType="begin"/>
          </w:r>
          <w:r>
            <w:instrText xml:space="preserve"> CITATION Fer07 \l 1033 </w:instrText>
          </w:r>
          <w:r>
            <w:fldChar w:fldCharType="separate"/>
          </w:r>
          <w:r>
            <w:rPr>
              <w:noProof/>
            </w:rPr>
            <w:t>(Ferreira &amp; Gama, 2007)</w:t>
          </w:r>
          <w:r>
            <w:fldChar w:fldCharType="end"/>
          </w:r>
        </w:sdtContent>
      </w:sdt>
      <w:r>
        <w:t xml:space="preserve"> </w:t>
      </w:r>
      <w:r w:rsidR="00C33F6D">
        <w:t>“</w:t>
      </w:r>
      <w:r w:rsidRPr="00764251">
        <w:t>Closeness (e.g., geographic proximity) and emerging market status amplify the effect of a spillover. Downgrade spillover effects at the industry level are more pronounced in traded goods and small industries.</w:t>
      </w:r>
      <w:r w:rsidR="00C33F6D">
        <w:t>”</w:t>
      </w:r>
    </w:p>
    <w:p w14:paraId="2CB63144" w14:textId="0D896072" w:rsidR="00C33F6D" w:rsidRDefault="00C33F6D" w:rsidP="00764251">
      <w:pPr>
        <w:pStyle w:val="ListParagraph"/>
        <w:numPr>
          <w:ilvl w:val="0"/>
          <w:numId w:val="1"/>
        </w:numPr>
      </w:pPr>
      <w:sdt>
        <w:sdtPr>
          <w:id w:val="-983003111"/>
          <w:citation/>
        </w:sdtPr>
        <w:sdtContent>
          <w:r>
            <w:fldChar w:fldCharType="begin"/>
          </w:r>
          <w:r>
            <w:instrText xml:space="preserve"> CITATION Kim11 \l 1033 </w:instrText>
          </w:r>
          <w:r>
            <w:fldChar w:fldCharType="separate"/>
          </w:r>
          <w:r>
            <w:rPr>
              <w:noProof/>
            </w:rPr>
            <w:t>(Kim &amp; Wu, 2011)</w:t>
          </w:r>
          <w:r>
            <w:fldChar w:fldCharType="end"/>
          </w:r>
        </w:sdtContent>
      </w:sdt>
      <w:r>
        <w:t xml:space="preserve"> “</w:t>
      </w:r>
      <w:proofErr w:type="gramStart"/>
      <w:r w:rsidRPr="00C33F6D">
        <w:t>find</w:t>
      </w:r>
      <w:proofErr w:type="gramEnd"/>
      <w:r w:rsidRPr="00C33F6D">
        <w:t xml:space="preserve"> evidence indicating that sovereign credit rating revisions have significant and positive influences on international bank flows from developed markets even after controlling for other determinants. In addition, we find strong regional rating spillover effects. Ratings improvements in one emerging market region tend to reduce bank flows to the other regions</w:t>
      </w:r>
      <w:r>
        <w:t>”</w:t>
      </w:r>
    </w:p>
    <w:p w14:paraId="0DC9005D" w14:textId="41A30911" w:rsidR="00C33F6D" w:rsidRDefault="00C33F6D" w:rsidP="00764251">
      <w:pPr>
        <w:pStyle w:val="ListParagraph"/>
        <w:numPr>
          <w:ilvl w:val="0"/>
          <w:numId w:val="1"/>
        </w:numPr>
      </w:pPr>
      <w:sdt>
        <w:sdtPr>
          <w:id w:val="-1490472554"/>
          <w:citation/>
        </w:sdtPr>
        <w:sdtContent>
          <w:r>
            <w:fldChar w:fldCharType="begin"/>
          </w:r>
          <w:r>
            <w:instrText xml:space="preserve">CITATION Kim08 \t  \l 1033 </w:instrText>
          </w:r>
          <w:r>
            <w:fldChar w:fldCharType="separate"/>
          </w:r>
          <w:r>
            <w:rPr>
              <w:noProof/>
            </w:rPr>
            <w:t>(Kim &amp; Wu, 2008)</w:t>
          </w:r>
          <w:r>
            <w:fldChar w:fldCharType="end"/>
          </w:r>
        </w:sdtContent>
      </w:sdt>
      <w:r>
        <w:t xml:space="preserve"> “</w:t>
      </w:r>
      <w:proofErr w:type="gramStart"/>
      <w:r w:rsidRPr="00C33F6D">
        <w:t>find</w:t>
      </w:r>
      <w:proofErr w:type="gramEnd"/>
      <w:r w:rsidRPr="00C33F6D">
        <w:t xml:space="preserve"> that </w:t>
      </w:r>
      <w:proofErr w:type="spellStart"/>
      <w:r w:rsidRPr="00C33F6D">
        <w:t>i</w:t>
      </w:r>
      <w:proofErr w:type="spellEnd"/>
      <w:r w:rsidRPr="00C33F6D">
        <w:t>) long-term foreign currency sovereign credit ratings are important for encouraging financial intermediary development and for attracting capital flows</w:t>
      </w:r>
      <w:r>
        <w:t>”</w:t>
      </w:r>
    </w:p>
    <w:p w14:paraId="700DD097" w14:textId="60D8C34E" w:rsidR="004F364A" w:rsidRDefault="004F364A" w:rsidP="00764251">
      <w:pPr>
        <w:pStyle w:val="ListParagraph"/>
        <w:numPr>
          <w:ilvl w:val="0"/>
          <w:numId w:val="1"/>
        </w:numPr>
      </w:pPr>
      <w:sdt>
        <w:sdtPr>
          <w:id w:val="1995830956"/>
          <w:citation/>
        </w:sdtPr>
        <w:sdtContent>
          <w:r>
            <w:fldChar w:fldCharType="begin"/>
          </w:r>
          <w:r>
            <w:instrText xml:space="preserve"> CITATION Sti99 \l 1033 </w:instrText>
          </w:r>
          <w:r>
            <w:fldChar w:fldCharType="separate"/>
          </w:r>
          <w:r>
            <w:rPr>
              <w:noProof/>
            </w:rPr>
            <w:t>(Stiglitz, Ferri, &amp; Liu, 1999)</w:t>
          </w:r>
          <w:r>
            <w:fldChar w:fldCharType="end"/>
          </w:r>
        </w:sdtContent>
      </w:sdt>
      <w:r>
        <w:t xml:space="preserve"> Rating agencies’ conservatism exacerbated Asian fin crisis</w:t>
      </w:r>
    </w:p>
    <w:p w14:paraId="5999373F" w14:textId="51C7AC6F" w:rsidR="00727C7C" w:rsidRDefault="00727C7C" w:rsidP="00727C7C">
      <w:pPr>
        <w:pStyle w:val="ListParagraph"/>
        <w:numPr>
          <w:ilvl w:val="0"/>
          <w:numId w:val="1"/>
        </w:numPr>
      </w:pPr>
      <w:sdt>
        <w:sdtPr>
          <w:id w:val="-2108720280"/>
          <w:citation/>
        </w:sdtPr>
        <w:sdtContent>
          <w:r>
            <w:fldChar w:fldCharType="begin"/>
          </w:r>
          <w:r>
            <w:instrText xml:space="preserve"> CITATION Kau12 \l 1033 </w:instrText>
          </w:r>
          <w:r>
            <w:fldChar w:fldCharType="separate"/>
          </w:r>
          <w:r>
            <w:rPr>
              <w:noProof/>
            </w:rPr>
            <w:t>(Basu, Bisen, De, Ghosh, &amp; Shweta, 2012)</w:t>
          </w:r>
          <w:r>
            <w:fldChar w:fldCharType="end"/>
          </w:r>
        </w:sdtContent>
      </w:sdt>
      <w:r>
        <w:t xml:space="preserve"> computes </w:t>
      </w:r>
      <w:proofErr w:type="spellStart"/>
      <w:r>
        <w:t>rel</w:t>
      </w:r>
      <w:proofErr w:type="spellEnd"/>
      <w:r>
        <w:t xml:space="preserve"> ratings for 6 yrs from Indian gov </w:t>
      </w:r>
      <w:proofErr w:type="spellStart"/>
      <w:r>
        <w:t>pov</w:t>
      </w:r>
      <w:proofErr w:type="spellEnd"/>
      <w:r>
        <w:t>; formula classified</w:t>
      </w:r>
      <w:r w:rsidR="00CA3F47">
        <w:t>.</w:t>
      </w:r>
    </w:p>
    <w:p w14:paraId="6F12D93B" w14:textId="175BF835" w:rsidR="00727C7C" w:rsidRDefault="00727C7C" w:rsidP="00727C7C">
      <w:pPr>
        <w:pStyle w:val="ListParagraph"/>
        <w:numPr>
          <w:ilvl w:val="0"/>
          <w:numId w:val="1"/>
        </w:numPr>
      </w:pPr>
      <w:sdt>
        <w:sdtPr>
          <w:id w:val="-1128476069"/>
          <w:citation/>
        </w:sdtPr>
        <w:sdtContent>
          <w:r>
            <w:fldChar w:fldCharType="begin"/>
          </w:r>
          <w:r>
            <w:instrText xml:space="preserve"> CITATION Kau13 \l 1033 </w:instrText>
          </w:r>
          <w:r>
            <w:fldChar w:fldCharType="separate"/>
          </w:r>
          <w:r>
            <w:rPr>
              <w:noProof/>
            </w:rPr>
            <w:t>(Basu, De, Ratha, &amp; Timmer, 2013)</w:t>
          </w:r>
          <w:r>
            <w:fldChar w:fldCharType="end"/>
          </w:r>
        </w:sdtContent>
      </w:sdt>
      <w:r>
        <w:t xml:space="preserve"> take model from below, </w:t>
      </w:r>
    </w:p>
    <w:p w14:paraId="66DEFFBD" w14:textId="5B544167" w:rsidR="00727C7C" w:rsidRDefault="00CA3F47" w:rsidP="00727C7C">
      <w:pPr>
        <w:pStyle w:val="ListParagraph"/>
        <w:numPr>
          <w:ilvl w:val="0"/>
          <w:numId w:val="1"/>
        </w:numPr>
      </w:pPr>
      <w:sdt>
        <w:sdtPr>
          <w:id w:val="-639880587"/>
          <w:citation/>
        </w:sdtPr>
        <w:sdtContent>
          <w:r>
            <w:fldChar w:fldCharType="begin"/>
          </w:r>
          <w:r>
            <w:instrText xml:space="preserve"> CITATION Pra11 \l 1033 </w:instrText>
          </w:r>
          <w:r>
            <w:fldChar w:fldCharType="separate"/>
          </w:r>
          <w:r>
            <w:rPr>
              <w:noProof/>
            </w:rPr>
            <w:t>(De, Ratha, &amp; Mohapatra, 2011)</w:t>
          </w:r>
          <w:r>
            <w:fldChar w:fldCharType="end"/>
          </w:r>
        </w:sdtContent>
      </w:sdt>
      <w:r>
        <w:t xml:space="preserve"> </w:t>
      </w:r>
      <w:r w:rsidR="00727C7C">
        <w:t xml:space="preserve">Shadow ratings model (based on cp96) </w:t>
      </w:r>
    </w:p>
    <w:p w14:paraId="4A4AC134" w14:textId="32CE82D4" w:rsidR="00727C7C" w:rsidRDefault="00727C7C" w:rsidP="00727C7C">
      <w:pPr>
        <w:pStyle w:val="ListParagraph"/>
        <w:numPr>
          <w:ilvl w:val="1"/>
          <w:numId w:val="1"/>
        </w:numPr>
      </w:pPr>
      <w:r w:rsidRPr="00727C7C">
        <w:t xml:space="preserve">explanatory variables are one period lagged (2007 explanatory variables for 2008 ratings and 2011 ones for 2012 ratings) values of GDP growth (3-year moving average), log of GNI per capita, ratio of reserves to sum of imports and short term debt, ratio of total external debt to sum of exports and remittances, GDP volatility (5-year standard deviation), rule of law (+2.5 to –2.5 from World Governance Indicators, Kraay, Kaufmann and </w:t>
      </w:r>
      <w:proofErr w:type="spellStart"/>
      <w:r w:rsidRPr="00727C7C">
        <w:t>Mastruzzi</w:t>
      </w:r>
      <w:proofErr w:type="spellEnd"/>
      <w:r w:rsidRPr="00727C7C">
        <w:t xml:space="preserve"> 2010), inflation, general government gross debt (% of GDP), log of GDP and a dummy for </w:t>
      </w:r>
      <w:proofErr w:type="spellStart"/>
      <w:r w:rsidRPr="00727C7C">
        <w:t>highincome</w:t>
      </w:r>
      <w:proofErr w:type="spellEnd"/>
      <w:r w:rsidRPr="00727C7C">
        <w:t xml:space="preserve"> countries. The use of lagged explanatory variables helps address, to some extent, the simultaneity problem</w:t>
      </w:r>
    </w:p>
    <w:p w14:paraId="7546B044" w14:textId="77777777" w:rsidR="00727C7C" w:rsidRDefault="00727C7C" w:rsidP="00727C7C"/>
    <w:p w14:paraId="493EB4FA" w14:textId="40A14145" w:rsidR="00727C7C" w:rsidRDefault="00727C7C" w:rsidP="00727C7C">
      <w:r>
        <w:t xml:space="preserve">Build a </w:t>
      </w:r>
      <w:proofErr w:type="spellStart"/>
      <w:r>
        <w:t>gini</w:t>
      </w:r>
      <w:proofErr w:type="spellEnd"/>
      <w:r>
        <w:t xml:space="preserve"> for ratings? Make </w:t>
      </w:r>
      <w:proofErr w:type="spellStart"/>
      <w:r>
        <w:t>cf</w:t>
      </w:r>
      <w:proofErr w:type="spellEnd"/>
      <w:r>
        <w:t xml:space="preserve"> curve of </w:t>
      </w:r>
      <w:proofErr w:type="spellStart"/>
      <w:proofErr w:type="gramStart"/>
      <w:r>
        <w:t>countries,ratingscore</w:t>
      </w:r>
      <w:proofErr w:type="spellEnd"/>
      <w:proofErr w:type="gramEnd"/>
      <w:r>
        <w:t xml:space="preserve"> (try relative and absolute) and compute area between 45* line and that curve and divide that by this area plus the area between the curve and the x axis. </w:t>
      </w:r>
    </w:p>
    <w:sectPr w:rsidR="00727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B3AD4"/>
    <w:multiLevelType w:val="hybridMultilevel"/>
    <w:tmpl w:val="2DDEE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49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4C"/>
    <w:rsid w:val="000B7C3B"/>
    <w:rsid w:val="004F364A"/>
    <w:rsid w:val="004F45B6"/>
    <w:rsid w:val="00520604"/>
    <w:rsid w:val="005D784C"/>
    <w:rsid w:val="00603B08"/>
    <w:rsid w:val="00727C7C"/>
    <w:rsid w:val="00764251"/>
    <w:rsid w:val="00813C3F"/>
    <w:rsid w:val="00AE62CF"/>
    <w:rsid w:val="00C33F6D"/>
    <w:rsid w:val="00C6698C"/>
    <w:rsid w:val="00CA3F47"/>
    <w:rsid w:val="00FC6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24613"/>
  <w15:chartTrackingRefBased/>
  <w15:docId w15:val="{1D076238-09CF-49BB-8ACC-ACE78A6D3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84C"/>
    <w:rPr>
      <w:rFonts w:eastAsiaTheme="majorEastAsia" w:cstheme="majorBidi"/>
      <w:color w:val="272727" w:themeColor="text1" w:themeTint="D8"/>
    </w:rPr>
  </w:style>
  <w:style w:type="paragraph" w:styleId="Title">
    <w:name w:val="Title"/>
    <w:basedOn w:val="Normal"/>
    <w:next w:val="Normal"/>
    <w:link w:val="TitleChar"/>
    <w:uiPriority w:val="10"/>
    <w:qFormat/>
    <w:rsid w:val="005D7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84C"/>
    <w:pPr>
      <w:spacing w:before="160"/>
      <w:jc w:val="center"/>
    </w:pPr>
    <w:rPr>
      <w:i/>
      <w:iCs/>
      <w:color w:val="404040" w:themeColor="text1" w:themeTint="BF"/>
    </w:rPr>
  </w:style>
  <w:style w:type="character" w:customStyle="1" w:styleId="QuoteChar">
    <w:name w:val="Quote Char"/>
    <w:basedOn w:val="DefaultParagraphFont"/>
    <w:link w:val="Quote"/>
    <w:uiPriority w:val="29"/>
    <w:rsid w:val="005D784C"/>
    <w:rPr>
      <w:i/>
      <w:iCs/>
      <w:color w:val="404040" w:themeColor="text1" w:themeTint="BF"/>
    </w:rPr>
  </w:style>
  <w:style w:type="paragraph" w:styleId="ListParagraph">
    <w:name w:val="List Paragraph"/>
    <w:basedOn w:val="Normal"/>
    <w:uiPriority w:val="34"/>
    <w:qFormat/>
    <w:rsid w:val="005D784C"/>
    <w:pPr>
      <w:ind w:left="720"/>
      <w:contextualSpacing/>
    </w:pPr>
  </w:style>
  <w:style w:type="character" w:styleId="IntenseEmphasis">
    <w:name w:val="Intense Emphasis"/>
    <w:basedOn w:val="DefaultParagraphFont"/>
    <w:uiPriority w:val="21"/>
    <w:qFormat/>
    <w:rsid w:val="005D784C"/>
    <w:rPr>
      <w:i/>
      <w:iCs/>
      <w:color w:val="0F4761" w:themeColor="accent1" w:themeShade="BF"/>
    </w:rPr>
  </w:style>
  <w:style w:type="paragraph" w:styleId="IntenseQuote">
    <w:name w:val="Intense Quote"/>
    <w:basedOn w:val="Normal"/>
    <w:next w:val="Normal"/>
    <w:link w:val="IntenseQuoteChar"/>
    <w:uiPriority w:val="30"/>
    <w:qFormat/>
    <w:rsid w:val="005D7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84C"/>
    <w:rPr>
      <w:i/>
      <w:iCs/>
      <w:color w:val="0F4761" w:themeColor="accent1" w:themeShade="BF"/>
    </w:rPr>
  </w:style>
  <w:style w:type="character" w:styleId="IntenseReference">
    <w:name w:val="Intense Reference"/>
    <w:basedOn w:val="DefaultParagraphFont"/>
    <w:uiPriority w:val="32"/>
    <w:qFormat/>
    <w:rsid w:val="005D7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7476">
      <w:bodyDiv w:val="1"/>
      <w:marLeft w:val="0"/>
      <w:marRight w:val="0"/>
      <w:marTop w:val="0"/>
      <w:marBottom w:val="0"/>
      <w:divBdr>
        <w:top w:val="none" w:sz="0" w:space="0" w:color="auto"/>
        <w:left w:val="none" w:sz="0" w:space="0" w:color="auto"/>
        <w:bottom w:val="none" w:sz="0" w:space="0" w:color="auto"/>
        <w:right w:val="none" w:sz="0" w:space="0" w:color="auto"/>
      </w:divBdr>
    </w:div>
    <w:div w:id="49962254">
      <w:bodyDiv w:val="1"/>
      <w:marLeft w:val="0"/>
      <w:marRight w:val="0"/>
      <w:marTop w:val="0"/>
      <w:marBottom w:val="0"/>
      <w:divBdr>
        <w:top w:val="none" w:sz="0" w:space="0" w:color="auto"/>
        <w:left w:val="none" w:sz="0" w:space="0" w:color="auto"/>
        <w:bottom w:val="none" w:sz="0" w:space="0" w:color="auto"/>
        <w:right w:val="none" w:sz="0" w:space="0" w:color="auto"/>
      </w:divBdr>
    </w:div>
    <w:div w:id="72357477">
      <w:bodyDiv w:val="1"/>
      <w:marLeft w:val="0"/>
      <w:marRight w:val="0"/>
      <w:marTop w:val="0"/>
      <w:marBottom w:val="0"/>
      <w:divBdr>
        <w:top w:val="none" w:sz="0" w:space="0" w:color="auto"/>
        <w:left w:val="none" w:sz="0" w:space="0" w:color="auto"/>
        <w:bottom w:val="none" w:sz="0" w:space="0" w:color="auto"/>
        <w:right w:val="none" w:sz="0" w:space="0" w:color="auto"/>
      </w:divBdr>
    </w:div>
    <w:div w:id="201599727">
      <w:bodyDiv w:val="1"/>
      <w:marLeft w:val="0"/>
      <w:marRight w:val="0"/>
      <w:marTop w:val="0"/>
      <w:marBottom w:val="0"/>
      <w:divBdr>
        <w:top w:val="none" w:sz="0" w:space="0" w:color="auto"/>
        <w:left w:val="none" w:sz="0" w:space="0" w:color="auto"/>
        <w:bottom w:val="none" w:sz="0" w:space="0" w:color="auto"/>
        <w:right w:val="none" w:sz="0" w:space="0" w:color="auto"/>
      </w:divBdr>
    </w:div>
    <w:div w:id="502085689">
      <w:bodyDiv w:val="1"/>
      <w:marLeft w:val="0"/>
      <w:marRight w:val="0"/>
      <w:marTop w:val="0"/>
      <w:marBottom w:val="0"/>
      <w:divBdr>
        <w:top w:val="none" w:sz="0" w:space="0" w:color="auto"/>
        <w:left w:val="none" w:sz="0" w:space="0" w:color="auto"/>
        <w:bottom w:val="none" w:sz="0" w:space="0" w:color="auto"/>
        <w:right w:val="none" w:sz="0" w:space="0" w:color="auto"/>
      </w:divBdr>
    </w:div>
    <w:div w:id="505556577">
      <w:bodyDiv w:val="1"/>
      <w:marLeft w:val="0"/>
      <w:marRight w:val="0"/>
      <w:marTop w:val="0"/>
      <w:marBottom w:val="0"/>
      <w:divBdr>
        <w:top w:val="none" w:sz="0" w:space="0" w:color="auto"/>
        <w:left w:val="none" w:sz="0" w:space="0" w:color="auto"/>
        <w:bottom w:val="none" w:sz="0" w:space="0" w:color="auto"/>
        <w:right w:val="none" w:sz="0" w:space="0" w:color="auto"/>
      </w:divBdr>
    </w:div>
    <w:div w:id="571620570">
      <w:bodyDiv w:val="1"/>
      <w:marLeft w:val="0"/>
      <w:marRight w:val="0"/>
      <w:marTop w:val="0"/>
      <w:marBottom w:val="0"/>
      <w:divBdr>
        <w:top w:val="none" w:sz="0" w:space="0" w:color="auto"/>
        <w:left w:val="none" w:sz="0" w:space="0" w:color="auto"/>
        <w:bottom w:val="none" w:sz="0" w:space="0" w:color="auto"/>
        <w:right w:val="none" w:sz="0" w:space="0" w:color="auto"/>
      </w:divBdr>
    </w:div>
    <w:div w:id="679628406">
      <w:bodyDiv w:val="1"/>
      <w:marLeft w:val="0"/>
      <w:marRight w:val="0"/>
      <w:marTop w:val="0"/>
      <w:marBottom w:val="0"/>
      <w:divBdr>
        <w:top w:val="none" w:sz="0" w:space="0" w:color="auto"/>
        <w:left w:val="none" w:sz="0" w:space="0" w:color="auto"/>
        <w:bottom w:val="none" w:sz="0" w:space="0" w:color="auto"/>
        <w:right w:val="none" w:sz="0" w:space="0" w:color="auto"/>
      </w:divBdr>
    </w:div>
    <w:div w:id="707873495">
      <w:bodyDiv w:val="1"/>
      <w:marLeft w:val="0"/>
      <w:marRight w:val="0"/>
      <w:marTop w:val="0"/>
      <w:marBottom w:val="0"/>
      <w:divBdr>
        <w:top w:val="none" w:sz="0" w:space="0" w:color="auto"/>
        <w:left w:val="none" w:sz="0" w:space="0" w:color="auto"/>
        <w:bottom w:val="none" w:sz="0" w:space="0" w:color="auto"/>
        <w:right w:val="none" w:sz="0" w:space="0" w:color="auto"/>
      </w:divBdr>
    </w:div>
    <w:div w:id="1009598635">
      <w:bodyDiv w:val="1"/>
      <w:marLeft w:val="0"/>
      <w:marRight w:val="0"/>
      <w:marTop w:val="0"/>
      <w:marBottom w:val="0"/>
      <w:divBdr>
        <w:top w:val="none" w:sz="0" w:space="0" w:color="auto"/>
        <w:left w:val="none" w:sz="0" w:space="0" w:color="auto"/>
        <w:bottom w:val="none" w:sz="0" w:space="0" w:color="auto"/>
        <w:right w:val="none" w:sz="0" w:space="0" w:color="auto"/>
      </w:divBdr>
    </w:div>
    <w:div w:id="1105734796">
      <w:bodyDiv w:val="1"/>
      <w:marLeft w:val="0"/>
      <w:marRight w:val="0"/>
      <w:marTop w:val="0"/>
      <w:marBottom w:val="0"/>
      <w:divBdr>
        <w:top w:val="none" w:sz="0" w:space="0" w:color="auto"/>
        <w:left w:val="none" w:sz="0" w:space="0" w:color="auto"/>
        <w:bottom w:val="none" w:sz="0" w:space="0" w:color="auto"/>
        <w:right w:val="none" w:sz="0" w:space="0" w:color="auto"/>
      </w:divBdr>
    </w:div>
    <w:div w:id="1126851049">
      <w:bodyDiv w:val="1"/>
      <w:marLeft w:val="0"/>
      <w:marRight w:val="0"/>
      <w:marTop w:val="0"/>
      <w:marBottom w:val="0"/>
      <w:divBdr>
        <w:top w:val="none" w:sz="0" w:space="0" w:color="auto"/>
        <w:left w:val="none" w:sz="0" w:space="0" w:color="auto"/>
        <w:bottom w:val="none" w:sz="0" w:space="0" w:color="auto"/>
        <w:right w:val="none" w:sz="0" w:space="0" w:color="auto"/>
      </w:divBdr>
    </w:div>
    <w:div w:id="1127241313">
      <w:bodyDiv w:val="1"/>
      <w:marLeft w:val="0"/>
      <w:marRight w:val="0"/>
      <w:marTop w:val="0"/>
      <w:marBottom w:val="0"/>
      <w:divBdr>
        <w:top w:val="none" w:sz="0" w:space="0" w:color="auto"/>
        <w:left w:val="none" w:sz="0" w:space="0" w:color="auto"/>
        <w:bottom w:val="none" w:sz="0" w:space="0" w:color="auto"/>
        <w:right w:val="none" w:sz="0" w:space="0" w:color="auto"/>
      </w:divBdr>
    </w:div>
    <w:div w:id="1149860511">
      <w:bodyDiv w:val="1"/>
      <w:marLeft w:val="0"/>
      <w:marRight w:val="0"/>
      <w:marTop w:val="0"/>
      <w:marBottom w:val="0"/>
      <w:divBdr>
        <w:top w:val="none" w:sz="0" w:space="0" w:color="auto"/>
        <w:left w:val="none" w:sz="0" w:space="0" w:color="auto"/>
        <w:bottom w:val="none" w:sz="0" w:space="0" w:color="auto"/>
        <w:right w:val="none" w:sz="0" w:space="0" w:color="auto"/>
      </w:divBdr>
    </w:div>
    <w:div w:id="1277982451">
      <w:bodyDiv w:val="1"/>
      <w:marLeft w:val="0"/>
      <w:marRight w:val="0"/>
      <w:marTop w:val="0"/>
      <w:marBottom w:val="0"/>
      <w:divBdr>
        <w:top w:val="none" w:sz="0" w:space="0" w:color="auto"/>
        <w:left w:val="none" w:sz="0" w:space="0" w:color="auto"/>
        <w:bottom w:val="none" w:sz="0" w:space="0" w:color="auto"/>
        <w:right w:val="none" w:sz="0" w:space="0" w:color="auto"/>
      </w:divBdr>
    </w:div>
    <w:div w:id="1325354615">
      <w:bodyDiv w:val="1"/>
      <w:marLeft w:val="0"/>
      <w:marRight w:val="0"/>
      <w:marTop w:val="0"/>
      <w:marBottom w:val="0"/>
      <w:divBdr>
        <w:top w:val="none" w:sz="0" w:space="0" w:color="auto"/>
        <w:left w:val="none" w:sz="0" w:space="0" w:color="auto"/>
        <w:bottom w:val="none" w:sz="0" w:space="0" w:color="auto"/>
        <w:right w:val="none" w:sz="0" w:space="0" w:color="auto"/>
      </w:divBdr>
    </w:div>
    <w:div w:id="1400906356">
      <w:bodyDiv w:val="1"/>
      <w:marLeft w:val="0"/>
      <w:marRight w:val="0"/>
      <w:marTop w:val="0"/>
      <w:marBottom w:val="0"/>
      <w:divBdr>
        <w:top w:val="none" w:sz="0" w:space="0" w:color="auto"/>
        <w:left w:val="none" w:sz="0" w:space="0" w:color="auto"/>
        <w:bottom w:val="none" w:sz="0" w:space="0" w:color="auto"/>
        <w:right w:val="none" w:sz="0" w:space="0" w:color="auto"/>
      </w:divBdr>
    </w:div>
    <w:div w:id="1584952036">
      <w:bodyDiv w:val="1"/>
      <w:marLeft w:val="0"/>
      <w:marRight w:val="0"/>
      <w:marTop w:val="0"/>
      <w:marBottom w:val="0"/>
      <w:divBdr>
        <w:top w:val="none" w:sz="0" w:space="0" w:color="auto"/>
        <w:left w:val="none" w:sz="0" w:space="0" w:color="auto"/>
        <w:bottom w:val="none" w:sz="0" w:space="0" w:color="auto"/>
        <w:right w:val="none" w:sz="0" w:space="0" w:color="auto"/>
      </w:divBdr>
    </w:div>
    <w:div w:id="1695106871">
      <w:bodyDiv w:val="1"/>
      <w:marLeft w:val="0"/>
      <w:marRight w:val="0"/>
      <w:marTop w:val="0"/>
      <w:marBottom w:val="0"/>
      <w:divBdr>
        <w:top w:val="none" w:sz="0" w:space="0" w:color="auto"/>
        <w:left w:val="none" w:sz="0" w:space="0" w:color="auto"/>
        <w:bottom w:val="none" w:sz="0" w:space="0" w:color="auto"/>
        <w:right w:val="none" w:sz="0" w:space="0" w:color="auto"/>
      </w:divBdr>
    </w:div>
    <w:div w:id="184963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Det96</b:Tag>
    <b:SourceType>JournalArticle</b:SourceType>
    <b:Guid>{D321A868-7CF0-48D2-8033-CFBEDDA54EA6}</b:Guid>
    <b:Title>Determinants and Impact of Sovereign Credit Ratings</b:Title>
    <b:JournalName>Economic Policy Review</b:JournalName>
    <b:Year>1996</b:Year>
    <b:Pages>37-54</b:Pages>
    <b:Month>October</b:Month>
    <b:Volume>2</b:Volume>
    <b:Issue>2</b:Issue>
    <b:Author>
      <b:Author>
        <b:NameList>
          <b:Person>
            <b:Last>Cantor</b:Last>
            <b:First>Richard</b:First>
          </b:Person>
          <b:Person>
            <b:Last>Packer</b:Last>
            <b:First>Frank</b:First>
          </b:Person>
        </b:NameList>
      </b:Author>
    </b:Author>
    <b:Publisher>Federal Reserve Bank of New York</b:Publisher>
    <b:RefOrder>2</b:RefOrder>
  </b:Source>
  <b:Source>
    <b:Tag>DeS20</b:Tag>
    <b:SourceType>Report</b:SourceType>
    <b:Guid>{EEC007BC-8A1C-414A-B6C0-77EC6F712BE7}</b:Guid>
    <b:Author>
      <b:Author>
        <b:NameList>
          <b:Person>
            <b:Last>De</b:Last>
            <b:First>Supriyo</b:First>
          </b:Person>
          <b:Person>
            <b:Last>Mohapatra</b:Last>
            <b:First>Sanket</b:First>
          </b:Person>
          <b:Person>
            <b:Last>Ratha</b:Last>
            <b:First>Dilip</b:First>
          </b:Person>
        </b:NameList>
      </b:Author>
    </b:Author>
    <b:Title>Sovereign Credit Ratings, Relative Risk Ratings, and Private Capital Flows</b:Title>
    <b:Year>2020</b:Year>
    <b:Publisher>World Bank</b:Publisher>
    <b:ThesisType>Working Paper</b:ThesisType>
    <b:RefOrder>1</b:RefOrder>
  </b:Source>
  <b:Source>
    <b:Tag>Ras12</b:Tag>
    <b:SourceType>JournalArticle</b:SourceType>
    <b:Guid>{BCC63D10-8FDF-4102-9330-D69F81A3DC68}</b:Guid>
    <b:Title>Foreign exchange market reactions to sovereign credit news</b:Title>
    <b:Year>2012</b:Year>
    <b:JournalName>Journal of International Money and Finance</b:JournalName>
    <b:Pages>845-864</b:Pages>
    <b:Author>
      <b:Author>
        <b:NameList>
          <b:Person>
            <b:Last>Alsakka</b:Last>
            <b:First>Rasha</b:First>
          </b:Person>
          <b:Person>
            <b:Last>Gwilym</b:Last>
            <b:First>Owain</b:First>
            <b:Middle>ap</b:Middle>
          </b:Person>
        </b:NameList>
      </b:Author>
    </b:Author>
    <b:Month>June</b:Month>
    <b:Volume>31</b:Volume>
    <b:Issue>4</b:Issue>
    <b:RefOrder>3</b:RefOrder>
  </b:Source>
  <b:Source>
    <b:Tag>Chu98</b:Tag>
    <b:SourceType>JournalArticle</b:SourceType>
    <b:Guid>{FA4A677A-0686-4431-9D01-A5273635B855}</b:Guid>
    <b:Author>
      <b:Author>
        <b:NameList>
          <b:Person>
            <b:Last>Chuhan</b:Last>
            <b:First>Punam</b:First>
          </b:Person>
          <b:Person>
            <b:Last>Mamingi</b:Last>
            <b:First>Nlandu</b:First>
          </b:Person>
          <b:Person>
            <b:Last>Claessens</b:Last>
            <b:First>Stijn</b:First>
          </b:Person>
        </b:NameList>
      </b:Author>
    </b:Author>
    <b:Title>Equity and bond flows to Latin America and Asia: the role of global and country factors</b:Title>
    <b:JournalName>Journal of Development Economics</b:JournalName>
    <b:Year>1998</b:Year>
    <b:Pages>439-463</b:Pages>
    <b:Month>April</b:Month>
    <b:Volume>55</b:Volume>
    <b:Issue>2</b:Issue>
    <b:RefOrder>4</b:RefOrder>
  </b:Source>
  <b:Source>
    <b:Tag>Fer07</b:Tag>
    <b:SourceType>JournalArticle</b:SourceType>
    <b:Guid>{AA137DA9-39A6-4C79-9EEA-79A10D14573F}</b:Guid>
    <b:Author>
      <b:Author>
        <b:NameList>
          <b:Person>
            <b:Last>Ferreira</b:Last>
            <b:First>Miguel</b:First>
            <b:Middle>A.</b:Middle>
          </b:Person>
          <b:Person>
            <b:Last>Gama</b:Last>
            <b:First>Paulo</b:First>
            <b:Middle>M.</b:Middle>
          </b:Person>
        </b:NameList>
      </b:Author>
    </b:Author>
    <b:Title>Does sovereign debt ratings news spill over to international stock markets?</b:Title>
    <b:JournalName>Journal of Banking &amp; FInance</b:JournalName>
    <b:Year>2007</b:Year>
    <b:Month>October</b:Month>
    <b:Volume>31</b:Volume>
    <b:Issue>10</b:Issue>
    <b:RefOrder>5</b:RefOrder>
  </b:Source>
  <b:Source>
    <b:Tag>Kim11</b:Tag>
    <b:SourceType>JournalArticle</b:SourceType>
    <b:Guid>{1AF1912A-B286-4315-967B-D2845B39A123}</b:Guid>
    <b:Author>
      <b:Author>
        <b:NameList>
          <b:Person>
            <b:Last>Kim</b:Last>
            <b:First>Suk-Joong</b:First>
          </b:Person>
          <b:Person>
            <b:Last>Wu</b:Last>
            <b:First>Eliza</b:First>
          </b:Person>
        </b:NameList>
      </b:Author>
    </b:Author>
    <b:Title>International Bank Flows to Emerging Markets: Influence of Sovereign Credit Ratings and their Regional Spillover Effects</b:Title>
    <b:JournalName>The Journal of Financial Research</b:JournalName>
    <b:Year>2011</b:Year>
    <b:Pages>331-364</b:Pages>
    <b:Volume>36</b:Volume>
    <b:Issue>2</b:Issue>
    <b:RefOrder>6</b:RefOrder>
  </b:Source>
  <b:Source>
    <b:Tag>Kim08</b:Tag>
    <b:SourceType>JournalArticle</b:SourceType>
    <b:Guid>{591AC44A-9F8A-4C81-94D7-86E7772EC3DE}</b:Guid>
    <b:Author>
      <b:Author>
        <b:NameList>
          <b:Person>
            <b:Last>Kim</b:Last>
            <b:First>Suk-Joong</b:First>
          </b:Person>
          <b:Person>
            <b:Last>Wu</b:Last>
            <b:First>Eliza</b:First>
          </b:Person>
        </b:NameList>
      </b:Author>
    </b:Author>
    <b:Title>Sovereign credit ratings, capital flows and financial sector development in emerging markets</b:Title>
    <b:JournalName>Emerging Markets Review</b:JournalName>
    <b:Year>2008</b:Year>
    <b:Pages>17-39</b:Pages>
    <b:Issue>9</b:Issue>
    <b:RefOrder>7</b:RefOrder>
  </b:Source>
  <b:Source>
    <b:Tag>Sti99</b:Tag>
    <b:SourceType>Report</b:SourceType>
    <b:Guid>{D7E45D06-D20A-471D-8420-BD7A859DED4E}</b:Guid>
    <b:Author>
      <b:Author>
        <b:NameList>
          <b:Person>
            <b:Last>Stiglitz</b:Last>
            <b:First>Joseph</b:First>
            <b:Middle>E.</b:Middle>
          </b:Person>
          <b:Person>
            <b:Last>Ferri</b:Last>
            <b:First>G.</b:First>
          </b:Person>
          <b:Person>
            <b:Last>Liu</b:Last>
            <b:First>L.-G</b:First>
          </b:Person>
        </b:NameList>
      </b:Author>
    </b:Author>
    <b:Title>The Procyclical Role of Rating Agencies: Evidence from the East Asian Crisis</b:Title>
    <b:Year>1999</b:Year>
    <b:Publisher>Columbia University</b:Publisher>
    <b:City>New York City</b:City>
    <b:RefOrder>8</b:RefOrder>
  </b:Source>
  <b:Source>
    <b:Tag>Kau12</b:Tag>
    <b:SourceType>Report</b:SourceType>
    <b:Guid>{50AFE667-5B26-439C-898E-522AD4086842}</b:Guid>
    <b:Author>
      <b:Author>
        <b:NameList>
          <b:Person>
            <b:Last>Basu</b:Last>
            <b:First>Kaushik</b:First>
          </b:Person>
          <b:Person>
            <b:Last>Bisen</b:Last>
            <b:First>Anil</b:First>
          </b:Person>
          <b:Person>
            <b:Last>De</b:Last>
            <b:First>Supriyo</b:First>
          </b:Person>
          <b:Person>
            <b:Last>Ghosh</b:Last>
            <b:First>Rangeet</b:First>
          </b:Person>
          <b:Person>
            <b:Last>Shweta</b:Last>
          </b:Person>
        </b:NameList>
      </b:Author>
    </b:Author>
    <b:Title>Comparative Rating Index for Sovereigns (CRIS): A Report Based on “The Relativity of Sovereigns: A New Index of Sovereign Credit Ratings and an Analysis of How Nations Fared over the Last Six Years”</b:Title>
    <b:Year>2012</b:Year>
    <b:Publisher>Government of India, Ministry of Finance</b:Publisher>
    <b:City>New Delhi</b:City>
    <b:RefOrder>9</b:RefOrder>
  </b:Source>
  <b:Source>
    <b:Tag>Kau13</b:Tag>
    <b:SourceType>Report</b:SourceType>
    <b:Guid>{DCB922E5-4D03-4C3A-A855-86C2B64D5B99}</b:Guid>
    <b:Author>
      <b:Author>
        <b:NameList>
          <b:Person>
            <b:Last>Basu</b:Last>
            <b:First>Kaushik</b:First>
          </b:Person>
          <b:Person>
            <b:Last>De</b:Last>
            <b:First>Supriyo</b:First>
          </b:Person>
          <b:Person>
            <b:Last>Ratha</b:Last>
            <b:First>Dilip</b:First>
          </b:Person>
          <b:Person>
            <b:Last>Timmer</b:Last>
            <b:First>Hans</b:First>
          </b:Person>
        </b:NameList>
      </b:Author>
    </b:Author>
    <b:Title>Sovereign Ratings in the Post-Crisis World: An Analysis of Actual, Shadow and Relative Risk Ratings</b:Title>
    <b:Year>2013</b:Year>
    <b:Publisher>World Bank</b:Publisher>
    <b:RefOrder>10</b:RefOrder>
  </b:Source>
  <b:Source>
    <b:Tag>Pra11</b:Tag>
    <b:SourceType>Report</b:SourceType>
    <b:Guid>{26FA3C95-653F-4FC5-AFBF-80D2A64D8E98}</b:Guid>
    <b:Author>
      <b:Author>
        <b:NameList>
          <b:Person>
            <b:Last>De</b:Last>
            <b:First>Prabal</b:First>
          </b:Person>
          <b:Person>
            <b:Last>Ratha</b:Last>
            <b:First>Dilip</b:First>
          </b:Person>
          <b:Person>
            <b:Last>Mohapatra</b:Last>
            <b:First>and</b:First>
            <b:Middle>Sanket</b:Middle>
          </b:Person>
        </b:NameList>
      </b:Author>
    </b:Author>
    <b:Title>Shadow Sovereign Ratings for Unrated Developing Countries</b:Title>
    <b:Year>2011</b:Year>
    <b:Publisher>World Bank</b:Publisher>
    <b:RefOrder>11</b:RefOrder>
  </b:Source>
</b:Sources>
</file>

<file path=customXml/itemProps1.xml><?xml version="1.0" encoding="utf-8"?>
<ds:datastoreItem xmlns:ds="http://schemas.openxmlformats.org/officeDocument/2006/customXml" ds:itemID="{8EA84CA7-19A5-41E4-B423-1D27E4809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Moitra</dc:creator>
  <cp:keywords/>
  <dc:description/>
  <cp:lastModifiedBy>Yash Moitra</cp:lastModifiedBy>
  <cp:revision>1</cp:revision>
  <dcterms:created xsi:type="dcterms:W3CDTF">2026-04-28T15:45:00Z</dcterms:created>
  <dcterms:modified xsi:type="dcterms:W3CDTF">2026-04-28T19:15:00Z</dcterms:modified>
</cp:coreProperties>
</file>