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STORE ANALYSIS DASHBOARD INSIGHTS REPORT</w:t>
      </w:r>
    </w:p>
    <w:p>
      <w:r>
        <w:pict>
          <v:rect style="width:0;height:1.5pt" o:hralign="center" o:hrstd="t" o:hr="t"/>
        </w:pict>
      </w:r>
    </w:p>
    <w:bookmarkStart w:id="20" w:name="overall-performance-summary"/>
    <w:p>
      <w:pPr>
        <w:pStyle w:val="Heading3"/>
      </w:pPr>
      <w:r>
        <w:t xml:space="preserve">💰 Overall Performance Summary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Sales:</w:t>
      </w:r>
      <w:r>
        <w:t xml:space="preserve"> </w:t>
      </w:r>
      <w:r>
        <w:t xml:space="preserve">$13 Million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Profit:</w:t>
      </w:r>
      <w:r>
        <w:t xml:space="preserve"> </w:t>
      </w:r>
      <w:r>
        <w:t xml:space="preserve">$1.47 Million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Profit Margin:</w:t>
      </w:r>
      <w:r>
        <w:t xml:space="preserve"> </w:t>
      </w:r>
      <w:r>
        <w:t xml:space="preserve">~11.3%</w:t>
      </w:r>
    </w:p>
    <w:p>
      <w:pPr>
        <w:pStyle w:val="BlockText"/>
      </w:pPr>
      <w:r>
        <w:t xml:space="preserve">✅ Moderate profit margin; opportunity to optimize cost structure or pricing strategy.</w:t>
      </w:r>
    </w:p>
    <w:p>
      <w:r>
        <w:pict>
          <v:rect style="width:0;height:1.5pt" o:hralign="center" o:hrstd="t" o:hr="t"/>
        </w:pict>
      </w:r>
    </w:p>
    <w:bookmarkEnd w:id="20"/>
    <w:bookmarkStart w:id="22" w:name="regional-sales-breakdown"/>
    <w:p>
      <w:pPr>
        <w:pStyle w:val="Heading3"/>
      </w:pPr>
      <w:r>
        <w:t xml:space="preserve">🌍 Regional Sales Breakdown</w:t>
      </w:r>
    </w:p>
    <w:bookmarkStart w:id="21" w:name="sum-of-sales-by-region"/>
    <w:p>
      <w:pPr>
        <w:pStyle w:val="Heading4"/>
      </w:pPr>
      <w:r>
        <w:t xml:space="preserve">Sum of Sales by Region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Top 3 Performing Regions: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Central</w:t>
      </w:r>
      <w:r>
        <w:t xml:space="preserve"> </w:t>
      </w:r>
      <w:r>
        <w:t xml:space="preserve">(highest: ~2.8M)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South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North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Bottom Regions: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Canada, Caribbean, East, West</w:t>
      </w:r>
    </w:p>
    <w:p>
      <w:pPr>
        <w:pStyle w:val="FirstParagraph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05"/>
        </w:numPr>
      </w:pPr>
      <w:r>
        <w:t xml:space="preserve">Central region leads sales; strong consumer demand or effective operations.</w:t>
      </w:r>
    </w:p>
    <w:p>
      <w:pPr>
        <w:pStyle w:val="Compact"/>
        <w:numPr>
          <w:ilvl w:val="0"/>
          <w:numId w:val="1005"/>
        </w:numPr>
      </w:pPr>
      <w:r>
        <w:t xml:space="preserve">Underperforming regions may need market penetration strategies.</w:t>
      </w:r>
    </w:p>
    <w:p>
      <w:pPr>
        <w:pStyle w:val="FirstParagraph"/>
      </w:pPr>
      <w:r>
        <w:rPr>
          <w:b/>
          <w:bCs/>
        </w:rPr>
        <w:t xml:space="preserve">Actions:</w:t>
      </w:r>
    </w:p>
    <w:p>
      <w:pPr>
        <w:pStyle w:val="Compact"/>
        <w:numPr>
          <w:ilvl w:val="0"/>
          <w:numId w:val="1006"/>
        </w:numPr>
      </w:pPr>
      <w:r>
        <w:t xml:space="preserve">Invest in top regions for further growth.</w:t>
      </w:r>
    </w:p>
    <w:p>
      <w:pPr>
        <w:pStyle w:val="Compact"/>
        <w:numPr>
          <w:ilvl w:val="0"/>
          <w:numId w:val="1006"/>
        </w:numPr>
      </w:pPr>
      <w:r>
        <w:t xml:space="preserve">Investigate and resolve barriers in low-performing areas.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product-category-performance"/>
    <w:p>
      <w:pPr>
        <w:pStyle w:val="Heading3"/>
      </w:pPr>
      <w:r>
        <w:t xml:space="preserve">📦 Product Category Performance</w:t>
      </w:r>
    </w:p>
    <w:bookmarkStart w:id="23" w:name="sum-of-sales-by-sub-category"/>
    <w:p>
      <w:pPr>
        <w:pStyle w:val="Heading4"/>
      </w:pPr>
      <w:r>
        <w:t xml:space="preserve">Sum of Sales by Sub-Category</w:t>
      </w:r>
    </w:p>
    <w:p>
      <w:pPr>
        <w:pStyle w:val="FirstParagraph"/>
      </w:pPr>
      <w:r>
        <w:rPr>
          <w:b/>
          <w:bCs/>
        </w:rPr>
        <w:t xml:space="preserve">Top Sub-Categories: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Phones</w:t>
      </w:r>
      <w:r>
        <w:t xml:space="preserve"> </w:t>
      </w:r>
      <w:r>
        <w:t xml:space="preserve">($1.71M)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Copiers</w:t>
      </w:r>
      <w:r>
        <w:t xml:space="preserve"> </w:t>
      </w:r>
      <w:r>
        <w:t xml:space="preserve">($1.51M)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Chairs, Bookcases, Storage</w:t>
      </w:r>
    </w:p>
    <w:p>
      <w:pPr>
        <w:pStyle w:val="FirstParagraph"/>
      </w:pPr>
      <w:r>
        <w:rPr>
          <w:b/>
          <w:bCs/>
        </w:rPr>
        <w:t xml:space="preserve">Low Performers: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Accessories, Tables, Machines</w:t>
      </w:r>
    </w:p>
    <w:p>
      <w:pPr>
        <w:pStyle w:val="FirstParagraph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09"/>
        </w:numPr>
      </w:pPr>
      <w:r>
        <w:t xml:space="preserve">Technology &amp; Office Supplies dominate sales.</w:t>
      </w:r>
    </w:p>
    <w:p>
      <w:pPr>
        <w:pStyle w:val="Compact"/>
        <w:numPr>
          <w:ilvl w:val="0"/>
          <w:numId w:val="1009"/>
        </w:numPr>
      </w:pPr>
      <w:r>
        <w:t xml:space="preserve">Furniture items show mixed performance.</w:t>
      </w:r>
    </w:p>
    <w:p>
      <w:pPr>
        <w:pStyle w:val="FirstParagraph"/>
      </w:pPr>
      <w:r>
        <w:rPr>
          <w:b/>
          <w:bCs/>
        </w:rPr>
        <w:t xml:space="preserve">Actions:</w:t>
      </w:r>
    </w:p>
    <w:p>
      <w:pPr>
        <w:pStyle w:val="Compact"/>
        <w:numPr>
          <w:ilvl w:val="0"/>
          <w:numId w:val="1010"/>
        </w:numPr>
      </w:pPr>
      <w:r>
        <w:t xml:space="preserve">Continue investment in Phones &amp; Copiers.</w:t>
      </w:r>
    </w:p>
    <w:p>
      <w:pPr>
        <w:pStyle w:val="Compact"/>
        <w:numPr>
          <w:ilvl w:val="0"/>
          <w:numId w:val="1010"/>
        </w:numPr>
      </w:pPr>
      <w:r>
        <w:t xml:space="preserve">Improve marketing or bundle low-performing items.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sales-trend-by-month"/>
    <w:p>
      <w:pPr>
        <w:pStyle w:val="Heading3"/>
      </w:pPr>
      <w:r>
        <w:t xml:space="preserve">📅 Sales Trend by Month</w:t>
      </w:r>
    </w:p>
    <w:bookmarkStart w:id="25" w:name="count-of-orders"/>
    <w:p>
      <w:pPr>
        <w:pStyle w:val="Heading4"/>
      </w:pPr>
      <w:r>
        <w:t xml:space="preserve">Count of Orders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Peak Months:</w:t>
      </w:r>
      <w:r>
        <w:t xml:space="preserve"> </w:t>
      </w:r>
      <w:r>
        <w:t xml:space="preserve">July, December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Low Months:</w:t>
      </w:r>
      <w:r>
        <w:t xml:space="preserve"> </w:t>
      </w:r>
      <w:r>
        <w:t xml:space="preserve">January, February</w:t>
      </w:r>
    </w:p>
    <w:p>
      <w:pPr>
        <w:pStyle w:val="FirstParagraph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12"/>
        </w:numPr>
      </w:pPr>
      <w:r>
        <w:t xml:space="preserve">Seasonality drives peaks (possibly holidays or mid-year sales).</w:t>
      </w:r>
    </w:p>
    <w:p>
      <w:pPr>
        <w:pStyle w:val="FirstParagraph"/>
      </w:pPr>
      <w:r>
        <w:rPr>
          <w:b/>
          <w:bCs/>
        </w:rPr>
        <w:t xml:space="preserve">Actions:</w:t>
      </w:r>
    </w:p>
    <w:p>
      <w:pPr>
        <w:pStyle w:val="Compact"/>
        <w:numPr>
          <w:ilvl w:val="0"/>
          <w:numId w:val="1013"/>
        </w:numPr>
      </w:pPr>
      <w:r>
        <w:t xml:space="preserve">Launch campaigns &amp; stock builds ahead of peak months.</w:t>
      </w:r>
    </w:p>
    <w:p>
      <w:pPr>
        <w:pStyle w:val="Compact"/>
        <w:numPr>
          <w:ilvl w:val="0"/>
          <w:numId w:val="1013"/>
        </w:numPr>
      </w:pPr>
      <w:r>
        <w:t xml:space="preserve">Offer incentives or discounts in slower months.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customer-performance"/>
    <w:p>
      <w:pPr>
        <w:pStyle w:val="Heading3"/>
      </w:pPr>
      <w:r>
        <w:t xml:space="preserve">👥 Customer Performance</w:t>
      </w:r>
    </w:p>
    <w:bookmarkStart w:id="27" w:name="sales-by-customer-name"/>
    <w:p>
      <w:pPr>
        <w:pStyle w:val="Heading4"/>
      </w:pPr>
      <w:r>
        <w:t xml:space="preserve">Sales by Customer Name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Top Customers:</w:t>
      </w:r>
    </w:p>
    <w:p>
      <w:pPr>
        <w:pStyle w:val="Compact"/>
        <w:numPr>
          <w:ilvl w:val="1"/>
          <w:numId w:val="1015"/>
        </w:numPr>
      </w:pPr>
      <w:r>
        <w:t xml:space="preserve">Muhammed Yedwab</w:t>
      </w:r>
    </w:p>
    <w:p>
      <w:pPr>
        <w:pStyle w:val="Compact"/>
        <w:numPr>
          <w:ilvl w:val="1"/>
          <w:numId w:val="1015"/>
        </w:numPr>
      </w:pPr>
      <w:r>
        <w:t xml:space="preserve">Eric Murdock</w:t>
      </w:r>
    </w:p>
    <w:p>
      <w:pPr>
        <w:pStyle w:val="Compact"/>
        <w:numPr>
          <w:ilvl w:val="1"/>
          <w:numId w:val="1015"/>
        </w:numPr>
      </w:pPr>
      <w:r>
        <w:t xml:space="preserve">Steven Ward</w:t>
      </w:r>
    </w:p>
    <w:p>
      <w:pPr>
        <w:pStyle w:val="FirstParagraph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16"/>
        </w:numPr>
      </w:pPr>
      <w:r>
        <w:t xml:space="preserve">High reliance on repeat buyers / key accounts.</w:t>
      </w:r>
    </w:p>
    <w:p>
      <w:pPr>
        <w:pStyle w:val="FirstParagraph"/>
      </w:pPr>
      <w:r>
        <w:rPr>
          <w:b/>
          <w:bCs/>
        </w:rPr>
        <w:t xml:space="preserve">Actions:</w:t>
      </w:r>
    </w:p>
    <w:p>
      <w:pPr>
        <w:pStyle w:val="Compact"/>
        <w:numPr>
          <w:ilvl w:val="0"/>
          <w:numId w:val="1017"/>
        </w:numPr>
      </w:pPr>
      <w:r>
        <w:t xml:space="preserve">Build loyalty programs.</w:t>
      </w:r>
    </w:p>
    <w:p>
      <w:pPr>
        <w:pStyle w:val="Compact"/>
        <w:numPr>
          <w:ilvl w:val="0"/>
          <w:numId w:val="1017"/>
        </w:numPr>
      </w:pPr>
      <w:r>
        <w:t xml:space="preserve">Offer exclusive deals to VIP customers.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trategic-opportunities"/>
    <w:p>
      <w:pPr>
        <w:pStyle w:val="Heading3"/>
      </w:pPr>
      <w:r>
        <w:t xml:space="preserve">✨ Strategic Opportunities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Upsell &amp; Cross-Sell:</w:t>
      </w:r>
      <w:r>
        <w:t xml:space="preserve"> </w:t>
      </w:r>
      <w:r>
        <w:t xml:space="preserve">Expand tech and office categories.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Regional Growth:</w:t>
      </w:r>
      <w:r>
        <w:t xml:space="preserve"> </w:t>
      </w:r>
      <w:r>
        <w:t xml:space="preserve">Target campaigns in weak regions.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Margin Optimization:</w:t>
      </w:r>
      <w:r>
        <w:t xml:space="preserve"> </w:t>
      </w:r>
      <w:r>
        <w:t xml:space="preserve">Reprice or streamline costs for low-profit items.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Seasonal Promotions:</w:t>
      </w:r>
      <w:r>
        <w:t xml:space="preserve"> </w:t>
      </w:r>
      <w:r>
        <w:t xml:space="preserve">Leverage trend data to boost ROI.</w:t>
      </w:r>
    </w:p>
    <w:p>
      <w:r>
        <w:pict>
          <v:rect style="width:0;height:1.5pt" o:hralign="center" o:hrstd="t" o:hr="t"/>
        </w:pic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2025-07-16T14:17:32Z</dcterms:created>
  <dcterms:modified xsi:type="dcterms:W3CDTF">2025-07-16T14:17:32Z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