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CodeMentor-LLM Project Report</w:t>
      </w:r>
    </w:p>
    <w:p>
      <w:pPr>
        <w:spacing w:after="120"/>
      </w:pPr>
      <w:r>
        <w:rPr>
          <w:color w:val="46505A"/>
          <w:sz w:val="20"/>
        </w:rPr>
        <w:t>End-to-end data, model training, evaluation, API, database, interface, and deployment</w:t>
      </w:r>
    </w:p>
    <w:p>
      <w:r>
        <w:t>This report consolidates the project documentation, configuration, source code, evaluation artifacts, and deployment notes in the repository. CodeMentor-LLM is a coding assistant built by adapting Meta Llama 3.2 3B Instruct with QLoRA supervised fine-tuning (SFT), followed by Direct Preference Optimization (DPO), and serving the merged model through a Streamlit-to-FastAPI-to-Modal path. Documented results are distinguished from settings directly confirmed by code; see the consistency notes.</w:t>
      </w:r>
    </w:p>
    <w:p>
      <w:pPr>
        <w:pStyle w:val="Heading1"/>
      </w:pPr>
      <w:r>
        <w:t>1. Project at a glance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568"/>
      </w:tblGrid>
      <w:tr>
        <w:tc>
          <w:tcPr>
            <w:tcW w:type="dxa" w:w="5141"/>
            <w:shd w:fill="24476B"/>
            <w:vAlign w:val="center"/>
          </w:tcPr>
          <w:p>
            <w:r>
              <w:rPr>
                <w:b/>
                <w:color w:val="FFFFFF"/>
                <w:sz w:val="16"/>
              </w:rPr>
              <w:t>Area</w:t>
            </w:r>
          </w:p>
        </w:tc>
        <w:tc>
          <w:tcPr>
            <w:tcW w:type="dxa" w:w="5141"/>
            <w:shd w:fill="24476B"/>
            <w:vAlign w:val="center"/>
          </w:tcPr>
          <w:p>
            <w:r>
              <w:rPr>
                <w:b/>
                <w:color w:val="FFFFFF"/>
                <w:sz w:val="16"/>
              </w:rPr>
              <w:t>Implementation</w:t>
            </w:r>
          </w:p>
        </w:tc>
      </w:tr>
      <w:tr>
        <w:tc>
          <w:tcPr>
            <w:tcW w:type="dxa" w:w="1944"/>
            <w:vAlign w:val="center"/>
          </w:tcPr>
          <w:p>
            <w:pPr>
              <w:spacing w:after="20"/>
            </w:pPr>
            <w:r>
              <w:rPr>
                <w:sz w:val="16"/>
              </w:rPr>
              <w:t>Purpose</w:t>
            </w:r>
          </w:p>
        </w:tc>
        <w:tc>
          <w:tcPr>
            <w:tcW w:type="dxa" w:w="8568"/>
            <w:vAlign w:val="center"/>
          </w:tcPr>
          <w:p>
            <w:pPr>
              <w:spacing w:after="20"/>
            </w:pPr>
            <w:r>
              <w:rPr>
                <w:sz w:val="16"/>
              </w:rPr>
              <w:t>Answer programming questions with concise explanations and working code examples.</w:t>
            </w:r>
          </w:p>
        </w:tc>
      </w:tr>
      <w:tr>
        <w:tc>
          <w:tcPr>
            <w:tcW w:type="dxa" w:w="1944"/>
            <w:vAlign w:val="center"/>
          </w:tcPr>
          <w:p>
            <w:pPr>
              <w:spacing w:after="20"/>
            </w:pPr>
            <w:r>
              <w:rPr>
                <w:sz w:val="16"/>
              </w:rPr>
              <w:t>Base model</w:t>
            </w:r>
          </w:p>
        </w:tc>
        <w:tc>
          <w:tcPr>
            <w:tcW w:type="dxa" w:w="8568"/>
            <w:vAlign w:val="center"/>
          </w:tcPr>
          <w:p>
            <w:pPr>
              <w:spacing w:after="20"/>
            </w:pPr>
            <w:r>
              <w:rPr>
                <w:sz w:val="16"/>
              </w:rPr>
              <w:t>meta-llama/Llama-3.2-3B-Instruct</w:t>
            </w:r>
          </w:p>
        </w:tc>
      </w:tr>
      <w:tr>
        <w:tc>
          <w:tcPr>
            <w:tcW w:type="dxa" w:w="1944"/>
            <w:vAlign w:val="center"/>
          </w:tcPr>
          <w:p>
            <w:pPr>
              <w:spacing w:after="20"/>
            </w:pPr>
            <w:r>
              <w:rPr>
                <w:sz w:val="16"/>
              </w:rPr>
              <w:t>Training path</w:t>
            </w:r>
          </w:p>
        </w:tc>
        <w:tc>
          <w:tcPr>
            <w:tcW w:type="dxa" w:w="8568"/>
            <w:vAlign w:val="center"/>
          </w:tcPr>
          <w:p>
            <w:pPr>
              <w:spacing w:after="20"/>
            </w:pPr>
            <w:r>
              <w:rPr>
                <w:sz w:val="16"/>
              </w:rPr>
              <w:t>CodeAlpaca-20K → cleaning and Llama chat formatting → fixed train/validation/test split → QLoRA SFT → preference pairs → DPO → model merge</w:t>
            </w:r>
          </w:p>
        </w:tc>
      </w:tr>
      <w:tr>
        <w:tc>
          <w:tcPr>
            <w:tcW w:type="dxa" w:w="1944"/>
            <w:vAlign w:val="center"/>
          </w:tcPr>
          <w:p>
            <w:pPr>
              <w:spacing w:after="20"/>
            </w:pPr>
            <w:r>
              <w:rPr>
                <w:sz w:val="16"/>
              </w:rPr>
              <w:t>Serving path</w:t>
            </w:r>
          </w:p>
        </w:tc>
        <w:tc>
          <w:tcPr>
            <w:tcW w:type="dxa" w:w="8568"/>
            <w:vAlign w:val="center"/>
          </w:tcPr>
          <w:p>
            <w:pPr>
              <w:spacing w:after="20"/>
            </w:pPr>
            <w:r>
              <w:rPr>
                <w:sz w:val="16"/>
              </w:rPr>
              <w:t>Browser → Streamlit UI (Hugging Face Spaces) → FastAPI API (Hugging Face Spaces) → Modal A10G GPU → merged model on Hugging Face Hub</w:t>
            </w:r>
          </w:p>
        </w:tc>
      </w:tr>
      <w:tr>
        <w:tc>
          <w:tcPr>
            <w:tcW w:type="dxa" w:w="1944"/>
            <w:vAlign w:val="center"/>
          </w:tcPr>
          <w:p>
            <w:pPr>
              <w:spacing w:after="20"/>
            </w:pPr>
            <w:r>
              <w:rPr>
                <w:sz w:val="16"/>
              </w:rPr>
              <w:t>Persistence</w:t>
            </w:r>
          </w:p>
        </w:tc>
        <w:tc>
          <w:tcPr>
            <w:tcW w:type="dxa" w:w="8568"/>
            <w:vAlign w:val="center"/>
          </w:tcPr>
          <w:p>
            <w:pPr>
              <w:spacing w:after="20"/>
            </w:pPr>
            <w:r>
              <w:rPr>
                <w:sz w:val="16"/>
              </w:rPr>
              <w:t>SQLite + SQLAlchemy stores inference prompt, response, latency, timestamp, and success flag.</w:t>
            </w:r>
          </w:p>
        </w:tc>
      </w:tr>
      <w:tr>
        <w:tc>
          <w:tcPr>
            <w:tcW w:type="dxa" w:w="1944"/>
            <w:vAlign w:val="center"/>
          </w:tcPr>
          <w:p>
            <w:pPr>
              <w:spacing w:after="20"/>
            </w:pPr>
            <w:r>
              <w:rPr>
                <w:sz w:val="16"/>
              </w:rPr>
              <w:t>Main technologies</w:t>
            </w:r>
          </w:p>
        </w:tc>
        <w:tc>
          <w:tcPr>
            <w:tcW w:type="dxa" w:w="8568"/>
            <w:vAlign w:val="center"/>
          </w:tcPr>
          <w:p>
            <w:pPr>
              <w:spacing w:after="20"/>
            </w:pPr>
            <w:r>
              <w:rPr>
                <w:sz w:val="16"/>
              </w:rPr>
              <w:t>PyTorch, Transformers, PEFT, bitsandbytes, TRL, Hugging Face Datasets/Hub, Weights &amp; Biases, FastAPI, Pydantic, SQLAlchemy, SQLite, Streamlit, Modal, Docker.</w:t>
            </w:r>
          </w:p>
        </w:tc>
      </w:tr>
    </w:tbl>
    <w:p>
      <w:pPr>
        <w:spacing w:after="0"/>
      </w:pPr>
    </w:p>
    <w:p>
      <w:pPr>
        <w:pStyle w:val="Heading1"/>
      </w:pPr>
      <w:r>
        <w:t>2. Data collection, preparation, and splits</w:t>
      </w:r>
    </w:p>
    <w:p>
      <w:r>
        <w:t>The primary instruction corpus is sahil2801/CodeAlpaca-20k (documented as 20,022 examples; instruction, input, output; Apache 2.0). The backup source is iamtarun/python_code_instructions_18k_alpaca (18,612 examples), documented as a fallback and not used in the main SFT run. Raw and processed snapshots are versioned on the Hugging Face Hub.</w:t>
      </w:r>
    </w:p>
    <w:p>
      <w:r>
        <w:t>Formatting combines a non-empty input with its instruction and maps each example to a three-message Llama chat template: a fixed coding-assistant system prompt, user instruction, and assistant target. The resulting text field is the model training input.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568"/>
      </w:tblGrid>
      <w:tr>
        <w:tc>
          <w:tcPr>
            <w:tcW w:type="dxa" w:w="5141"/>
            <w:shd w:fill="24476B"/>
            <w:vAlign w:val="center"/>
          </w:tcPr>
          <w:p>
            <w:r>
              <w:rPr>
                <w:b/>
                <w:color w:val="FFFFFF"/>
                <w:sz w:val="16"/>
              </w:rPr>
              <w:t>Cleaning step</w:t>
            </w:r>
          </w:p>
        </w:tc>
        <w:tc>
          <w:tcPr>
            <w:tcW w:type="dxa" w:w="5141"/>
            <w:shd w:fill="24476B"/>
            <w:vAlign w:val="center"/>
          </w:tcPr>
          <w:p>
            <w:r>
              <w:rPr>
                <w:b/>
                <w:color w:val="FFFFFF"/>
                <w:sz w:val="16"/>
              </w:rPr>
              <w:t>Rule and recorded outcome</w:t>
            </w:r>
          </w:p>
        </w:tc>
      </w:tr>
      <w:tr>
        <w:tc>
          <w:tcPr>
            <w:tcW w:type="dxa" w:w="1944"/>
            <w:vAlign w:val="center"/>
          </w:tcPr>
          <w:p>
            <w:pPr>
              <w:spacing w:after="20"/>
            </w:pPr>
            <w:r>
              <w:rPr>
                <w:sz w:val="16"/>
              </w:rPr>
              <w:t>Null/empty removal</w:t>
            </w:r>
          </w:p>
        </w:tc>
        <w:tc>
          <w:tcPr>
            <w:tcW w:type="dxa" w:w="8568"/>
            <w:vAlign w:val="center"/>
          </w:tcPr>
          <w:p>
            <w:pPr>
              <w:spacing w:after="20"/>
            </w:pPr>
            <w:r>
              <w:rPr>
                <w:sz w:val="16"/>
              </w:rPr>
              <w:t>Drop missing or empty text; 0 removed.</w:t>
            </w:r>
          </w:p>
        </w:tc>
      </w:tr>
      <w:tr>
        <w:tc>
          <w:tcPr>
            <w:tcW w:type="dxa" w:w="1944"/>
            <w:vAlign w:val="center"/>
          </w:tcPr>
          <w:p>
            <w:pPr>
              <w:spacing w:after="20"/>
            </w:pPr>
            <w:r>
              <w:rPr>
                <w:sz w:val="16"/>
              </w:rPr>
              <w:t>Exact deduplication</w:t>
            </w:r>
          </w:p>
        </w:tc>
        <w:tc>
          <w:tcPr>
            <w:tcW w:type="dxa" w:w="8568"/>
            <w:vAlign w:val="center"/>
          </w:tcPr>
          <w:p>
            <w:pPr>
              <w:spacing w:after="20"/>
            </w:pPr>
            <w:r>
              <w:rPr>
                <w:sz w:val="16"/>
              </w:rPr>
              <w:t>Deduplicate on text; 0 removed.</w:t>
            </w:r>
          </w:p>
        </w:tc>
      </w:tr>
      <w:tr>
        <w:tc>
          <w:tcPr>
            <w:tcW w:type="dxa" w:w="1944"/>
            <w:vAlign w:val="center"/>
          </w:tcPr>
          <w:p>
            <w:pPr>
              <w:spacing w:after="20"/>
            </w:pPr>
            <w:r>
              <w:rPr>
                <w:sz w:val="16"/>
              </w:rPr>
              <w:t>Token length</w:t>
            </w:r>
          </w:p>
        </w:tc>
        <w:tc>
          <w:tcPr>
            <w:tcW w:type="dxa" w:w="8568"/>
            <w:vAlign w:val="center"/>
          </w:tcPr>
          <w:p>
            <w:pPr>
              <w:spacing w:after="20"/>
            </w:pPr>
            <w:r>
              <w:rPr>
                <w:sz w:val="16"/>
              </w:rPr>
              <w:t>Keep 10–2,048 tokens; recorded corpus range 66–1,194, mean 136.79; 0 removed.</w:t>
            </w:r>
          </w:p>
        </w:tc>
      </w:tr>
      <w:tr>
        <w:tc>
          <w:tcPr>
            <w:tcW w:type="dxa" w:w="1944"/>
            <w:vAlign w:val="center"/>
          </w:tcPr>
          <w:p>
            <w:pPr>
              <w:spacing w:after="20"/>
            </w:pPr>
            <w:r>
              <w:rPr>
                <w:sz w:val="16"/>
              </w:rPr>
              <w:t>Low-quality filter</w:t>
            </w:r>
          </w:p>
        </w:tc>
        <w:tc>
          <w:tcPr>
            <w:tcW w:type="dxa" w:w="8568"/>
            <w:vAlign w:val="center"/>
          </w:tcPr>
          <w:p>
            <w:pPr>
              <w:spacing w:after="20"/>
            </w:pPr>
            <w:r>
              <w:rPr>
                <w:sz w:val="16"/>
              </w:rPr>
              <w:t>Remove examples whose parsed assistant response has fewer than 3 words; 998 removed.</w:t>
            </w:r>
          </w:p>
        </w:tc>
      </w:tr>
      <w:tr>
        <w:tc>
          <w:tcPr>
            <w:tcW w:type="dxa" w:w="1944"/>
            <w:vAlign w:val="center"/>
          </w:tcPr>
          <w:p>
            <w:pPr>
              <w:spacing w:after="20"/>
            </w:pPr>
            <w:r>
              <w:rPr>
                <w:sz w:val="16"/>
              </w:rPr>
              <w:t>Final clean set</w:t>
            </w:r>
          </w:p>
        </w:tc>
        <w:tc>
          <w:tcPr>
            <w:tcW w:type="dxa" w:w="8568"/>
            <w:vAlign w:val="center"/>
          </w:tcPr>
          <w:p>
            <w:pPr>
              <w:spacing w:after="20"/>
            </w:pPr>
            <w:r>
              <w:rPr>
                <w:sz w:val="16"/>
              </w:rPr>
              <w:t>19,024 of 20,022 retained (95.02%); text column; hub snapshot Abdulmoiz123/codementor-llm-cleaned.</w:t>
            </w:r>
          </w:p>
        </w:tc>
      </w:tr>
    </w:tbl>
    <w:p>
      <w:pPr>
        <w:spacing w:after="0"/>
      </w:pPr>
    </w:p>
    <w:p>
      <w:r>
        <w:t>The cleaned corpus was split reproducibly with seed 42: 80% train (15,219), 10% validation (1,902), and 10% test (1,903), published as Abdulmoiz123/codementor-llm-splits. SFT code subsequently selects a subset of these splits because of the documented free-T4 resource limit.</w:t>
      </w:r>
    </w:p>
    <w:p>
      <w:pPr>
        <w:pStyle w:val="Heading1"/>
      </w:pPr>
      <w:r>
        <w:t>3. Model architecture and training</w:t>
      </w:r>
    </w:p>
    <w:p>
      <w:r>
        <w:t>The base is a causal language model. QLoRA loads 4-bit NF4 weights with bfloat16 compute and double quantization, prepares the quantized model for k-bit training, then attaches trainable LoRA adapters. Adapters target q_proj, k_proj, v_proj, and o_proj; rank r=16, alpha=32, dropout=0.05, bias=none, task_type=CAUSAL_LM. The adapter metadata confirms these targets and values. The YAML’s stated trainable/total parameter counts are 13,631,488 / 8,043,892,736 (0.17%).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104"/>
        <w:gridCol w:w="4176"/>
      </w:tblGrid>
      <w:tr>
        <w:tc>
          <w:tcPr>
            <w:tcW w:type="dxa" w:w="3427"/>
            <w:shd w:fill="24476B"/>
            <w:vAlign w:val="center"/>
          </w:tcPr>
          <w:p>
            <w:r>
              <w:rPr>
                <w:b/>
                <w:color w:val="FFFFFF"/>
                <w:sz w:val="15"/>
              </w:rPr>
              <w:t>Setting</w:t>
            </w:r>
          </w:p>
        </w:tc>
        <w:tc>
          <w:tcPr>
            <w:tcW w:type="dxa" w:w="3427"/>
            <w:shd w:fill="24476B"/>
            <w:vAlign w:val="center"/>
          </w:tcPr>
          <w:p>
            <w:r>
              <w:rPr>
                <w:b/>
                <w:color w:val="FFFFFF"/>
                <w:sz w:val="15"/>
              </w:rPr>
              <w:t>SFT</w:t>
            </w:r>
          </w:p>
        </w:tc>
        <w:tc>
          <w:tcPr>
            <w:tcW w:type="dxa" w:w="3427"/>
            <w:shd w:fill="24476B"/>
            <w:vAlign w:val="center"/>
          </w:tcPr>
          <w:p>
            <w:r>
              <w:rPr>
                <w:b/>
                <w:color w:val="FFFFFF"/>
                <w:sz w:val="15"/>
              </w:rPr>
              <w:t>DPO</w:t>
            </w:r>
          </w:p>
        </w:tc>
      </w:tr>
      <w:tr>
        <w:tc>
          <w:tcPr>
            <w:tcW w:type="dxa" w:w="2232"/>
            <w:vAlign w:val="center"/>
          </w:tcPr>
          <w:p>
            <w:pPr>
              <w:spacing w:after="20"/>
            </w:pPr>
            <w:r>
              <w:rPr>
                <w:sz w:val="15"/>
              </w:rPr>
              <w:t>Initialization</w:t>
            </w:r>
          </w:p>
        </w:tc>
        <w:tc>
          <w:tcPr>
            <w:tcW w:type="dxa" w:w="4104"/>
            <w:vAlign w:val="center"/>
          </w:tcPr>
          <w:p>
            <w:pPr>
              <w:spacing w:after="20"/>
            </w:pPr>
            <w:r>
              <w:rPr>
                <w:sz w:val="15"/>
              </w:rPr>
              <w:t>Llama-3.2-3B-Instruct + QLoRA</w:t>
            </w:r>
          </w:p>
        </w:tc>
        <w:tc>
          <w:tcPr>
            <w:tcW w:type="dxa" w:w="4176"/>
            <w:vAlign w:val="center"/>
          </w:tcPr>
          <w:p>
            <w:pPr>
              <w:spacing w:after="20"/>
            </w:pPr>
            <w:r>
              <w:rPr>
                <w:sz w:val="15"/>
              </w:rPr>
              <w:t>Base model + SFT adapter, trainable</w:t>
            </w:r>
          </w:p>
        </w:tc>
      </w:tr>
      <w:tr>
        <w:tc>
          <w:tcPr>
            <w:tcW w:type="dxa" w:w="2232"/>
            <w:vAlign w:val="center"/>
          </w:tcPr>
          <w:p>
            <w:pPr>
              <w:spacing w:after="20"/>
            </w:pPr>
            <w:r>
              <w:rPr>
                <w:sz w:val="15"/>
              </w:rPr>
              <w:t>Data</w:t>
            </w:r>
          </w:p>
        </w:tc>
        <w:tc>
          <w:tcPr>
            <w:tcW w:type="dxa" w:w="4104"/>
            <w:vAlign w:val="center"/>
          </w:tcPr>
          <w:p>
            <w:pPr>
              <w:spacing w:after="20"/>
            </w:pPr>
            <w:r>
              <w:rPr>
                <w:sz w:val="15"/>
              </w:rPr>
              <w:t>Hub split; script selects 5,000 train examples and 500 validation examples</w:t>
            </w:r>
          </w:p>
        </w:tc>
        <w:tc>
          <w:tcPr>
            <w:tcW w:type="dxa" w:w="4176"/>
            <w:vAlign w:val="center"/>
          </w:tcPr>
          <w:p>
            <w:pPr>
              <w:spacing w:after="20"/>
            </w:pPr>
            <w:r>
              <w:rPr>
                <w:sz w:val="15"/>
              </w:rPr>
              <w:t>Abdulmoiz123/codementor-llm-preference; docs record 200 pairs</w:t>
            </w:r>
          </w:p>
        </w:tc>
      </w:tr>
      <w:tr>
        <w:tc>
          <w:tcPr>
            <w:tcW w:type="dxa" w:w="2232"/>
            <w:vAlign w:val="center"/>
          </w:tcPr>
          <w:p>
            <w:pPr>
              <w:spacing w:after="20"/>
            </w:pPr>
            <w:r>
              <w:rPr>
                <w:sz w:val="15"/>
              </w:rPr>
              <w:t>Epochs</w:t>
            </w:r>
          </w:p>
        </w:tc>
        <w:tc>
          <w:tcPr>
            <w:tcW w:type="dxa" w:w="4104"/>
            <w:vAlign w:val="center"/>
          </w:tcPr>
          <w:p>
            <w:pPr>
              <w:spacing w:after="20"/>
            </w:pPr>
            <w:r>
              <w:rPr>
                <w:sz w:val="15"/>
              </w:rPr>
              <w:t>3</w:t>
            </w:r>
          </w:p>
        </w:tc>
        <w:tc>
          <w:tcPr>
            <w:tcW w:type="dxa" w:w="4176"/>
            <w:vAlign w:val="center"/>
          </w:tcPr>
          <w:p>
            <w:pPr>
              <w:spacing w:after="20"/>
            </w:pPr>
            <w:r>
              <w:rPr>
                <w:sz w:val="15"/>
              </w:rPr>
              <w:t>1</w:t>
            </w:r>
          </w:p>
        </w:tc>
      </w:tr>
      <w:tr>
        <w:tc>
          <w:tcPr>
            <w:tcW w:type="dxa" w:w="2232"/>
            <w:vAlign w:val="center"/>
          </w:tcPr>
          <w:p>
            <w:pPr>
              <w:spacing w:after="20"/>
            </w:pPr>
            <w:r>
              <w:rPr>
                <w:sz w:val="15"/>
              </w:rPr>
              <w:t>Per-device batch / accumulation</w:t>
            </w:r>
          </w:p>
        </w:tc>
        <w:tc>
          <w:tcPr>
            <w:tcW w:type="dxa" w:w="4104"/>
            <w:vAlign w:val="center"/>
          </w:tcPr>
          <w:p>
            <w:pPr>
              <w:spacing w:after="20"/>
            </w:pPr>
            <w:r>
              <w:rPr>
                <w:sz w:val="15"/>
              </w:rPr>
              <w:t>4 / 4</w:t>
            </w:r>
          </w:p>
        </w:tc>
        <w:tc>
          <w:tcPr>
            <w:tcW w:type="dxa" w:w="4176"/>
            <w:vAlign w:val="center"/>
          </w:tcPr>
          <w:p>
            <w:pPr>
              <w:spacing w:after="20"/>
            </w:pPr>
            <w:r>
              <w:rPr>
                <w:sz w:val="15"/>
              </w:rPr>
              <w:t>4 / 4</w:t>
            </w:r>
          </w:p>
        </w:tc>
      </w:tr>
      <w:tr>
        <w:tc>
          <w:tcPr>
            <w:tcW w:type="dxa" w:w="2232"/>
            <w:vAlign w:val="center"/>
          </w:tcPr>
          <w:p>
            <w:pPr>
              <w:spacing w:after="20"/>
            </w:pPr>
            <w:r>
              <w:rPr>
                <w:sz w:val="15"/>
              </w:rPr>
              <w:t>Effective batch (single device)</w:t>
            </w:r>
          </w:p>
        </w:tc>
        <w:tc>
          <w:tcPr>
            <w:tcW w:type="dxa" w:w="4104"/>
            <w:vAlign w:val="center"/>
          </w:tcPr>
          <w:p>
            <w:pPr>
              <w:spacing w:after="20"/>
            </w:pPr>
            <w:r>
              <w:rPr>
                <w:sz w:val="15"/>
              </w:rPr>
              <w:t>16</w:t>
            </w:r>
          </w:p>
        </w:tc>
        <w:tc>
          <w:tcPr>
            <w:tcW w:type="dxa" w:w="4176"/>
            <w:vAlign w:val="center"/>
          </w:tcPr>
          <w:p>
            <w:pPr>
              <w:spacing w:after="20"/>
            </w:pPr>
            <w:r>
              <w:rPr>
                <w:sz w:val="15"/>
              </w:rPr>
              <w:t>16</w:t>
            </w:r>
          </w:p>
        </w:tc>
      </w:tr>
      <w:tr>
        <w:tc>
          <w:tcPr>
            <w:tcW w:type="dxa" w:w="2232"/>
            <w:vAlign w:val="center"/>
          </w:tcPr>
          <w:p>
            <w:pPr>
              <w:spacing w:after="20"/>
            </w:pPr>
            <w:r>
              <w:rPr>
                <w:sz w:val="15"/>
              </w:rPr>
              <w:t>Learning rate / warmup</w:t>
            </w:r>
          </w:p>
        </w:tc>
        <w:tc>
          <w:tcPr>
            <w:tcW w:type="dxa" w:w="4104"/>
            <w:vAlign w:val="center"/>
          </w:tcPr>
          <w:p>
            <w:pPr>
              <w:spacing w:after="20"/>
            </w:pPr>
            <w:r>
              <w:rPr>
                <w:sz w:val="15"/>
              </w:rPr>
              <w:t>2e-4 / 0.05 ratio</w:t>
            </w:r>
          </w:p>
        </w:tc>
        <w:tc>
          <w:tcPr>
            <w:tcW w:type="dxa" w:w="4176"/>
            <w:vAlign w:val="center"/>
          </w:tcPr>
          <w:p>
            <w:pPr>
              <w:spacing w:after="20"/>
            </w:pPr>
            <w:r>
              <w:rPr>
                <w:sz w:val="15"/>
              </w:rPr>
              <w:t>5e-5 / not specified</w:t>
            </w:r>
          </w:p>
        </w:tc>
      </w:tr>
      <w:tr>
        <w:tc>
          <w:tcPr>
            <w:tcW w:type="dxa" w:w="2232"/>
            <w:vAlign w:val="center"/>
          </w:tcPr>
          <w:p>
            <w:pPr>
              <w:spacing w:after="20"/>
            </w:pPr>
            <w:r>
              <w:rPr>
                <w:sz w:val="15"/>
              </w:rPr>
              <w:t>Sequence limits</w:t>
            </w:r>
          </w:p>
        </w:tc>
        <w:tc>
          <w:tcPr>
            <w:tcW w:type="dxa" w:w="4104"/>
            <w:vAlign w:val="center"/>
          </w:tcPr>
          <w:p>
            <w:pPr>
              <w:spacing w:after="20"/>
            </w:pPr>
            <w:r>
              <w:rPr>
                <w:sz w:val="15"/>
              </w:rPr>
              <w:t>2,048 tokens</w:t>
            </w:r>
          </w:p>
        </w:tc>
        <w:tc>
          <w:tcPr>
            <w:tcW w:type="dxa" w:w="4176"/>
            <w:vAlign w:val="center"/>
          </w:tcPr>
          <w:p>
            <w:pPr>
              <w:spacing w:after="20"/>
            </w:pPr>
            <w:r>
              <w:rPr>
                <w:sz w:val="15"/>
              </w:rPr>
              <w:t>512 total; 256 prompt</w:t>
            </w:r>
          </w:p>
        </w:tc>
      </w:tr>
      <w:tr>
        <w:tc>
          <w:tcPr>
            <w:tcW w:type="dxa" w:w="2232"/>
            <w:vAlign w:val="center"/>
          </w:tcPr>
          <w:p>
            <w:pPr>
              <w:spacing w:after="20"/>
            </w:pPr>
            <w:r>
              <w:rPr>
                <w:sz w:val="15"/>
              </w:rPr>
              <w:t>Optimizer / scheduler</w:t>
            </w:r>
          </w:p>
        </w:tc>
        <w:tc>
          <w:tcPr>
            <w:tcW w:type="dxa" w:w="4104"/>
            <w:vAlign w:val="center"/>
          </w:tcPr>
          <w:p>
            <w:pPr>
              <w:spacing w:after="20"/>
            </w:pPr>
            <w:r>
              <w:rPr>
                <w:sz w:val="15"/>
              </w:rPr>
              <w:t>paged_adamw_32bit / cosine</w:t>
            </w:r>
          </w:p>
        </w:tc>
        <w:tc>
          <w:tcPr>
            <w:tcW w:type="dxa" w:w="4176"/>
            <w:vAlign w:val="center"/>
          </w:tcPr>
          <w:p>
            <w:pPr>
              <w:spacing w:after="20"/>
            </w:pPr>
            <w:r>
              <w:rPr>
                <w:sz w:val="15"/>
              </w:rPr>
              <w:t>paged_adamw_32bit / cosine</w:t>
            </w:r>
          </w:p>
        </w:tc>
      </w:tr>
      <w:tr>
        <w:tc>
          <w:tcPr>
            <w:tcW w:type="dxa" w:w="2232"/>
            <w:vAlign w:val="center"/>
          </w:tcPr>
          <w:p>
            <w:pPr>
              <w:spacing w:after="20"/>
            </w:pPr>
            <w:r>
              <w:rPr>
                <w:sz w:val="15"/>
              </w:rPr>
              <w:t>Precision / logging</w:t>
            </w:r>
          </w:p>
        </w:tc>
        <w:tc>
          <w:tcPr>
            <w:tcW w:type="dxa" w:w="4104"/>
            <w:vAlign w:val="center"/>
          </w:tcPr>
          <w:p>
            <w:pPr>
              <w:spacing w:after="20"/>
            </w:pPr>
            <w:r>
              <w:rPr>
                <w:sz w:val="15"/>
              </w:rPr>
              <w:t>fp16; every 10 steps; eval and save each epoch</w:t>
            </w:r>
          </w:p>
        </w:tc>
        <w:tc>
          <w:tcPr>
            <w:tcW w:type="dxa" w:w="4176"/>
            <w:vAlign w:val="center"/>
          </w:tcPr>
          <w:p>
            <w:pPr>
              <w:spacing w:after="20"/>
            </w:pPr>
            <w:r>
              <w:rPr>
                <w:sz w:val="15"/>
              </w:rPr>
              <w:t>fp16; every 10 steps; save each epoch</w:t>
            </w:r>
          </w:p>
        </w:tc>
      </w:tr>
      <w:tr>
        <w:tc>
          <w:tcPr>
            <w:tcW w:type="dxa" w:w="2232"/>
            <w:vAlign w:val="center"/>
          </w:tcPr>
          <w:p>
            <w:pPr>
              <w:spacing w:after="20"/>
            </w:pPr>
            <w:r>
              <w:rPr>
                <w:sz w:val="15"/>
              </w:rPr>
              <w:t>Preference control</w:t>
            </w:r>
          </w:p>
        </w:tc>
        <w:tc>
          <w:tcPr>
            <w:tcW w:type="dxa" w:w="4104"/>
            <w:vAlign w:val="center"/>
          </w:tcPr>
          <w:p>
            <w:pPr>
              <w:spacing w:after="20"/>
            </w:pPr>
            <w:r>
              <w:rPr>
                <w:sz w:val="15"/>
              </w:rPr>
              <w:t>—</w:t>
            </w:r>
          </w:p>
        </w:tc>
        <w:tc>
          <w:tcPr>
            <w:tcW w:type="dxa" w:w="4176"/>
            <w:vAlign w:val="center"/>
          </w:tcPr>
          <w:p>
            <w:pPr>
              <w:spacing w:after="20"/>
            </w:pPr>
            <w:r>
              <w:rPr>
                <w:sz w:val="15"/>
              </w:rPr>
              <w:t>DPO beta = 0.1</w:t>
            </w:r>
          </w:p>
        </w:tc>
      </w:tr>
      <w:tr>
        <w:tc>
          <w:tcPr>
            <w:tcW w:type="dxa" w:w="2232"/>
            <w:vAlign w:val="center"/>
          </w:tcPr>
          <w:p>
            <w:pPr>
              <w:spacing w:after="20"/>
            </w:pPr>
            <w:r>
              <w:rPr>
                <w:sz w:val="15"/>
              </w:rPr>
              <w:t>Tracking and output</w:t>
            </w:r>
          </w:p>
        </w:tc>
        <w:tc>
          <w:tcPr>
            <w:tcW w:type="dxa" w:w="4104"/>
            <w:vAlign w:val="center"/>
          </w:tcPr>
          <w:p>
            <w:pPr>
              <w:spacing w:after="20"/>
            </w:pPr>
            <w:r>
              <w:rPr>
                <w:sz w:val="15"/>
              </w:rPr>
              <w:t>W&amp;B project codementor-llm; push SFT adapter to HF Hub</w:t>
            </w:r>
          </w:p>
        </w:tc>
        <w:tc>
          <w:tcPr>
            <w:tcW w:type="dxa" w:w="4176"/>
            <w:vAlign w:val="center"/>
          </w:tcPr>
          <w:p>
            <w:pPr>
              <w:spacing w:after="20"/>
            </w:pPr>
            <w:r>
              <w:rPr>
                <w:sz w:val="15"/>
              </w:rPr>
              <w:t>W&amp;B project codementor-llm; push DPO adapter to HF Hub</w:t>
            </w:r>
          </w:p>
        </w:tc>
      </w:tr>
    </w:tbl>
    <w:p>
      <w:pPr>
        <w:spacing w:after="0"/>
      </w:pPr>
    </w:p>
    <w:p>
      <w:r>
        <w:t>The preference construction notebook/code describes chosen answers from the SFT model and rejected answers from the base model, with an intended sample of 200. The DPO script loads the published preference dataset without applying a local row cap. DPO is initialized from the SFT adapter, so it is a second alignment stage rather than training from the original base alone.</w:t>
      </w:r>
    </w:p>
    <w:p>
      <w:pPr>
        <w:pStyle w:val="Heading1"/>
      </w:pPr>
      <w:r>
        <w:t>4. Evaluation and reported outcomes</w:t>
      </w:r>
    </w:p>
    <w:p>
      <w:r>
        <w:t>The repository stores evaluations on 50 test examples. Metrics include ROUGE-1/2/L and BERTScore precision/recall/F1. These are small-sample, lexical/semantic similarity measures and do not establish broad correctness or production reliability.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800"/>
        <w:gridCol w:w="1800"/>
        <w:gridCol w:w="1800"/>
        <w:gridCol w:w="2448"/>
      </w:tblGrid>
      <w:tr>
        <w:tc>
          <w:tcPr>
            <w:tcW w:type="dxa" w:w="2056"/>
            <w:shd w:fill="24476B"/>
            <w:vAlign w:val="center"/>
          </w:tcPr>
          <w:p>
            <w:r>
              <w:rPr>
                <w:b/>
                <w:color w:val="FFFFFF"/>
                <w:sz w:val="16"/>
              </w:rPr>
              <w:t>Model</w:t>
            </w:r>
          </w:p>
        </w:tc>
        <w:tc>
          <w:tcPr>
            <w:tcW w:type="dxa" w:w="2056"/>
            <w:shd w:fill="24476B"/>
            <w:vAlign w:val="center"/>
          </w:tcPr>
          <w:p>
            <w:r>
              <w:rPr>
                <w:b/>
                <w:color w:val="FFFFFF"/>
                <w:sz w:val="16"/>
              </w:rPr>
              <w:t>ROUGE-1</w:t>
            </w:r>
          </w:p>
        </w:tc>
        <w:tc>
          <w:tcPr>
            <w:tcW w:type="dxa" w:w="2056"/>
            <w:shd w:fill="24476B"/>
            <w:vAlign w:val="center"/>
          </w:tcPr>
          <w:p>
            <w:r>
              <w:rPr>
                <w:b/>
                <w:color w:val="FFFFFF"/>
                <w:sz w:val="16"/>
              </w:rPr>
              <w:t>ROUGE-2</w:t>
            </w:r>
          </w:p>
        </w:tc>
        <w:tc>
          <w:tcPr>
            <w:tcW w:type="dxa" w:w="2056"/>
            <w:shd w:fill="24476B"/>
            <w:vAlign w:val="center"/>
          </w:tcPr>
          <w:p>
            <w:r>
              <w:rPr>
                <w:b/>
                <w:color w:val="FFFFFF"/>
                <w:sz w:val="16"/>
              </w:rPr>
              <w:t>ROUGE-L</w:t>
            </w:r>
          </w:p>
        </w:tc>
        <w:tc>
          <w:tcPr>
            <w:tcW w:type="dxa" w:w="2056"/>
            <w:shd w:fill="24476B"/>
            <w:vAlign w:val="center"/>
          </w:tcPr>
          <w:p>
            <w:r>
              <w:rPr>
                <w:b/>
                <w:color w:val="FFFFFF"/>
                <w:sz w:val="16"/>
              </w:rPr>
              <w:t>BERTScore F1</w:t>
            </w:r>
          </w:p>
        </w:tc>
      </w:tr>
      <w:tr>
        <w:tc>
          <w:tcPr>
            <w:tcW w:type="dxa" w:w="2088"/>
            <w:vAlign w:val="center"/>
          </w:tcPr>
          <w:p>
            <w:pPr>
              <w:spacing w:after="20"/>
            </w:pPr>
            <w:r>
              <w:rPr>
                <w:sz w:val="16"/>
              </w:rPr>
              <w:t>Base</w:t>
            </w:r>
          </w:p>
        </w:tc>
        <w:tc>
          <w:tcPr>
            <w:tcW w:type="dxa" w:w="1800"/>
            <w:vAlign w:val="center"/>
          </w:tcPr>
          <w:p>
            <w:pPr>
              <w:spacing w:after="20"/>
            </w:pPr>
            <w:r>
              <w:rPr>
                <w:sz w:val="16"/>
              </w:rPr>
              <w:t>0.2408</w:t>
            </w:r>
          </w:p>
        </w:tc>
        <w:tc>
          <w:tcPr>
            <w:tcW w:type="dxa" w:w="1800"/>
            <w:vAlign w:val="center"/>
          </w:tcPr>
          <w:p>
            <w:pPr>
              <w:spacing w:after="20"/>
            </w:pPr>
            <w:r>
              <w:rPr>
                <w:sz w:val="16"/>
              </w:rPr>
              <w:t>0.0897</w:t>
            </w:r>
          </w:p>
        </w:tc>
        <w:tc>
          <w:tcPr>
            <w:tcW w:type="dxa" w:w="1800"/>
            <w:vAlign w:val="center"/>
          </w:tcPr>
          <w:p>
            <w:pPr>
              <w:spacing w:after="20"/>
            </w:pPr>
            <w:r>
              <w:rPr>
                <w:sz w:val="16"/>
              </w:rPr>
              <w:t>0.1807</w:t>
            </w:r>
          </w:p>
        </w:tc>
        <w:tc>
          <w:tcPr>
            <w:tcW w:type="dxa" w:w="2448"/>
            <w:vAlign w:val="center"/>
          </w:tcPr>
          <w:p>
            <w:pPr>
              <w:spacing w:after="20"/>
            </w:pPr>
            <w:r>
              <w:rPr>
                <w:sz w:val="16"/>
              </w:rPr>
              <w:t>0.8385</w:t>
            </w:r>
          </w:p>
        </w:tc>
      </w:tr>
      <w:tr>
        <w:tc>
          <w:tcPr>
            <w:tcW w:type="dxa" w:w="2088"/>
            <w:vAlign w:val="center"/>
          </w:tcPr>
          <w:p>
            <w:pPr>
              <w:spacing w:after="20"/>
            </w:pPr>
            <w:r>
              <w:rPr>
                <w:sz w:val="16"/>
              </w:rPr>
              <w:t>SFT</w:t>
            </w:r>
          </w:p>
        </w:tc>
        <w:tc>
          <w:tcPr>
            <w:tcW w:type="dxa" w:w="1800"/>
            <w:vAlign w:val="center"/>
          </w:tcPr>
          <w:p>
            <w:pPr>
              <w:spacing w:after="20"/>
            </w:pPr>
            <w:r>
              <w:rPr>
                <w:sz w:val="16"/>
              </w:rPr>
              <w:t>0.2639</w:t>
            </w:r>
          </w:p>
        </w:tc>
        <w:tc>
          <w:tcPr>
            <w:tcW w:type="dxa" w:w="1800"/>
            <w:vAlign w:val="center"/>
          </w:tcPr>
          <w:p>
            <w:pPr>
              <w:spacing w:after="20"/>
            </w:pPr>
            <w:r>
              <w:rPr>
                <w:sz w:val="16"/>
              </w:rPr>
              <w:t>0.1017</w:t>
            </w:r>
          </w:p>
        </w:tc>
        <w:tc>
          <w:tcPr>
            <w:tcW w:type="dxa" w:w="1800"/>
            <w:vAlign w:val="center"/>
          </w:tcPr>
          <w:p>
            <w:pPr>
              <w:spacing w:after="20"/>
            </w:pPr>
            <w:r>
              <w:rPr>
                <w:sz w:val="16"/>
              </w:rPr>
              <w:t>0.2004</w:t>
            </w:r>
          </w:p>
        </w:tc>
        <w:tc>
          <w:tcPr>
            <w:tcW w:type="dxa" w:w="2448"/>
            <w:vAlign w:val="center"/>
          </w:tcPr>
          <w:p>
            <w:pPr>
              <w:spacing w:after="20"/>
            </w:pPr>
            <w:r>
              <w:rPr>
                <w:sz w:val="16"/>
              </w:rPr>
              <w:t>0.8504</w:t>
            </w:r>
          </w:p>
        </w:tc>
      </w:tr>
      <w:tr>
        <w:tc>
          <w:tcPr>
            <w:tcW w:type="dxa" w:w="2088"/>
            <w:vAlign w:val="center"/>
          </w:tcPr>
          <w:p>
            <w:pPr>
              <w:spacing w:after="20"/>
            </w:pPr>
            <w:r>
              <w:rPr>
                <w:sz w:val="16"/>
              </w:rPr>
              <w:t>DPO</w:t>
            </w:r>
          </w:p>
        </w:tc>
        <w:tc>
          <w:tcPr>
            <w:tcW w:type="dxa" w:w="1800"/>
            <w:vAlign w:val="center"/>
          </w:tcPr>
          <w:p>
            <w:pPr>
              <w:spacing w:after="20"/>
            </w:pPr>
            <w:r>
              <w:rPr>
                <w:sz w:val="16"/>
              </w:rPr>
              <w:t>0.2542</w:t>
            </w:r>
          </w:p>
        </w:tc>
        <w:tc>
          <w:tcPr>
            <w:tcW w:type="dxa" w:w="1800"/>
            <w:vAlign w:val="center"/>
          </w:tcPr>
          <w:p>
            <w:pPr>
              <w:spacing w:after="20"/>
            </w:pPr>
            <w:r>
              <w:rPr>
                <w:sz w:val="16"/>
              </w:rPr>
              <w:t>0.1090</w:t>
            </w:r>
          </w:p>
        </w:tc>
        <w:tc>
          <w:tcPr>
            <w:tcW w:type="dxa" w:w="1800"/>
            <w:vAlign w:val="center"/>
          </w:tcPr>
          <w:p>
            <w:pPr>
              <w:spacing w:after="20"/>
            </w:pPr>
            <w:r>
              <w:rPr>
                <w:sz w:val="16"/>
              </w:rPr>
              <w:t>0.2077</w:t>
            </w:r>
          </w:p>
        </w:tc>
        <w:tc>
          <w:tcPr>
            <w:tcW w:type="dxa" w:w="2448"/>
            <w:vAlign w:val="center"/>
          </w:tcPr>
          <w:p>
            <w:pPr>
              <w:spacing w:after="20"/>
            </w:pPr>
            <w:r>
              <w:rPr>
                <w:sz w:val="16"/>
              </w:rPr>
              <w:t>0.8491</w:t>
            </w:r>
          </w:p>
        </w:tc>
      </w:tr>
    </w:tbl>
    <w:p>
      <w:pPr>
        <w:spacing w:after="0"/>
      </w:pPr>
    </w:p>
    <w:p>
      <w:r>
        <w:t>On this recorded run, SFT has the highest ROUGE-1 and BERTScore F1; DPO has the highest ROUGE-2 and ROUGE-L. Earlier SFT-only results also show ROUGE gains over base, while BERTScore F1 is effectively unchanged (0.8366 base vs 0.8363 SFT). Qualitative notes report concise code responses as a strength and repetition, complex-task hallucinations, overlong answers, and truncation as weaknesses. DPO training notes record loss 0.0056, 12 steps, and about 1.5 minutes; SFT notes report 1h 54m on a free T4 and 36.7 MB adapter. These are project log values, not independently reproduced here.</w:t>
      </w:r>
    </w:p>
    <w:p>
      <w:pPr>
        <w:pStyle w:val="Heading1"/>
      </w:pPr>
      <w:r>
        <w:t>5. Inference, application architecture, and deployment</w:t>
      </w:r>
    </w:p>
    <w:p>
      <w:r>
        <w:t>The merged model is published as Abdulmoiz123/codementor-llm-merged. Inference uses 4-bit NF4, bfloat16 compute, autoregressive generation, and a coding-assistant system prompt. YAML defaults are max_new_tokens=512, temperature=0.7, top_p=0.9, do_sample=true, and repetition_penalty=1.3 appears in the local inference/evaluation path. The current Modal serving method instead sets do_sample=false and use_cache=true, without applying temperature/top_p or repetition_penalty; therefore deployed decoding differs from the general config. The current frontend streams one response and always sends a 512-token cap; it has no automatic continuation or classifier step.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496"/>
      </w:tblGrid>
      <w:tr>
        <w:tc>
          <w:tcPr>
            <w:tcW w:type="dxa" w:w="5141"/>
            <w:shd w:fill="24476B"/>
            <w:vAlign w:val="center"/>
          </w:tcPr>
          <w:p>
            <w:r>
              <w:rPr>
                <w:b/>
                <w:color w:val="FFFFFF"/>
                <w:sz w:val="15"/>
              </w:rPr>
              <w:t>Component</w:t>
            </w:r>
          </w:p>
        </w:tc>
        <w:tc>
          <w:tcPr>
            <w:tcW w:type="dxa" w:w="5141"/>
            <w:shd w:fill="24476B"/>
            <w:vAlign w:val="center"/>
          </w:tcPr>
          <w:p>
            <w:r>
              <w:rPr>
                <w:b/>
                <w:color w:val="FFFFFF"/>
                <w:sz w:val="15"/>
              </w:rPr>
              <w:t>Responsibility / documented deployment</w:t>
            </w:r>
          </w:p>
        </w:tc>
      </w:tr>
      <w:tr>
        <w:tc>
          <w:tcPr>
            <w:tcW w:type="dxa" w:w="2016"/>
            <w:vAlign w:val="center"/>
          </w:tcPr>
          <w:p>
            <w:pPr>
              <w:spacing w:after="20"/>
            </w:pPr>
            <w:r>
              <w:rPr>
                <w:sz w:val="15"/>
              </w:rPr>
              <w:t>Streamlit frontend</w:t>
            </w:r>
          </w:p>
        </w:tc>
        <w:tc>
          <w:tcPr>
            <w:tcW w:type="dxa" w:w="8496"/>
            <w:vAlign w:val="center"/>
          </w:tcPr>
          <w:p>
            <w:pPr>
              <w:spacing w:after="20"/>
            </w:pPr>
            <w:r>
              <w:rPr>
                <w:sz w:val="15"/>
              </w:rPr>
              <w:t>Workspace for coding questions, streamed Markdown output, suggestions, theme/appearance and request-log view. Deploy URL: https://abdulmoiz123-codementor-llm-app.hf.space</w:t>
            </w:r>
          </w:p>
        </w:tc>
      </w:tr>
      <w:tr>
        <w:tc>
          <w:tcPr>
            <w:tcW w:type="dxa" w:w="2016"/>
            <w:vAlign w:val="center"/>
          </w:tcPr>
          <w:p>
            <w:pPr>
              <w:spacing w:after="20"/>
            </w:pPr>
            <w:r>
              <w:rPr>
                <w:sz w:val="15"/>
              </w:rPr>
              <w:t>FastAPI backend</w:t>
            </w:r>
          </w:p>
        </w:tc>
        <w:tc>
          <w:tcPr>
            <w:tcW w:type="dxa" w:w="8496"/>
            <w:vAlign w:val="center"/>
          </w:tcPr>
          <w:p>
            <w:pPr>
              <w:spacing w:after="20"/>
            </w:pPr>
            <w:r>
              <w:rPr>
                <w:sz w:val="15"/>
              </w:rPr>
              <w:t>Validates requests, routes standard and streamed generation, logs results. HF Space: https://abdulmoiz123-codementor-llm-api.hf.space; interactive docs at /docs.</w:t>
            </w:r>
          </w:p>
        </w:tc>
      </w:tr>
      <w:tr>
        <w:tc>
          <w:tcPr>
            <w:tcW w:type="dxa" w:w="2016"/>
            <w:vAlign w:val="center"/>
          </w:tcPr>
          <w:p>
            <w:pPr>
              <w:spacing w:after="20"/>
            </w:pPr>
            <w:r>
              <w:rPr>
                <w:sz w:val="15"/>
              </w:rPr>
              <w:t>Modal GPU service</w:t>
            </w:r>
          </w:p>
        </w:tc>
        <w:tc>
          <w:tcPr>
            <w:tcW w:type="dxa" w:w="8496"/>
            <w:vAlign w:val="center"/>
          </w:tcPr>
          <w:p>
            <w:pPr>
              <w:spacing w:after="20"/>
            </w:pPr>
            <w:r>
              <w:rPr>
                <w:sz w:val="15"/>
              </w:rPr>
              <w:t>Serverless inference with NVIDIA A10G (24 GB per project notes), loading merged HF model in 4-bit; documented endpoint: https://moizishere-droid--codementor-llm-generate-endpoint.modal.run.</w:t>
            </w:r>
          </w:p>
        </w:tc>
      </w:tr>
      <w:tr>
        <w:tc>
          <w:tcPr>
            <w:tcW w:type="dxa" w:w="2016"/>
            <w:vAlign w:val="center"/>
          </w:tcPr>
          <w:p>
            <w:pPr>
              <w:spacing w:after="20"/>
            </w:pPr>
            <w:r>
              <w:rPr>
                <w:sz w:val="15"/>
              </w:rPr>
              <w:t>Local orchestration</w:t>
            </w:r>
          </w:p>
        </w:tc>
        <w:tc>
          <w:tcPr>
            <w:tcW w:type="dxa" w:w="8496"/>
            <w:vAlign w:val="center"/>
          </w:tcPr>
          <w:p>
            <w:pPr>
              <w:spacing w:after="20"/>
            </w:pPr>
            <w:r>
              <w:rPr>
                <w:sz w:val="15"/>
              </w:rPr>
              <w:t>docker-compose maps backend host 8000 to container 7860 and frontend host 8501 to container 7861; frontend points at backend service. HF Spaces use Docker per deployment notes.</w:t>
            </w:r>
          </w:p>
        </w:tc>
      </w:tr>
    </w:tbl>
    <w:p>
      <w:pPr>
        <w:spacing w:after="0"/>
      </w:pPr>
    </w:p>
    <w:p>
      <w:r>
        <w:t>The API’s default loader calls the Modal endpoint; USE_LOCAL_MODEL=true selects the local model loader. FastAPI lifespan creates the SQLite table and invokes the selected loader at startup. Deployment notes give approximate Modal cold start ~30 seconds and warm inference ~2–5 seconds; treat these as recorded estimates, not an SLA.</w:t>
      </w:r>
    </w:p>
    <w:p>
      <w:pPr>
        <w:pStyle w:val="Heading1"/>
      </w:pPr>
      <w:r>
        <w:t>6. API endpoints and data storage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968"/>
        <w:gridCol w:w="3456"/>
      </w:tblGrid>
      <w:tr>
        <w:tc>
          <w:tcPr>
            <w:tcW w:type="dxa" w:w="3427"/>
            <w:shd w:fill="24476B"/>
            <w:vAlign w:val="center"/>
          </w:tcPr>
          <w:p>
            <w:r>
              <w:rPr>
                <w:b/>
                <w:color w:val="FFFFFF"/>
                <w:sz w:val="15"/>
              </w:rPr>
              <w:t>Method / path</w:t>
            </w:r>
          </w:p>
        </w:tc>
        <w:tc>
          <w:tcPr>
            <w:tcW w:type="dxa" w:w="3427"/>
            <w:shd w:fill="24476B"/>
            <w:vAlign w:val="center"/>
          </w:tcPr>
          <w:p>
            <w:r>
              <w:rPr>
                <w:b/>
                <w:color w:val="FFFFFF"/>
                <w:sz w:val="15"/>
              </w:rPr>
              <w:t>Inputs and behavior</w:t>
            </w:r>
          </w:p>
        </w:tc>
        <w:tc>
          <w:tcPr>
            <w:tcW w:type="dxa" w:w="3427"/>
            <w:shd w:fill="24476B"/>
            <w:vAlign w:val="center"/>
          </w:tcPr>
          <w:p>
            <w:r>
              <w:rPr>
                <w:b/>
                <w:color w:val="FFFFFF"/>
                <w:sz w:val="15"/>
              </w:rPr>
              <w:t>Response</w:t>
            </w:r>
          </w:p>
        </w:tc>
      </w:tr>
      <w:tr>
        <w:tc>
          <w:tcPr>
            <w:tcW w:type="dxa" w:w="2088"/>
            <w:vAlign w:val="center"/>
          </w:tcPr>
          <w:p>
            <w:pPr>
              <w:spacing w:after="20"/>
            </w:pPr>
            <w:r>
              <w:rPr>
                <w:sz w:val="15"/>
              </w:rPr>
              <w:t>GET /health</w:t>
            </w:r>
          </w:p>
        </w:tc>
        <w:tc>
          <w:tcPr>
            <w:tcW w:type="dxa" w:w="4968"/>
            <w:vAlign w:val="center"/>
          </w:tcPr>
          <w:p>
            <w:pPr>
              <w:spacing w:after="20"/>
            </w:pPr>
            <w:r>
              <w:rPr>
                <w:sz w:val="15"/>
              </w:rPr>
              <w:t>No input; API health metadata.</w:t>
            </w:r>
          </w:p>
        </w:tc>
        <w:tc>
          <w:tcPr>
            <w:tcW w:type="dxa" w:w="3456"/>
            <w:vAlign w:val="center"/>
          </w:tcPr>
          <w:p>
            <w:pPr>
              <w:spacing w:after="20"/>
            </w:pPr>
            <w:r>
              <w:rPr>
                <w:sz w:val="15"/>
              </w:rPr>
              <w:t>status, model, version</w:t>
            </w:r>
          </w:p>
        </w:tc>
      </w:tr>
      <w:tr>
        <w:tc>
          <w:tcPr>
            <w:tcW w:type="dxa" w:w="2088"/>
            <w:vAlign w:val="center"/>
          </w:tcPr>
          <w:p>
            <w:pPr>
              <w:spacing w:after="20"/>
            </w:pPr>
            <w:r>
              <w:rPr>
                <w:sz w:val="15"/>
              </w:rPr>
              <w:t>POST /generate</w:t>
            </w:r>
          </w:p>
        </w:tc>
        <w:tc>
          <w:tcPr>
            <w:tcW w:type="dxa" w:w="4968"/>
            <w:vAlign w:val="center"/>
          </w:tcPr>
          <w:p>
            <w:pPr>
              <w:spacing w:after="20"/>
            </w:pPr>
            <w:r>
              <w:rPr>
                <w:sz w:val="15"/>
              </w:rPr>
              <w:t>JSON: prompt (1–2,048 characters), max_new_tokens (1–1,024; default 512). Calls model service and logs inference.</w:t>
            </w:r>
          </w:p>
        </w:tc>
        <w:tc>
          <w:tcPr>
            <w:tcW w:type="dxa" w:w="3456"/>
            <w:vAlign w:val="center"/>
          </w:tcPr>
          <w:p>
            <w:pPr>
              <w:spacing w:after="20"/>
            </w:pPr>
            <w:r>
              <w:rPr>
                <w:sz w:val="15"/>
              </w:rPr>
              <w:t>response, latency_ms, success</w:t>
            </w:r>
          </w:p>
        </w:tc>
      </w:tr>
      <w:tr>
        <w:tc>
          <w:tcPr>
            <w:tcW w:type="dxa" w:w="2088"/>
            <w:vAlign w:val="center"/>
          </w:tcPr>
          <w:p>
            <w:pPr>
              <w:spacing w:after="20"/>
            </w:pPr>
            <w:r>
              <w:rPr>
                <w:sz w:val="15"/>
              </w:rPr>
              <w:t>POST /generate/stream</w:t>
            </w:r>
          </w:p>
        </w:tc>
        <w:tc>
          <w:tcPr>
            <w:tcW w:type="dxa" w:w="4968"/>
            <w:vAlign w:val="center"/>
          </w:tcPr>
          <w:p>
            <w:pPr>
              <w:spacing w:after="20"/>
            </w:pPr>
            <w:r>
              <w:rPr>
                <w:sz w:val="15"/>
              </w:rPr>
              <w:t>Same request schema; server-sent events with token events, then [DONE]; failures produce error event.</w:t>
            </w:r>
          </w:p>
        </w:tc>
        <w:tc>
          <w:tcPr>
            <w:tcW w:type="dxa" w:w="3456"/>
            <w:vAlign w:val="center"/>
          </w:tcPr>
          <w:p>
            <w:pPr>
              <w:spacing w:after="20"/>
            </w:pPr>
            <w:r>
              <w:rPr>
                <w:sz w:val="15"/>
              </w:rPr>
              <w:t>text/event-stream</w:t>
            </w:r>
          </w:p>
        </w:tc>
      </w:tr>
      <w:tr>
        <w:tc>
          <w:tcPr>
            <w:tcW w:type="dxa" w:w="2088"/>
            <w:vAlign w:val="center"/>
          </w:tcPr>
          <w:p>
            <w:pPr>
              <w:spacing w:after="20"/>
            </w:pPr>
            <w:r>
              <w:rPr>
                <w:sz w:val="15"/>
              </w:rPr>
              <w:t>GET /logs?limit=5</w:t>
            </w:r>
          </w:p>
        </w:tc>
        <w:tc>
          <w:tcPr>
            <w:tcW w:type="dxa" w:w="4968"/>
            <w:vAlign w:val="center"/>
          </w:tcPr>
          <w:p>
            <w:pPr>
              <w:spacing w:after="20"/>
            </w:pPr>
            <w:r>
              <w:rPr>
                <w:sz w:val="15"/>
              </w:rPr>
              <w:t>Returns newest inference logs (default limit 5) and total count. Frontend requests up to 50.</w:t>
            </w:r>
          </w:p>
        </w:tc>
        <w:tc>
          <w:tcPr>
            <w:tcW w:type="dxa" w:w="3456"/>
            <w:vAlign w:val="center"/>
          </w:tcPr>
          <w:p>
            <w:pPr>
              <w:spacing w:after="20"/>
            </w:pPr>
            <w:r>
              <w:rPr>
                <w:sz w:val="15"/>
              </w:rPr>
              <w:t>logs array and total</w:t>
            </w:r>
          </w:p>
        </w:tc>
      </w:tr>
    </w:tbl>
    <w:p>
      <w:pPr>
        <w:spacing w:after="0"/>
      </w:pPr>
    </w:p>
    <w:p>
      <w:r>
        <w:t>SQLite database codementor.db contains inference_logs: id (integer primary key/index), prompt and response (required strings), latency_ms (required float), timestamp (UTC default), and success (boolean default true). SQLAlchemy creates tables on startup, opens a session per request, commits each logged record, and closes the session. This is request logging, not durable conversation/thread storage. The UI’s Request Log is described as an admin view without new authorization behavior.</w:t>
      </w:r>
    </w:p>
    <w:p>
      <w:pPr>
        <w:pStyle w:val="Heading1"/>
      </w:pPr>
      <w:r>
        <w:t>7. Frontend behavior, operations, and limitations</w:t>
      </w:r>
    </w:p>
    <w:p>
      <w:pPr>
        <w:pStyle w:val="ListBullet"/>
        <w:spacing w:after="20"/>
      </w:pPr>
      <w:r>
        <w:t>The Streamlit application provides a coding workspace, streamed answer rendering, suggestion prompts, light/dark appearance, and a request-log screen with prompt, full response, and status. It requests a fixed 512-token budget; long answers can be cut off.</w:t>
      </w:r>
    </w:p>
    <w:p>
      <w:pPr>
        <w:pStyle w:val="ListBullet"/>
        <w:spacing w:after="20"/>
      </w:pPr>
      <w:r>
        <w:t>CI documentation describes GitHub Actions on pushes and pull requests to main: Ruff lint then pytest. The repository snapshot lists backend and frontend tests, but the documented workflow file was not present in the inspected root listing; current CI execution status is therefore unverified.</w:t>
      </w:r>
    </w:p>
    <w:p>
      <w:pPr>
        <w:pStyle w:val="ListBullet"/>
        <w:spacing w:after="20"/>
      </w:pPr>
      <w:r>
        <w:t>The API enables permissive CORS (all origins/methods/headers). The request log is exposed by API and described as an admin view, with no access-control implementation documented in the inspected route code.</w:t>
      </w:r>
    </w:p>
    <w:p>
      <w:pPr>
        <w:pStyle w:val="ListBullet"/>
        <w:spacing w:after="20"/>
      </w:pPr>
      <w:r>
        <w:t>Local SQLite is suitable for a lightweight demo, but the deployment notes suggest PostgreSQL for production scale. Model hosting depends on Hugging Face Hub, Modal, and credentials configured outside source code.</w:t>
      </w:r>
    </w:p>
    <w:p>
      <w:pPr>
        <w:pStyle w:val="ListBullet"/>
        <w:spacing w:after="20"/>
      </w:pPr>
      <w:r>
        <w:t>The API accepts up to 1,024 generated tokens, while the current UI requests at most 512. Stream interruptions show an error and preserve streamed text; normal finish reason is not returned.</w:t>
      </w:r>
    </w:p>
    <w:p>
      <w:pPr>
        <w:pStyle w:val="Heading1"/>
      </w:pPr>
      <w:r>
        <w:t>8. Source-of-truth notes and repository map</w:t>
      </w:r>
    </w:p>
    <w:p>
      <w:r>
        <w:t>Where recorded prose conflicts with executable configuration, this report gives both values and identifies the code value as the current implementation. Reconcile these before treating the run metadata as a reproducible experiment:</w:t>
      </w:r>
    </w:p>
    <w:p>
      <w:pPr>
        <w:pStyle w:val="ListBullet"/>
        <w:spacing w:after="20"/>
      </w:pPr>
      <w:r>
        <w:t>SFT validation count: docs/11_sft_training.md reports 1,000; backend/src/train_sft.py selects 500 validation examples. The configured split contains 1,902 validation rows.</w:t>
      </w:r>
    </w:p>
    <w:p>
      <w:pPr>
        <w:pStyle w:val="ListBullet"/>
        <w:spacing w:after="20"/>
      </w:pPr>
      <w:r>
        <w:t>SFT train selection: the training script selects the first 5,000 train rows, matching the documented resource-limited run; it does not train on the complete 15,219-row training split.</w:t>
      </w:r>
    </w:p>
    <w:p>
      <w:pPr>
        <w:pStyle w:val="ListBullet"/>
        <w:spacing w:after="20"/>
      </w:pPr>
      <w:r>
        <w:t>DPO pair count: docs/15_dpo_training.md reports 200 pairs and 12 steps; the DPO script loads the published preference dataset in full and does not limit it to 200 locally. Verify the Hub dataset revision to establish the exact run size.</w:t>
      </w:r>
    </w:p>
    <w:p>
      <w:pPr>
        <w:pStyle w:val="ListBullet"/>
        <w:spacing w:after="20"/>
      </w:pPr>
      <w:r>
        <w:t>Evaluation scope: result JSON files use 50 test samples. Evaluation scripts and recorded artifacts describe slightly different comparison runs, so the metric table above uses the stored three-model DPO result file.</w:t>
      </w:r>
    </w:p>
    <w:p>
      <w:pPr>
        <w:pStyle w:val="ListBullet"/>
        <w:spacing w:after="20"/>
      </w:pPr>
      <w:r>
        <w:t>Deployment notes describe both a FastAPI-to-Modal topology and a local-model option. The default backend loader uses Modal; local loading is conditional. Deployment endpoints are copied from repository notes and were not live-checked for availability.</w:t>
      </w:r>
    </w:p>
    <w:p>
      <w:pPr>
        <w:pStyle w:val="ListBullet"/>
        <w:spacing w:after="20"/>
      </w:pPr>
      <w:r>
        <w:t>The production Modal generator uses greedy decoding (do_sample=false), while local inference config enables sampling (temperature=0.7, top_p=0.9) and repetition penalty 1.3. Do not assume the two paths produce identical outputs.</w:t>
      </w:r>
    </w:p>
    <w:p>
      <w:pPr>
        <w:pStyle w:val="ListBullet"/>
        <w:spacing w:after="20"/>
      </w:pPr>
      <w:r>
        <w:t>The API route contains production-loader code as comments, but the active route imports the non-production model_loader functions; that loader delegates requests to Modal. The live architecture described in deployment notes matches the active Modal delegation path.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8136"/>
      </w:tblGrid>
      <w:tr>
        <w:tc>
          <w:tcPr>
            <w:tcW w:type="dxa" w:w="5141"/>
            <w:shd w:fill="24476B"/>
            <w:vAlign w:val="center"/>
          </w:tcPr>
          <w:p>
            <w:r>
              <w:rPr>
                <w:b/>
                <w:color w:val="FFFFFF"/>
                <w:sz w:val="15"/>
              </w:rPr>
              <w:t>Project area</w:t>
            </w:r>
          </w:p>
        </w:tc>
        <w:tc>
          <w:tcPr>
            <w:tcW w:type="dxa" w:w="5141"/>
            <w:shd w:fill="24476B"/>
            <w:vAlign w:val="center"/>
          </w:tcPr>
          <w:p>
            <w:r>
              <w:rPr>
                <w:b/>
                <w:color w:val="FFFFFF"/>
                <w:sz w:val="15"/>
              </w:rPr>
              <w:t>Key files</w:t>
            </w:r>
          </w:p>
        </w:tc>
      </w:tr>
      <w:tr>
        <w:tc>
          <w:tcPr>
            <w:tcW w:type="dxa" w:w="2376"/>
            <w:vAlign w:val="center"/>
          </w:tcPr>
          <w:p>
            <w:pPr>
              <w:spacing w:after="20"/>
            </w:pPr>
            <w:r>
              <w:rPr>
                <w:sz w:val="15"/>
              </w:rPr>
              <w:t>Planning and technical records</w:t>
            </w:r>
          </w:p>
        </w:tc>
        <w:tc>
          <w:tcPr>
            <w:tcW w:type="dxa" w:w="8136"/>
            <w:vAlign w:val="center"/>
          </w:tcPr>
          <w:p>
            <w:pPr>
              <w:spacing w:after="20"/>
            </w:pPr>
            <w:r>
              <w:rPr>
                <w:sz w:val="15"/>
              </w:rPr>
              <w:t>README.md; docs/00_FlowChart.md; docs/01–24 phase notes; notebooks/03–22</w:t>
            </w:r>
          </w:p>
        </w:tc>
      </w:tr>
      <w:tr>
        <w:tc>
          <w:tcPr>
            <w:tcW w:type="dxa" w:w="2376"/>
            <w:vAlign w:val="center"/>
          </w:tcPr>
          <w:p>
            <w:pPr>
              <w:spacing w:after="20"/>
            </w:pPr>
            <w:r>
              <w:rPr>
                <w:sz w:val="15"/>
              </w:rPr>
              <w:t>Data and model</w:t>
            </w:r>
          </w:p>
        </w:tc>
        <w:tc>
          <w:tcPr>
            <w:tcW w:type="dxa" w:w="8136"/>
            <w:vAlign w:val="center"/>
          </w:tcPr>
          <w:p>
            <w:pPr>
              <w:spacing w:after="20"/>
            </w:pPr>
            <w:r>
              <w:rPr>
                <w:sz w:val="15"/>
              </w:rPr>
              <w:t>backend/src/config.yaml; backend/src/data_formatter.py; backend/src/data_cleaner.py; backend/src/train_sft.py; backend/src/train_dpo.py; backend/src/evaluate.py; backend/src/merge_model.py</w:t>
            </w:r>
          </w:p>
        </w:tc>
      </w:tr>
      <w:tr>
        <w:tc>
          <w:tcPr>
            <w:tcW w:type="dxa" w:w="2376"/>
            <w:vAlign w:val="center"/>
          </w:tcPr>
          <w:p>
            <w:pPr>
              <w:spacing w:after="20"/>
            </w:pPr>
            <w:r>
              <w:rPr>
                <w:sz w:val="15"/>
              </w:rPr>
              <w:t>Serving and UI</w:t>
            </w:r>
          </w:p>
        </w:tc>
        <w:tc>
          <w:tcPr>
            <w:tcW w:type="dxa" w:w="8136"/>
            <w:vAlign w:val="center"/>
          </w:tcPr>
          <w:p>
            <w:pPr>
              <w:spacing w:after="20"/>
            </w:pPr>
            <w:r>
              <w:rPr>
                <w:sz w:val="15"/>
              </w:rPr>
              <w:t>backend/api/{main,routes,schemas,database,model_loader}.py; backend/src/modal_app.py; frontend/app.py; frontend/DESIGN.md; hf-combined/</w:t>
            </w:r>
          </w:p>
        </w:tc>
      </w:tr>
      <w:tr>
        <w:tc>
          <w:tcPr>
            <w:tcW w:type="dxa" w:w="2376"/>
            <w:vAlign w:val="center"/>
          </w:tcPr>
          <w:p>
            <w:pPr>
              <w:spacing w:after="20"/>
            </w:pPr>
            <w:r>
              <w:rPr>
                <w:sz w:val="15"/>
              </w:rPr>
              <w:t>Evidence artifacts</w:t>
            </w:r>
          </w:p>
        </w:tc>
        <w:tc>
          <w:tcPr>
            <w:tcW w:type="dxa" w:w="8136"/>
            <w:vAlign w:val="center"/>
          </w:tcPr>
          <w:p>
            <w:pPr>
              <w:spacing w:after="20"/>
            </w:pPr>
            <w:r>
              <w:rPr>
                <w:sz w:val="15"/>
              </w:rPr>
              <w:t>data/results/{baseline_results,sft_evaluation_results,dpo_evaluation_results,adapter_config}.json; Deployment_link.md; docker-compose.yml</w:t>
            </w:r>
          </w:p>
        </w:tc>
      </w:tr>
    </w:tbl>
    <w:p>
      <w:pPr>
        <w:spacing w:after="0"/>
      </w:pPr>
    </w:p>
    <w:sectPr w:rsidR="00FC693F" w:rsidRPr="0006063C" w:rsidSect="00034616">
      <w:headerReference w:type="default" r:id="rId9"/>
      <w:footerReference w:type="default" r:id="rId10"/>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Repository-based technical summary  •  26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CODEMENTOR-LLM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