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89DD" w14:textId="77777777" w:rsidR="004D1AF0" w:rsidRPr="0053445E" w:rsidRDefault="004D1AF0" w:rsidP="004D1AF0">
      <w:pPr>
        <w:pStyle w:val="NoSpacing"/>
        <w:jc w:val="center"/>
        <w:rPr>
          <w:rFonts w:ascii="HGPSoeiKakugothicUB" w:eastAsia="HGPSoeiKakugothicUB" w:hAnsi="HGPSoeiKakugothicUB"/>
          <w:sz w:val="24"/>
          <w:szCs w:val="24"/>
        </w:rPr>
      </w:pPr>
      <w:r w:rsidRPr="0053445E">
        <w:rPr>
          <w:rFonts w:ascii="HGPSoeiKakugothicUB" w:eastAsia="HGPSoeiKakugothicUB" w:hAnsi="HGPSoeiKakugothicUB"/>
          <w:sz w:val="24"/>
          <w:szCs w:val="24"/>
        </w:rPr>
        <w:t>Scripts for GCBM-FLINT Course Videos</w:t>
      </w:r>
    </w:p>
    <w:p w14:paraId="1DC0C9DD" w14:textId="77777777" w:rsidR="004D1AF0" w:rsidRPr="00222B40" w:rsidRDefault="004D1AF0" w:rsidP="004D1AF0">
      <w:pPr>
        <w:pStyle w:val="NoSpacing"/>
        <w:rPr>
          <w:rFonts w:ascii="Bahnschrift SemiLight" w:hAnsi="Bahnschrift SemiLight"/>
        </w:rPr>
      </w:pPr>
    </w:p>
    <w:p w14:paraId="080CF051" w14:textId="77777777" w:rsidR="004D1AF0" w:rsidRPr="00222B40" w:rsidRDefault="004D1AF0" w:rsidP="004D1AF0">
      <w:pPr>
        <w:pStyle w:val="NoSpacing"/>
        <w:rPr>
          <w:rFonts w:ascii="Bahnschrift SemiLight" w:hAnsi="Bahnschrift SemiLight"/>
          <w:color w:val="00B050"/>
        </w:rPr>
      </w:pPr>
      <w:r w:rsidRPr="00222B40">
        <w:rPr>
          <w:rFonts w:ascii="Bahnschrift SemiLight" w:hAnsi="Bahnschrift SemiLight"/>
          <w:color w:val="00B050"/>
        </w:rPr>
        <w:t>9th Slide</w:t>
      </w:r>
    </w:p>
    <w:p w14:paraId="736BFC69"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As </w:t>
      </w:r>
      <w:r>
        <w:rPr>
          <w:rFonts w:ascii="Bahnschrift SemiLight" w:hAnsi="Bahnschrift SemiLight"/>
        </w:rPr>
        <w:t>I</w:t>
      </w:r>
      <w:r w:rsidRPr="00222B40">
        <w:rPr>
          <w:rFonts w:ascii="Bahnschrift SemiLight" w:hAnsi="Bahnschrift SemiLight"/>
        </w:rPr>
        <w:t xml:space="preserve"> mentioned before it makes the FLINT very scalable, but it does make certain problems very difficult for it to handle.</w:t>
      </w:r>
    </w:p>
    <w:p w14:paraId="10BF2FB3" w14:textId="77777777" w:rsidR="004D1AF0" w:rsidRPr="00222B40" w:rsidRDefault="004D1AF0" w:rsidP="004D1AF0">
      <w:pPr>
        <w:rPr>
          <w:rFonts w:ascii="Bahnschrift SemiLight" w:hAnsi="Bahnschrift SemiLight"/>
        </w:rPr>
      </w:pPr>
    </w:p>
    <w:p w14:paraId="11959AB5" w14:textId="77777777" w:rsidR="004D1AF0" w:rsidRPr="00222B40" w:rsidRDefault="004D1AF0" w:rsidP="004D1AF0">
      <w:pPr>
        <w:rPr>
          <w:rFonts w:ascii="Bahnschrift SemiLight" w:hAnsi="Bahnschrift SemiLight"/>
        </w:rPr>
      </w:pPr>
      <w:r w:rsidRPr="00222B40">
        <w:rPr>
          <w:rFonts w:ascii="Bahnschrift SemiLight" w:hAnsi="Bahnschrift SemiLight"/>
        </w:rPr>
        <w:t>We cannot deal with awareness of neighboring pixels so we cannot work with fire spread, and we do not really know the exact location of rule-based disturbances.</w:t>
      </w:r>
    </w:p>
    <w:p w14:paraId="335CB978" w14:textId="77777777" w:rsidR="004D1AF0" w:rsidRPr="00222B40" w:rsidRDefault="004D1AF0" w:rsidP="004D1AF0">
      <w:pPr>
        <w:rPr>
          <w:rFonts w:ascii="Bahnschrift SemiLight" w:hAnsi="Bahnschrift SemiLight"/>
        </w:rPr>
      </w:pPr>
    </w:p>
    <w:p w14:paraId="0743EE6A"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10</w:t>
      </w:r>
    </w:p>
    <w:p w14:paraId="541E065D"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This is a very high-level overview of what the event-driven system looks like. Basically the current pixel data is run through the spatial layers in the database and then it goes to the event sequencer and that's what is firing those life cycle events things like timing </w:t>
      </w:r>
      <w:proofErr w:type="spellStart"/>
      <w:r w:rsidRPr="00222B40">
        <w:rPr>
          <w:rFonts w:ascii="Bahnschrift SemiLight" w:hAnsi="Bahnschrift SemiLight"/>
        </w:rPr>
        <w:t>init</w:t>
      </w:r>
      <w:proofErr w:type="spellEnd"/>
      <w:r w:rsidRPr="00222B40">
        <w:rPr>
          <w:rFonts w:ascii="Bahnschrift SemiLight" w:hAnsi="Bahnschrift SemiLight"/>
        </w:rPr>
        <w:t>, timing step start, timing step end and the output.</w:t>
      </w:r>
    </w:p>
    <w:p w14:paraId="1EE6FDEC" w14:textId="77777777" w:rsidR="004D1AF0" w:rsidRPr="00222B40" w:rsidRDefault="004D1AF0" w:rsidP="004D1AF0">
      <w:pPr>
        <w:rPr>
          <w:rFonts w:ascii="Bahnschrift SemiLight" w:hAnsi="Bahnschrift SemiLight"/>
        </w:rPr>
      </w:pPr>
      <w:r w:rsidRPr="00222B40">
        <w:rPr>
          <w:rFonts w:ascii="Bahnschrift SemiLight" w:hAnsi="Bahnschrift SemiLight"/>
        </w:rPr>
        <w:t>And then all the science models are subscribed.</w:t>
      </w:r>
    </w:p>
    <w:p w14:paraId="1EA7FBF0" w14:textId="77777777" w:rsidR="004D1AF0" w:rsidRPr="00222B40" w:rsidRDefault="004D1AF0" w:rsidP="004D1AF0">
      <w:pPr>
        <w:rPr>
          <w:rFonts w:ascii="Bahnschrift SemiLight" w:hAnsi="Bahnschrift SemiLight"/>
        </w:rPr>
      </w:pPr>
    </w:p>
    <w:p w14:paraId="2D78D851"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11</w:t>
      </w:r>
    </w:p>
    <w:p w14:paraId="100F62C3" w14:textId="189B3B04" w:rsidR="004D1AF0" w:rsidRDefault="004D1AF0" w:rsidP="004D1AF0">
      <w:pPr>
        <w:rPr>
          <w:rFonts w:ascii="Bahnschrift SemiLight" w:hAnsi="Bahnschrift SemiLight"/>
        </w:rPr>
      </w:pPr>
      <w:r w:rsidRPr="00222B40">
        <w:rPr>
          <w:rFonts w:ascii="Bahnschrift SemiLight" w:hAnsi="Bahnschrift SemiLight"/>
        </w:rPr>
        <w:t>One of the examples of our modules is the growth module. It subscribes to three of those system events, the simulation start- loads the root biomass equation, each time a pixel is loaded, it loads dead organic matter turnover rates and the timings step is going to load or process the current growth curve.</w:t>
      </w:r>
    </w:p>
    <w:p w14:paraId="1633BFC1" w14:textId="5A500489" w:rsidR="00104DBE" w:rsidRDefault="00104DBE" w:rsidP="004D1AF0">
      <w:pPr>
        <w:rPr>
          <w:rFonts w:ascii="Bahnschrift SemiLight" w:hAnsi="Bahnschrift SemiLight"/>
        </w:rPr>
      </w:pPr>
    </w:p>
    <w:p w14:paraId="2667301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12</w:t>
      </w:r>
    </w:p>
    <w:p w14:paraId="5FACF8E3" w14:textId="77777777" w:rsidR="00104DBE" w:rsidRPr="00222B40" w:rsidRDefault="00104DBE" w:rsidP="00104DBE">
      <w:pPr>
        <w:rPr>
          <w:rFonts w:ascii="Bahnschrift SemiLight" w:hAnsi="Bahnschrift SemiLight"/>
        </w:rPr>
      </w:pPr>
      <w:r w:rsidRPr="00222B40">
        <w:rPr>
          <w:rFonts w:ascii="Bahnschrift SemiLight" w:hAnsi="Bahnschrift SemiLight"/>
        </w:rPr>
        <w:t>CBM science is implemented as modules running on the front platform. The key features are that ecosystem components biomass soil greenhouse gases are represented as carbon pools. There is a yield curve-based growth module</w:t>
      </w:r>
      <w:r>
        <w:rPr>
          <w:rFonts w:ascii="Bahnschrift SemiLight" w:hAnsi="Bahnschrift SemiLight"/>
        </w:rPr>
        <w:t>, a</w:t>
      </w:r>
      <w:r w:rsidRPr="00222B40">
        <w:rPr>
          <w:rFonts w:ascii="Bahnschrift SemiLight" w:hAnsi="Bahnschrift SemiLight"/>
        </w:rPr>
        <w:t>nd the disturbances and annual processes are represented as transfers between these carbon pools.</w:t>
      </w:r>
    </w:p>
    <w:p w14:paraId="09D4F316" w14:textId="77777777" w:rsidR="00104DBE" w:rsidRPr="00222B40" w:rsidRDefault="00104DBE" w:rsidP="00104DBE">
      <w:pPr>
        <w:rPr>
          <w:rFonts w:ascii="Bahnschrift SemiLight" w:hAnsi="Bahnschrift SemiLight"/>
        </w:rPr>
      </w:pPr>
    </w:p>
    <w:p w14:paraId="497E4592" w14:textId="77777777" w:rsidR="00104DBE" w:rsidRPr="00222B40" w:rsidRDefault="00104DBE" w:rsidP="00104DBE">
      <w:pPr>
        <w:rPr>
          <w:rFonts w:ascii="Bahnschrift SemiLight" w:hAnsi="Bahnschrift SemiLight"/>
        </w:rPr>
      </w:pPr>
      <w:r w:rsidRPr="00222B40">
        <w:rPr>
          <w:rFonts w:ascii="Bahnschrift SemiLight" w:hAnsi="Bahnschrift SemiLight"/>
        </w:rPr>
        <w:t xml:space="preserve">The core module includes </w:t>
      </w:r>
      <w:r w:rsidRPr="00222B40">
        <w:rPr>
          <w:rFonts w:ascii="Bahnschrift SemiLight" w:hAnsi="Bahnschrift SemiLight"/>
        </w:rPr>
        <w:br/>
        <w:t>- biomass growth and mortality</w:t>
      </w:r>
      <w:r w:rsidRPr="00222B40">
        <w:rPr>
          <w:rFonts w:ascii="Bahnschrift SemiLight" w:hAnsi="Bahnschrift SemiLight"/>
        </w:rPr>
        <w:br/>
        <w:t xml:space="preserve">- dead organic matter and soil dynamics and </w:t>
      </w:r>
      <w:r w:rsidRPr="00222B40">
        <w:rPr>
          <w:rFonts w:ascii="Bahnschrift SemiLight" w:hAnsi="Bahnschrift SemiLight"/>
        </w:rPr>
        <w:br/>
        <w:t>- disturbance impacts - management activities like harvest, natural disturbances like fire and land use changes like deforestation, afforestation.</w:t>
      </w:r>
    </w:p>
    <w:p w14:paraId="0C3FBCD2" w14:textId="77777777" w:rsidR="00104DBE" w:rsidRPr="00222B40" w:rsidRDefault="00104DBE" w:rsidP="00104DBE">
      <w:pPr>
        <w:rPr>
          <w:rFonts w:ascii="Bahnschrift SemiLight" w:hAnsi="Bahnschrift SemiLight"/>
        </w:rPr>
      </w:pPr>
    </w:p>
    <w:p w14:paraId="043B826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13</w:t>
      </w:r>
    </w:p>
    <w:p w14:paraId="7A069982" w14:textId="77777777" w:rsidR="00104DBE" w:rsidRPr="00222B40" w:rsidRDefault="00104DBE" w:rsidP="00104DBE">
      <w:pPr>
        <w:rPr>
          <w:rFonts w:ascii="Bahnschrift SemiLight" w:hAnsi="Bahnschrift SemiLight"/>
        </w:rPr>
      </w:pPr>
      <w:r w:rsidRPr="00222B40">
        <w:rPr>
          <w:rFonts w:ascii="Bahnschrift SemiLight" w:hAnsi="Bahnschrift SemiLight"/>
        </w:rPr>
        <w:t>We went through a pretty lengthy process when we developed this new model and the results are nearly identical to CBM CFS 3.</w:t>
      </w:r>
    </w:p>
    <w:p w14:paraId="6A3C063D" w14:textId="77777777" w:rsidR="00104DBE" w:rsidRPr="00222B40" w:rsidRDefault="00104DBE" w:rsidP="00104DBE">
      <w:pPr>
        <w:rPr>
          <w:rFonts w:ascii="Bahnschrift SemiLight" w:hAnsi="Bahnschrift SemiLight"/>
        </w:rPr>
      </w:pPr>
      <w:r w:rsidRPr="00222B40">
        <w:rPr>
          <w:rFonts w:ascii="Bahnschrift SemiLight" w:hAnsi="Bahnschrift SemiLight"/>
        </w:rPr>
        <w:t xml:space="preserve">Let’s look at the main differences from </w:t>
      </w:r>
      <w:r>
        <w:rPr>
          <w:rFonts w:ascii="Bahnschrift SemiLight" w:hAnsi="Bahnschrift SemiLight"/>
        </w:rPr>
        <w:t>CBM</w:t>
      </w:r>
      <w:r w:rsidRPr="00222B40">
        <w:rPr>
          <w:rFonts w:ascii="Bahnschrift SemiLight" w:hAnsi="Bahnschrift SemiLight"/>
        </w:rPr>
        <w:t xml:space="preserve"> </w:t>
      </w:r>
      <w:r>
        <w:rPr>
          <w:rFonts w:ascii="Bahnschrift SemiLight" w:hAnsi="Bahnschrift SemiLight"/>
        </w:rPr>
        <w:t>CFS3</w:t>
      </w:r>
      <w:r w:rsidRPr="00222B40">
        <w:rPr>
          <w:rFonts w:ascii="Bahnschrift SemiLight" w:hAnsi="Bahnschrift SemiLight"/>
        </w:rPr>
        <w:t>. forest in inventory and disturbance data come from spatial layers instead of database tables.</w:t>
      </w:r>
    </w:p>
    <w:p w14:paraId="1BC82F4C" w14:textId="77777777" w:rsidR="00104DBE" w:rsidRPr="00222B40" w:rsidRDefault="00104DBE" w:rsidP="00104DBE">
      <w:pPr>
        <w:rPr>
          <w:rFonts w:ascii="Bahnschrift SemiLight" w:hAnsi="Bahnschrift SemiLight"/>
        </w:rPr>
      </w:pPr>
      <w:r w:rsidRPr="00222B40">
        <w:rPr>
          <w:rFonts w:ascii="Bahnschrift SemiLight" w:hAnsi="Bahnschrift SemiLight"/>
        </w:rPr>
        <w:t>The location of all the disturbance events is explicit in spatial layers instead of using rules.</w:t>
      </w:r>
    </w:p>
    <w:p w14:paraId="69CB47FB" w14:textId="77777777" w:rsidR="00104DBE" w:rsidRPr="00222B40" w:rsidRDefault="00104DBE" w:rsidP="00104DBE">
      <w:pPr>
        <w:rPr>
          <w:rFonts w:ascii="Bahnschrift SemiLight" w:hAnsi="Bahnschrift SemiLight"/>
        </w:rPr>
      </w:pPr>
      <w:r w:rsidRPr="00222B40">
        <w:rPr>
          <w:rFonts w:ascii="Bahnschrift SemiLight" w:hAnsi="Bahnschrift SemiLight"/>
        </w:rPr>
        <w:t>It gives out special as well as tabular output for pools and fluxes also it is easier to extend with new models and easier to simulate large landscapes such as the ones that have a huge number of pixels.</w:t>
      </w:r>
    </w:p>
    <w:p w14:paraId="36954C10" w14:textId="77777777" w:rsidR="00104DBE" w:rsidRPr="00222B40" w:rsidRDefault="00104DBE" w:rsidP="00104DBE">
      <w:pPr>
        <w:rPr>
          <w:rFonts w:ascii="Bahnschrift SemiLight" w:hAnsi="Bahnschrift SemiLight"/>
        </w:rPr>
      </w:pPr>
    </w:p>
    <w:p w14:paraId="1893E086" w14:textId="77777777" w:rsidR="00104DBE" w:rsidRPr="00222B40" w:rsidRDefault="00104DBE" w:rsidP="00104DBE">
      <w:pPr>
        <w:rPr>
          <w:rFonts w:ascii="Bahnschrift SemiLight" w:hAnsi="Bahnschrift SemiLight"/>
          <w:color w:val="00FF00"/>
        </w:rPr>
      </w:pPr>
      <w:r w:rsidRPr="00222B40">
        <w:rPr>
          <w:rFonts w:ascii="Bahnschrift SemiLight" w:hAnsi="Bahnschrift SemiLight"/>
          <w:color w:val="00FF00"/>
        </w:rPr>
        <w:t>14</w:t>
      </w:r>
    </w:p>
    <w:p w14:paraId="7C193EEE" w14:textId="77777777" w:rsidR="00104DBE" w:rsidRPr="0053445E" w:rsidRDefault="00104DBE" w:rsidP="00104DBE">
      <w:pPr>
        <w:rPr>
          <w:rFonts w:ascii="Bahnschrift SemiLight" w:hAnsi="Bahnschrift SemiLight"/>
        </w:rPr>
      </w:pPr>
      <w:r w:rsidRPr="00222B40">
        <w:rPr>
          <w:rFonts w:ascii="Bahnschrift SemiLight" w:hAnsi="Bahnschrift SemiLight"/>
        </w:rPr>
        <w:lastRenderedPageBreak/>
        <w:t>Here i</w:t>
      </w:r>
      <w:r w:rsidRPr="0053445E">
        <w:rPr>
          <w:rFonts w:ascii="Bahnschrift SemiLight" w:hAnsi="Bahnschrift SemiLight"/>
        </w:rPr>
        <w:t>s an example of one of the outputs that we generated using the model. The simulation does not produce this directly but there is a set of advanced python scripts that we used to produce these outputs. They are also freely available along with the ones that generate animations using the spatial output.</w:t>
      </w:r>
    </w:p>
    <w:p w14:paraId="4ACAE92A" w14:textId="77777777" w:rsidR="00104DBE" w:rsidRPr="00222B40" w:rsidRDefault="00104DBE" w:rsidP="004D1AF0">
      <w:pPr>
        <w:rPr>
          <w:rFonts w:ascii="Bahnschrift SemiLight" w:hAnsi="Bahnschrift SemiLight"/>
        </w:rPr>
      </w:pPr>
    </w:p>
    <w:p w14:paraId="394C8352" w14:textId="77777777" w:rsidR="004D1AF0" w:rsidRDefault="004D1AF0" w:rsidP="004D1AF0"/>
    <w:p w14:paraId="070CC6EF" w14:textId="77777777" w:rsidR="004D1AF0" w:rsidRDefault="004D1AF0"/>
    <w:sectPr w:rsidR="004D1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GPSoeiKakugothicUB">
    <w:altName w:val="HGPSoeiKakugothicUB"/>
    <w:charset w:val="80"/>
    <w:family w:val="swiss"/>
    <w:pitch w:val="variable"/>
    <w:sig w:usb0="E00002FF" w:usb1="2AC7EDFE" w:usb2="00000012" w:usb3="00000000" w:csb0="00020001"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F0"/>
    <w:rsid w:val="00104DBE"/>
    <w:rsid w:val="004D1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F442"/>
  <w15:chartTrackingRefBased/>
  <w15:docId w15:val="{C8D0A029-C326-46B9-A9F0-1988E9DA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F0"/>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AF0"/>
    <w:pPr>
      <w:spacing w:after="0" w:line="240" w:lineRule="auto"/>
    </w:pPr>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Garg</dc:creator>
  <cp:keywords/>
  <dc:description/>
  <cp:lastModifiedBy>Saloni Garg</cp:lastModifiedBy>
  <cp:revision>2</cp:revision>
  <dcterms:created xsi:type="dcterms:W3CDTF">2020-08-18T12:01:00Z</dcterms:created>
  <dcterms:modified xsi:type="dcterms:W3CDTF">2020-08-18T12:05:00Z</dcterms:modified>
</cp:coreProperties>
</file>