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KEY FINDINGS SUMMARY</w:t>
      </w:r>
    </w:p>
    <w:p>
      <w:pPr>
        <w:spacing w:after="300"/>
      </w:pPr>
      <w:r>
        <w:rPr>
          <w:i/>
          <w:iCs/>
          <w:color w:val="595959"/>
          <w:sz w:val="22"/>
          <w:szCs w:val="22"/>
        </w:rPr>
        <w:t xml:space="preserve">Patient Satisfaction Analytics (HCAHPS) — WBS Phase 3: Analysis</w:t>
      </w:r>
    </w:p>
    <w:p>
      <w:pPr>
        <w:pStyle w:val="Heading1"/>
        <w:pBdr>
          <w:bottom w:val="single" w:color="1F3864" w:sz="6" w:space="4"/>
        </w:pBdr>
        <w:spacing w:after="160" w:before="320"/>
      </w:pPr>
      <w:r>
        <w:rPr>
          <w:b/>
          <w:bCs/>
          <w:color w:val="1F3864"/>
          <w:sz w:val="26"/>
          <w:szCs w:val="26"/>
        </w:rPr>
        <w:t xml:space="preserve">1. Overview</w:t>
      </w:r>
    </w:p>
    <w:p>
      <w:pPr>
        <w:spacing w:after="140" w:line="300"/>
      </w:pPr>
      <w:r>
        <w:rPr>
          <w:color w:val="222222"/>
          <w:sz w:val="21"/>
          <w:szCs w:val="21"/>
        </w:rPr>
        <w:t xml:space="preserve">This summary presents the key drivers of patient satisfaction identified through exploratory, correlation, and regional analysis of the CMS HCAHPS dataset (325,856 records covering 4,792 U.S. hospitals, July 2024–June 2025). Of these hospitals, 3,176 reported a complete Summary Star Rating and are the basis for the findings below.</w:t>
      </w:r>
    </w:p>
    <w:p>
      <w:pPr>
        <w:pStyle w:val="Heading1"/>
        <w:pBdr>
          <w:bottom w:val="single" w:color="1F3864" w:sz="6" w:space="4"/>
        </w:pBdr>
        <w:spacing w:after="160" w:before="320"/>
      </w:pPr>
      <w:r>
        <w:rPr>
          <w:b/>
          <w:bCs/>
          <w:color w:val="1F3864"/>
          <w:sz w:val="26"/>
          <w:szCs w:val="26"/>
        </w:rPr>
        <w:t xml:space="preserve">2. Dimension Performance vs. Impact</w:t>
      </w:r>
    </w:p>
    <w:p>
      <w:pPr>
        <w:spacing w:after="140" w:line="300"/>
      </w:pPr>
      <w:r>
        <w:rPr>
          <w:color w:val="222222"/>
          <w:sz w:val="21"/>
          <w:szCs w:val="21"/>
        </w:rPr>
        <w:t xml:space="preserve">Each of the seven measurable patient-experience dimensions was scored on two axes: its average performance (1-5 stars) and its correlation with the hospital's overall Summary Star Rating. A combined priority score (correlation × performance gap) ranks where improvement would have the greatest effect on overall satisfaction.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1900"/>
        <w:gridCol w:w="1380"/>
      </w:tblGrid>
      <w:tr>
        <w:tc>
          <w:tcPr>
            <w:tcW w:type="dxa" w:w="3200"/>
            <w:shd w:fill="1F3864" w:val="clear"/>
            <w:tcMar>
              <w:top w:type="dxa" w:w="100"/>
              <w:left w:type="dxa" w:w="120"/>
              <w:bottom w:type="dxa" w:w="100"/>
              <w:right w:type="dxa" w:w="120"/>
            </w:tcMar>
          </w:tcPr>
          <w:p>
            <w:r>
              <w:rPr>
                <w:b/>
                <w:bCs/>
                <w:color w:val="FFFFFF"/>
                <w:sz w:val="20"/>
                <w:szCs w:val="20"/>
              </w:rPr>
              <w:t xml:space="preserve">Dimension</w:t>
            </w:r>
          </w:p>
        </w:tc>
        <w:tc>
          <w:tcPr>
            <w:tcW w:type="dxa" w:w="1700"/>
            <w:shd w:fill="1F3864" w:val="clear"/>
            <w:tcMar>
              <w:top w:type="dxa" w:w="100"/>
              <w:left w:type="dxa" w:w="120"/>
              <w:bottom w:type="dxa" w:w="100"/>
              <w:right w:type="dxa" w:w="120"/>
            </w:tcMar>
          </w:tcPr>
          <w:p>
            <w:r>
              <w:rPr>
                <w:b/>
                <w:bCs/>
                <w:color w:val="FFFFFF"/>
                <w:sz w:val="20"/>
                <w:szCs w:val="20"/>
              </w:rPr>
              <w:t xml:space="preserve">Avg. Score</w:t>
            </w:r>
          </w:p>
        </w:tc>
        <w:tc>
          <w:tcPr>
            <w:tcW w:type="dxa" w:w="1900"/>
            <w:shd w:fill="1F3864" w:val="clear"/>
            <w:tcMar>
              <w:top w:type="dxa" w:w="100"/>
              <w:left w:type="dxa" w:w="120"/>
              <w:bottom w:type="dxa" w:w="100"/>
              <w:right w:type="dxa" w:w="120"/>
            </w:tcMar>
          </w:tcPr>
          <w:p>
            <w:r>
              <w:rPr>
                <w:b/>
                <w:bCs/>
                <w:color w:val="FFFFFF"/>
                <w:sz w:val="20"/>
                <w:szCs w:val="20"/>
              </w:rPr>
              <w:t xml:space="preserve">Correlation</w:t>
            </w:r>
          </w:p>
        </w:tc>
        <w:tc>
          <w:tcPr>
            <w:tcW w:type="dxa" w:w="1900"/>
            <w:shd w:fill="1F3864" w:val="clear"/>
            <w:tcMar>
              <w:top w:type="dxa" w:w="100"/>
              <w:left w:type="dxa" w:w="120"/>
              <w:bottom w:type="dxa" w:w="100"/>
              <w:right w:type="dxa" w:w="120"/>
            </w:tcMar>
          </w:tcPr>
          <w:p>
            <w:r>
              <w:rPr>
                <w:b/>
                <w:bCs/>
                <w:color w:val="FFFFFF"/>
                <w:sz w:val="20"/>
                <w:szCs w:val="20"/>
              </w:rPr>
              <w:t xml:space="preserve">Priority Score</w:t>
            </w:r>
          </w:p>
        </w:tc>
        <w:tc>
          <w:tcPr>
            <w:tcW w:type="dxa" w:w="1380"/>
            <w:shd w:fill="1F3864" w:val="clear"/>
            <w:tcMar>
              <w:top w:type="dxa" w:w="100"/>
              <w:left w:type="dxa" w:w="120"/>
              <w:bottom w:type="dxa" w:w="100"/>
              <w:right w:type="dxa" w:w="120"/>
            </w:tcMar>
          </w:tcPr>
          <w:p>
            <w:r>
              <w:rPr>
                <w:b/>
                <w:bCs/>
                <w:color w:val="FFFFFF"/>
                <w:sz w:val="20"/>
                <w:szCs w:val="20"/>
              </w:rPr>
              <w:t xml:space="preserve">Rank</w:t>
            </w:r>
          </w:p>
        </w:tc>
      </w:tr>
      <w:tr>
        <w:tc>
          <w:tcPr>
            <w:tcW w:type="dxa" w:w="3200"/>
            <w:shd w:fill="FFF3CD" w:val="clear"/>
            <w:tcMar>
              <w:top w:type="dxa" w:w="100"/>
              <w:left w:type="dxa" w:w="120"/>
              <w:bottom w:type="dxa" w:w="100"/>
              <w:right w:type="dxa" w:w="120"/>
            </w:tcMar>
          </w:tcPr>
          <w:p>
            <w:r>
              <w:rPr>
                <w:b w:val="false"/>
                <w:bCs w:val="false"/>
                <w:color w:val="222222"/>
                <w:sz w:val="20"/>
                <w:szCs w:val="20"/>
              </w:rPr>
              <w:t xml:space="preserve">Medication Explanation</w:t>
            </w:r>
          </w:p>
        </w:tc>
        <w:tc>
          <w:tcPr>
            <w:tcW w:type="dxa" w:w="1700"/>
            <w:shd w:fill="FFF3CD" w:val="clear"/>
            <w:tcMar>
              <w:top w:type="dxa" w:w="100"/>
              <w:left w:type="dxa" w:w="120"/>
              <w:bottom w:type="dxa" w:w="100"/>
              <w:right w:type="dxa" w:w="120"/>
            </w:tcMar>
          </w:tcPr>
          <w:p>
            <w:r>
              <w:rPr>
                <w:b w:val="false"/>
                <w:bCs w:val="false"/>
                <w:color w:val="222222"/>
                <w:sz w:val="20"/>
                <w:szCs w:val="20"/>
              </w:rPr>
              <w:t xml:space="preserve">2.66</w:t>
            </w:r>
          </w:p>
        </w:tc>
        <w:tc>
          <w:tcPr>
            <w:tcW w:type="dxa" w:w="1900"/>
            <w:shd w:fill="FFF3CD" w:val="clear"/>
            <w:tcMar>
              <w:top w:type="dxa" w:w="100"/>
              <w:left w:type="dxa" w:w="120"/>
              <w:bottom w:type="dxa" w:w="100"/>
              <w:right w:type="dxa" w:w="120"/>
            </w:tcMar>
          </w:tcPr>
          <w:p>
            <w:r>
              <w:rPr>
                <w:b w:val="false"/>
                <w:bCs w:val="false"/>
                <w:color w:val="222222"/>
                <w:sz w:val="20"/>
                <w:szCs w:val="20"/>
              </w:rPr>
              <w:t xml:space="preserve">0.821</w:t>
            </w:r>
          </w:p>
        </w:tc>
        <w:tc>
          <w:tcPr>
            <w:tcW w:type="dxa" w:w="1900"/>
            <w:shd w:fill="FFF3CD" w:val="clear"/>
            <w:tcMar>
              <w:top w:type="dxa" w:w="100"/>
              <w:left w:type="dxa" w:w="120"/>
              <w:bottom w:type="dxa" w:w="100"/>
              <w:right w:type="dxa" w:w="120"/>
            </w:tcMar>
          </w:tcPr>
          <w:p>
            <w:r>
              <w:rPr>
                <w:b w:val="false"/>
                <w:bCs w:val="false"/>
                <w:color w:val="222222"/>
                <w:sz w:val="20"/>
                <w:szCs w:val="20"/>
              </w:rPr>
              <w:t xml:space="preserve">1.92</w:t>
            </w:r>
          </w:p>
        </w:tc>
        <w:tc>
          <w:tcPr>
            <w:tcW w:type="dxa" w:w="1380"/>
            <w:shd w:fill="FFF3CD" w:val="clear"/>
            <w:tcMar>
              <w:top w:type="dxa" w:w="100"/>
              <w:left w:type="dxa" w:w="120"/>
              <w:bottom w:type="dxa" w:w="100"/>
              <w:right w:type="dxa" w:w="120"/>
            </w:tcMar>
          </w:tcPr>
          <w:p>
            <w:r>
              <w:rPr>
                <w:b w:val="false"/>
                <w:bCs w:val="false"/>
                <w:color w:val="222222"/>
                <w:sz w:val="20"/>
                <w:szCs w:val="20"/>
              </w:rPr>
              <w:t xml:space="preserve">1</w:t>
            </w:r>
          </w:p>
        </w:tc>
      </w:tr>
      <w:tr>
        <w:tc>
          <w:tcPr>
            <w:tcW w:type="dxa" w:w="3200"/>
            <w:tcMar>
              <w:top w:type="dxa" w:w="100"/>
              <w:left w:type="dxa" w:w="120"/>
              <w:bottom w:type="dxa" w:w="100"/>
              <w:right w:type="dxa" w:w="120"/>
            </w:tcMar>
          </w:tcPr>
          <w:p>
            <w:r>
              <w:rPr>
                <w:b w:val="false"/>
                <w:bCs w:val="false"/>
                <w:color w:val="222222"/>
                <w:sz w:val="20"/>
                <w:szCs w:val="20"/>
              </w:rPr>
              <w:t xml:space="preserve">Doctor Communication</w:t>
            </w:r>
          </w:p>
        </w:tc>
        <w:tc>
          <w:tcPr>
            <w:tcW w:type="dxa" w:w="1700"/>
            <w:tcMar>
              <w:top w:type="dxa" w:w="100"/>
              <w:left w:type="dxa" w:w="120"/>
              <w:bottom w:type="dxa" w:w="100"/>
              <w:right w:type="dxa" w:w="120"/>
            </w:tcMar>
          </w:tcPr>
          <w:p>
            <w:r>
              <w:rPr>
                <w:b w:val="false"/>
                <w:bCs w:val="false"/>
                <w:color w:val="222222"/>
                <w:sz w:val="20"/>
                <w:szCs w:val="20"/>
              </w:rPr>
              <w:t xml:space="preserve">3.26</w:t>
            </w:r>
          </w:p>
        </w:tc>
        <w:tc>
          <w:tcPr>
            <w:tcW w:type="dxa" w:w="1900"/>
            <w:tcMar>
              <w:top w:type="dxa" w:w="100"/>
              <w:left w:type="dxa" w:w="120"/>
              <w:bottom w:type="dxa" w:w="100"/>
              <w:right w:type="dxa" w:w="120"/>
            </w:tcMar>
          </w:tcPr>
          <w:p>
            <w:r>
              <w:rPr>
                <w:b w:val="false"/>
                <w:bCs w:val="false"/>
                <w:color w:val="222222"/>
                <w:sz w:val="20"/>
                <w:szCs w:val="20"/>
              </w:rPr>
              <w:t xml:space="preserve">0.808</w:t>
            </w:r>
          </w:p>
        </w:tc>
        <w:tc>
          <w:tcPr>
            <w:tcW w:type="dxa" w:w="1900"/>
            <w:tcMar>
              <w:top w:type="dxa" w:w="100"/>
              <w:left w:type="dxa" w:w="120"/>
              <w:bottom w:type="dxa" w:w="100"/>
              <w:right w:type="dxa" w:w="120"/>
            </w:tcMar>
          </w:tcPr>
          <w:p>
            <w:r>
              <w:rPr>
                <w:b w:val="false"/>
                <w:bCs w:val="false"/>
                <w:color w:val="222222"/>
                <w:sz w:val="20"/>
                <w:szCs w:val="20"/>
              </w:rPr>
              <w:t xml:space="preserve">1.40</w:t>
            </w:r>
          </w:p>
        </w:tc>
        <w:tc>
          <w:tcPr>
            <w:tcW w:type="dxa" w:w="1380"/>
            <w:tcMar>
              <w:top w:type="dxa" w:w="100"/>
              <w:left w:type="dxa" w:w="120"/>
              <w:bottom w:type="dxa" w:w="100"/>
              <w:right w:type="dxa" w:w="120"/>
            </w:tcMar>
          </w:tcPr>
          <w:p>
            <w:r>
              <w:rPr>
                <w:b w:val="false"/>
                <w:bCs w:val="false"/>
                <w:color w:val="222222"/>
                <w:sz w:val="20"/>
                <w:szCs w:val="20"/>
              </w:rPr>
              <w:t xml:space="preserve">2</w:t>
            </w:r>
          </w:p>
        </w:tc>
      </w:tr>
      <w:tr>
        <w:tc>
          <w:tcPr>
            <w:tcW w:type="dxa" w:w="3200"/>
            <w:tcMar>
              <w:top w:type="dxa" w:w="100"/>
              <w:left w:type="dxa" w:w="120"/>
              <w:bottom w:type="dxa" w:w="100"/>
              <w:right w:type="dxa" w:w="120"/>
            </w:tcMar>
          </w:tcPr>
          <w:p>
            <w:r>
              <w:rPr>
                <w:b w:val="false"/>
                <w:bCs w:val="false"/>
                <w:color w:val="222222"/>
                <w:sz w:val="20"/>
                <w:szCs w:val="20"/>
              </w:rPr>
              <w:t xml:space="preserve">Nurse Communication</w:t>
            </w:r>
          </w:p>
        </w:tc>
        <w:tc>
          <w:tcPr>
            <w:tcW w:type="dxa" w:w="1700"/>
            <w:tcMar>
              <w:top w:type="dxa" w:w="100"/>
              <w:left w:type="dxa" w:w="120"/>
              <w:bottom w:type="dxa" w:w="100"/>
              <w:right w:type="dxa" w:w="120"/>
            </w:tcMar>
          </w:tcPr>
          <w:p>
            <w:r>
              <w:rPr>
                <w:b w:val="false"/>
                <w:bCs w:val="false"/>
                <w:color w:val="222222"/>
                <w:sz w:val="20"/>
                <w:szCs w:val="20"/>
              </w:rPr>
              <w:t xml:space="preserve">3.42</w:t>
            </w:r>
          </w:p>
        </w:tc>
        <w:tc>
          <w:tcPr>
            <w:tcW w:type="dxa" w:w="1900"/>
            <w:tcMar>
              <w:top w:type="dxa" w:w="100"/>
              <w:left w:type="dxa" w:w="120"/>
              <w:bottom w:type="dxa" w:w="100"/>
              <w:right w:type="dxa" w:w="120"/>
            </w:tcMar>
          </w:tcPr>
          <w:p>
            <w:r>
              <w:rPr>
                <w:b w:val="false"/>
                <w:bCs w:val="false"/>
                <w:color w:val="222222"/>
                <w:sz w:val="20"/>
                <w:szCs w:val="20"/>
              </w:rPr>
              <w:t xml:space="preserve">0.858</w:t>
            </w:r>
          </w:p>
        </w:tc>
        <w:tc>
          <w:tcPr>
            <w:tcW w:type="dxa" w:w="1900"/>
            <w:tcMar>
              <w:top w:type="dxa" w:w="100"/>
              <w:left w:type="dxa" w:w="120"/>
              <w:bottom w:type="dxa" w:w="100"/>
              <w:right w:type="dxa" w:w="120"/>
            </w:tcMar>
          </w:tcPr>
          <w:p>
            <w:r>
              <w:rPr>
                <w:b w:val="false"/>
                <w:bCs w:val="false"/>
                <w:color w:val="222222"/>
                <w:sz w:val="20"/>
                <w:szCs w:val="20"/>
              </w:rPr>
              <w:t xml:space="preserve">1.35</w:t>
            </w:r>
          </w:p>
        </w:tc>
        <w:tc>
          <w:tcPr>
            <w:tcW w:type="dxa" w:w="1380"/>
            <w:tcMar>
              <w:top w:type="dxa" w:w="100"/>
              <w:left w:type="dxa" w:w="120"/>
              <w:bottom w:type="dxa" w:w="100"/>
              <w:right w:type="dxa" w:w="120"/>
            </w:tcMar>
          </w:tcPr>
          <w:p>
            <w:r>
              <w:rPr>
                <w:b w:val="false"/>
                <w:bCs w:val="false"/>
                <w:color w:val="222222"/>
                <w:sz w:val="20"/>
                <w:szCs w:val="20"/>
              </w:rPr>
              <w:t xml:space="preserve">3</w:t>
            </w:r>
          </w:p>
        </w:tc>
      </w:tr>
      <w:tr>
        <w:tc>
          <w:tcPr>
            <w:tcW w:type="dxa" w:w="3200"/>
            <w:tcMar>
              <w:top w:type="dxa" w:w="100"/>
              <w:left w:type="dxa" w:w="120"/>
              <w:bottom w:type="dxa" w:w="100"/>
              <w:right w:type="dxa" w:w="120"/>
            </w:tcMar>
          </w:tcPr>
          <w:p>
            <w:r>
              <w:rPr>
                <w:b w:val="false"/>
                <w:bCs w:val="false"/>
                <w:color w:val="222222"/>
                <w:sz w:val="20"/>
                <w:szCs w:val="20"/>
              </w:rPr>
              <w:t xml:space="preserve">Discharge Information</w:t>
            </w:r>
          </w:p>
        </w:tc>
        <w:tc>
          <w:tcPr>
            <w:tcW w:type="dxa" w:w="1700"/>
            <w:tcMar>
              <w:top w:type="dxa" w:w="100"/>
              <w:left w:type="dxa" w:w="120"/>
              <w:bottom w:type="dxa" w:w="100"/>
              <w:right w:type="dxa" w:w="120"/>
            </w:tcMar>
          </w:tcPr>
          <w:p>
            <w:r>
              <w:rPr>
                <w:b w:val="false"/>
                <w:bCs w:val="false"/>
                <w:color w:val="222222"/>
                <w:sz w:val="20"/>
                <w:szCs w:val="20"/>
              </w:rPr>
              <w:t xml:space="preserve">3.37</w:t>
            </w:r>
          </w:p>
        </w:tc>
        <w:tc>
          <w:tcPr>
            <w:tcW w:type="dxa" w:w="1900"/>
            <w:tcMar>
              <w:top w:type="dxa" w:w="100"/>
              <w:left w:type="dxa" w:w="120"/>
              <w:bottom w:type="dxa" w:w="100"/>
              <w:right w:type="dxa" w:w="120"/>
            </w:tcMar>
          </w:tcPr>
          <w:p>
            <w:r>
              <w:rPr>
                <w:b w:val="false"/>
                <w:bCs w:val="false"/>
                <w:color w:val="222222"/>
                <w:sz w:val="20"/>
                <w:szCs w:val="20"/>
              </w:rPr>
              <w:t xml:space="preserve">0.770</w:t>
            </w:r>
          </w:p>
        </w:tc>
        <w:tc>
          <w:tcPr>
            <w:tcW w:type="dxa" w:w="1900"/>
            <w:tcMar>
              <w:top w:type="dxa" w:w="100"/>
              <w:left w:type="dxa" w:w="120"/>
              <w:bottom w:type="dxa" w:w="100"/>
              <w:right w:type="dxa" w:w="120"/>
            </w:tcMar>
          </w:tcPr>
          <w:p>
            <w:r>
              <w:rPr>
                <w:b w:val="false"/>
                <w:bCs w:val="false"/>
                <w:color w:val="222222"/>
                <w:sz w:val="20"/>
                <w:szCs w:val="20"/>
              </w:rPr>
              <w:t xml:space="preserve">1.26</w:t>
            </w:r>
          </w:p>
        </w:tc>
        <w:tc>
          <w:tcPr>
            <w:tcW w:type="dxa" w:w="1380"/>
            <w:tcMar>
              <w:top w:type="dxa" w:w="100"/>
              <w:left w:type="dxa" w:w="120"/>
              <w:bottom w:type="dxa" w:w="100"/>
              <w:right w:type="dxa" w:w="120"/>
            </w:tcMar>
          </w:tcPr>
          <w:p>
            <w:r>
              <w:rPr>
                <w:b w:val="false"/>
                <w:bCs w:val="false"/>
                <w:color w:val="222222"/>
                <w:sz w:val="20"/>
                <w:szCs w:val="20"/>
              </w:rPr>
              <w:t xml:space="preserve">4</w:t>
            </w:r>
          </w:p>
        </w:tc>
      </w:tr>
      <w:tr>
        <w:tc>
          <w:tcPr>
            <w:tcW w:type="dxa" w:w="3200"/>
            <w:tcMar>
              <w:top w:type="dxa" w:w="100"/>
              <w:left w:type="dxa" w:w="120"/>
              <w:bottom w:type="dxa" w:w="100"/>
              <w:right w:type="dxa" w:w="120"/>
            </w:tcMar>
          </w:tcPr>
          <w:p>
            <w:r>
              <w:rPr>
                <w:b w:val="false"/>
                <w:bCs w:val="false"/>
                <w:color w:val="222222"/>
                <w:sz w:val="20"/>
                <w:szCs w:val="20"/>
              </w:rPr>
              <w:t xml:space="preserve">Quietness</w:t>
            </w:r>
          </w:p>
        </w:tc>
        <w:tc>
          <w:tcPr>
            <w:tcW w:type="dxa" w:w="1700"/>
            <w:tcMar>
              <w:top w:type="dxa" w:w="100"/>
              <w:left w:type="dxa" w:w="120"/>
              <w:bottom w:type="dxa" w:w="100"/>
              <w:right w:type="dxa" w:w="120"/>
            </w:tcMar>
          </w:tcPr>
          <w:p>
            <w:r>
              <w:rPr>
                <w:b w:val="false"/>
                <w:bCs w:val="false"/>
                <w:color w:val="222222"/>
                <w:sz w:val="20"/>
                <w:szCs w:val="20"/>
              </w:rPr>
              <w:t xml:space="preserve">3.15</w:t>
            </w:r>
          </w:p>
        </w:tc>
        <w:tc>
          <w:tcPr>
            <w:tcW w:type="dxa" w:w="1900"/>
            <w:tcMar>
              <w:top w:type="dxa" w:w="100"/>
              <w:left w:type="dxa" w:w="120"/>
              <w:bottom w:type="dxa" w:w="100"/>
              <w:right w:type="dxa" w:w="120"/>
            </w:tcMar>
          </w:tcPr>
          <w:p>
            <w:r>
              <w:rPr>
                <w:b w:val="false"/>
                <w:bCs w:val="false"/>
                <w:color w:val="222222"/>
                <w:sz w:val="20"/>
                <w:szCs w:val="20"/>
              </w:rPr>
              <w:t xml:space="preserve">0.646</w:t>
            </w:r>
          </w:p>
        </w:tc>
        <w:tc>
          <w:tcPr>
            <w:tcW w:type="dxa" w:w="1900"/>
            <w:tcMar>
              <w:top w:type="dxa" w:w="100"/>
              <w:left w:type="dxa" w:w="120"/>
              <w:bottom w:type="dxa" w:w="100"/>
              <w:right w:type="dxa" w:w="120"/>
            </w:tcMar>
          </w:tcPr>
          <w:p>
            <w:r>
              <w:rPr>
                <w:b w:val="false"/>
                <w:bCs w:val="false"/>
                <w:color w:val="222222"/>
                <w:sz w:val="20"/>
                <w:szCs w:val="20"/>
              </w:rPr>
              <w:t xml:space="preserve">1.19</w:t>
            </w:r>
          </w:p>
        </w:tc>
        <w:tc>
          <w:tcPr>
            <w:tcW w:type="dxa" w:w="1380"/>
            <w:tcMar>
              <w:top w:type="dxa" w:w="100"/>
              <w:left w:type="dxa" w:w="120"/>
              <w:bottom w:type="dxa" w:w="100"/>
              <w:right w:type="dxa" w:w="120"/>
            </w:tcMar>
          </w:tcPr>
          <w:p>
            <w:r>
              <w:rPr>
                <w:b w:val="false"/>
                <w:bCs w:val="false"/>
                <w:color w:val="222222"/>
                <w:sz w:val="20"/>
                <w:szCs w:val="20"/>
              </w:rPr>
              <w:t xml:space="preserve">5</w:t>
            </w:r>
          </w:p>
        </w:tc>
      </w:tr>
      <w:tr>
        <w:tc>
          <w:tcPr>
            <w:tcW w:type="dxa" w:w="3200"/>
            <w:tcMar>
              <w:top w:type="dxa" w:w="100"/>
              <w:left w:type="dxa" w:w="120"/>
              <w:bottom w:type="dxa" w:w="100"/>
              <w:right w:type="dxa" w:w="120"/>
            </w:tcMar>
          </w:tcPr>
          <w:p>
            <w:r>
              <w:rPr>
                <w:b w:val="false"/>
                <w:bCs w:val="false"/>
                <w:color w:val="222222"/>
                <w:sz w:val="20"/>
                <w:szCs w:val="20"/>
              </w:rPr>
              <w:t xml:space="preserve">Recommend Hospital</w:t>
            </w:r>
          </w:p>
        </w:tc>
        <w:tc>
          <w:tcPr>
            <w:tcW w:type="dxa" w:w="1700"/>
            <w:tcMar>
              <w:top w:type="dxa" w:w="100"/>
              <w:left w:type="dxa" w:w="120"/>
              <w:bottom w:type="dxa" w:w="100"/>
              <w:right w:type="dxa" w:w="120"/>
            </w:tcMar>
          </w:tcPr>
          <w:p>
            <w:r>
              <w:rPr>
                <w:b w:val="false"/>
                <w:bCs w:val="false"/>
                <w:color w:val="222222"/>
                <w:sz w:val="20"/>
                <w:szCs w:val="20"/>
              </w:rPr>
              <w:t xml:space="preserve">3.64</w:t>
            </w:r>
          </w:p>
        </w:tc>
        <w:tc>
          <w:tcPr>
            <w:tcW w:type="dxa" w:w="1900"/>
            <w:tcMar>
              <w:top w:type="dxa" w:w="100"/>
              <w:left w:type="dxa" w:w="120"/>
              <w:bottom w:type="dxa" w:w="100"/>
              <w:right w:type="dxa" w:w="120"/>
            </w:tcMar>
          </w:tcPr>
          <w:p>
            <w:r>
              <w:rPr>
                <w:b w:val="false"/>
                <w:bCs w:val="false"/>
                <w:color w:val="222222"/>
                <w:sz w:val="20"/>
                <w:szCs w:val="20"/>
              </w:rPr>
              <w:t xml:space="preserve">0.785</w:t>
            </w:r>
          </w:p>
        </w:tc>
        <w:tc>
          <w:tcPr>
            <w:tcW w:type="dxa" w:w="1900"/>
            <w:tcMar>
              <w:top w:type="dxa" w:w="100"/>
              <w:left w:type="dxa" w:w="120"/>
              <w:bottom w:type="dxa" w:w="100"/>
              <w:right w:type="dxa" w:w="120"/>
            </w:tcMar>
          </w:tcPr>
          <w:p>
            <w:r>
              <w:rPr>
                <w:b w:val="false"/>
                <w:bCs w:val="false"/>
                <w:color w:val="222222"/>
                <w:sz w:val="20"/>
                <w:szCs w:val="20"/>
              </w:rPr>
              <w:t xml:space="preserve">1.07</w:t>
            </w:r>
          </w:p>
        </w:tc>
        <w:tc>
          <w:tcPr>
            <w:tcW w:type="dxa" w:w="1380"/>
            <w:tcMar>
              <w:top w:type="dxa" w:w="100"/>
              <w:left w:type="dxa" w:w="120"/>
              <w:bottom w:type="dxa" w:w="100"/>
              <w:right w:type="dxa" w:w="120"/>
            </w:tcMar>
          </w:tcPr>
          <w:p>
            <w:r>
              <w:rPr>
                <w:b w:val="false"/>
                <w:bCs w:val="false"/>
                <w:color w:val="222222"/>
                <w:sz w:val="20"/>
                <w:szCs w:val="20"/>
              </w:rPr>
              <w:t xml:space="preserve">6</w:t>
            </w:r>
          </w:p>
        </w:tc>
      </w:tr>
      <w:tr>
        <w:tc>
          <w:tcPr>
            <w:tcW w:type="dxa" w:w="3200"/>
            <w:tcMar>
              <w:top w:type="dxa" w:w="100"/>
              <w:left w:type="dxa" w:w="120"/>
              <w:bottom w:type="dxa" w:w="100"/>
              <w:right w:type="dxa" w:w="120"/>
            </w:tcMar>
          </w:tcPr>
          <w:p>
            <w:r>
              <w:rPr>
                <w:b w:val="false"/>
                <w:bCs w:val="false"/>
                <w:color w:val="222222"/>
                <w:sz w:val="20"/>
                <w:szCs w:val="20"/>
              </w:rPr>
              <w:t xml:space="preserve">Cleanliness</w:t>
            </w:r>
          </w:p>
        </w:tc>
        <w:tc>
          <w:tcPr>
            <w:tcW w:type="dxa" w:w="1700"/>
            <w:tcMar>
              <w:top w:type="dxa" w:w="100"/>
              <w:left w:type="dxa" w:w="120"/>
              <w:bottom w:type="dxa" w:w="100"/>
              <w:right w:type="dxa" w:w="120"/>
            </w:tcMar>
          </w:tcPr>
          <w:p>
            <w:r>
              <w:rPr>
                <w:b w:val="false"/>
                <w:bCs w:val="false"/>
                <w:color w:val="222222"/>
                <w:sz w:val="20"/>
                <w:szCs w:val="20"/>
              </w:rPr>
              <w:t xml:space="preserve">3.34</w:t>
            </w:r>
          </w:p>
        </w:tc>
        <w:tc>
          <w:tcPr>
            <w:tcW w:type="dxa" w:w="1900"/>
            <w:tcMar>
              <w:top w:type="dxa" w:w="100"/>
              <w:left w:type="dxa" w:w="120"/>
              <w:bottom w:type="dxa" w:w="100"/>
              <w:right w:type="dxa" w:w="120"/>
            </w:tcMar>
          </w:tcPr>
          <w:p>
            <w:r>
              <w:rPr>
                <w:b w:val="false"/>
                <w:bCs w:val="false"/>
                <w:color w:val="222222"/>
                <w:sz w:val="20"/>
                <w:szCs w:val="20"/>
              </w:rPr>
              <w:t xml:space="preserve">0.628</w:t>
            </w:r>
          </w:p>
        </w:tc>
        <w:tc>
          <w:tcPr>
            <w:tcW w:type="dxa" w:w="1900"/>
            <w:tcMar>
              <w:top w:type="dxa" w:w="100"/>
              <w:left w:type="dxa" w:w="120"/>
              <w:bottom w:type="dxa" w:w="100"/>
              <w:right w:type="dxa" w:w="120"/>
            </w:tcMar>
          </w:tcPr>
          <w:p>
            <w:r>
              <w:rPr>
                <w:b w:val="false"/>
                <w:bCs w:val="false"/>
                <w:color w:val="222222"/>
                <w:sz w:val="20"/>
                <w:szCs w:val="20"/>
              </w:rPr>
              <w:t xml:space="preserve">1.04</w:t>
            </w:r>
          </w:p>
        </w:tc>
        <w:tc>
          <w:tcPr>
            <w:tcW w:type="dxa" w:w="1380"/>
            <w:tcMar>
              <w:top w:type="dxa" w:w="100"/>
              <w:left w:type="dxa" w:w="120"/>
              <w:bottom w:type="dxa" w:w="100"/>
              <w:right w:type="dxa" w:w="120"/>
            </w:tcMar>
          </w:tcPr>
          <w:p>
            <w:r>
              <w:rPr>
                <w:b w:val="false"/>
                <w:bCs w:val="false"/>
                <w:color w:val="222222"/>
                <w:sz w:val="20"/>
                <w:szCs w:val="20"/>
              </w:rPr>
              <w:t xml:space="preserve">7</w:t>
            </w:r>
          </w:p>
        </w:tc>
      </w:tr>
    </w:tbl>
    <w:p>
      <w:pPr>
        <w:spacing w:after="200" w:before="120"/>
      </w:pPr>
      <w:r>
        <w:rPr>
          <w:i/>
          <w:iCs/>
          <w:color w:val="595959"/>
          <w:sz w:val="18"/>
          <w:szCs w:val="18"/>
        </w:rPr>
        <w:t xml:space="preserve">Note: Priority Score = Correlation with overall rating × (5 − Average Score). Highlighted row is the top-priority improvement opportunity.</w:t>
      </w:r>
    </w:p>
    <w:p>
      <w:pPr>
        <w:pStyle w:val="Heading1"/>
        <w:pBdr>
          <w:bottom w:val="single" w:color="1F3864" w:sz="6" w:space="4"/>
        </w:pBdr>
        <w:spacing w:after="160" w:before="320"/>
      </w:pPr>
      <w:r>
        <w:rPr>
          <w:b/>
          <w:bCs/>
          <w:color w:val="1F3864"/>
          <w:sz w:val="26"/>
          <w:szCs w:val="26"/>
        </w:rPr>
        <w:t xml:space="preserve">3. Top Finding: Medication Explanation</w:t>
      </w:r>
    </w:p>
    <w:p>
      <w:pPr>
        <w:spacing w:after="140" w:line="300"/>
      </w:pPr>
      <w:r>
        <w:rPr>
          <w:color w:val="222222"/>
          <w:sz w:val="21"/>
          <w:szCs w:val="21"/>
        </w:rPr>
        <w:t xml:space="preserve">Medication Explanation is both the lowest-performing dimension nationally (2.66 of 5, roughly 0.6 stars below the next-lowest dimension) and the second most strongly correlated dimension with overall satisfaction (r = 0.821). This combination — weak performance on a high-impact driver — makes it the single highest-leverage improvement opportunity in the dataset. By contrast, Cleanliness performs moderately (3.34) but has the weakest correlation with overall satisfaction (r = 0.628), suggesting cleanliness improvements alone would move the overall score comparatively little.</w:t>
      </w:r>
    </w:p>
    <w:p>
      <w:pPr>
        <w:pStyle w:val="Heading1"/>
        <w:pBdr>
          <w:bottom w:val="single" w:color="1F3864" w:sz="6" w:space="4"/>
        </w:pBdr>
        <w:spacing w:after="160" w:before="320"/>
      </w:pPr>
      <w:r>
        <w:rPr>
          <w:b/>
          <w:bCs/>
          <w:color w:val="1F3864"/>
          <w:sz w:val="26"/>
          <w:szCs w:val="26"/>
        </w:rPr>
        <w:t xml:space="preserve">4. Regional Variation</w:t>
      </w:r>
    </w:p>
    <w:p>
      <w:pPr>
        <w:spacing w:after="140" w:line="300"/>
      </w:pPr>
      <w:r>
        <w:rPr>
          <w:color w:val="222222"/>
          <w:sz w:val="21"/>
          <w:szCs w:val="21"/>
        </w:rPr>
        <w:t xml:space="preserve">Average overall ratings vary substantially by state (limited to states with ≥ 10 rated hospitals for reliability). The highest-rated states cluster in the Midwest — Wisconsin (4.06), South Dakota (4.00), Idaho (3.92), Minnesota (3.89) — while the lowest-rated cluster among large, densely populated states: Florida (2.70), New Jersey (2.72), New York (2.76), Nevada (2.81). The national average is 3.29. The 1.36-star gap between the highest- and lowest-rated states is a notable pattern; this analysis does not establish causation (e.g., hospital size, patient case-mix, or urban density were out of scope per the Project Charter), but it is a reasonable direction for future investigation.</w:t>
      </w:r>
    </w:p>
    <w:p>
      <w:pPr>
        <w:pStyle w:val="Heading1"/>
        <w:pBdr>
          <w:bottom w:val="single" w:color="1F3864" w:sz="6" w:space="4"/>
        </w:pBdr>
        <w:spacing w:after="160" w:before="320"/>
      </w:pPr>
      <w:r>
        <w:rPr>
          <w:b/>
          <w:bCs/>
          <w:color w:val="1F3864"/>
          <w:sz w:val="26"/>
          <w:szCs w:val="26"/>
        </w:rPr>
        <w:t xml:space="preserve">5. Data Completeness Note</w:t>
      </w:r>
    </w:p>
    <w:p>
      <w:pPr>
        <w:spacing w:after="140" w:line="300"/>
      </w:pPr>
      <w:r>
        <w:rPr>
          <w:color w:val="222222"/>
          <w:sz w:val="21"/>
          <w:szCs w:val="21"/>
        </w:rPr>
        <w:t xml:space="preserve">836 of 4,792 hospitals (17%) reported no usable values across all 68 HCAHPS measures and were excluded from the rating-based analysis above. This is a legitimate reporting-volume limitation (commonly small or low-survey-volume facilities) rather than a data-quality defect, and is disclosed here for transparency.</w:t>
      </w:r>
    </w:p>
    <w:p>
      <w:pPr>
        <w:pStyle w:val="Heading1"/>
        <w:pBdr>
          <w:bottom w:val="single" w:color="1F3864" w:sz="6" w:space="4"/>
        </w:pBdr>
        <w:spacing w:after="160" w:before="320"/>
      </w:pPr>
      <w:r>
        <w:rPr>
          <w:b/>
          <w:bCs/>
          <w:color w:val="1F3864"/>
          <w:sz w:val="26"/>
          <w:szCs w:val="26"/>
        </w:rPr>
        <w:t xml:space="preserve">6. Recommendations</w:t>
      </w:r>
    </w:p>
    <w:p>
      <w:pPr>
        <w:pStyle w:val="ListParagraph"/>
        <w:numPr>
          <w:ilvl w:val="0"/>
          <w:numId w:val="2"/>
        </w:numPr>
        <w:spacing w:after="80"/>
      </w:pPr>
      <w:r>
        <w:rPr>
          <w:color w:val="222222"/>
          <w:sz w:val="21"/>
          <w:szCs w:val="21"/>
        </w:rPr>
        <w:t xml:space="preserve">Prioritize interventions that improve how staff explain medications to patients — the highest-leverage opportunity identified in this analysis.</w:t>
      </w:r>
    </w:p>
    <w:p>
      <w:pPr>
        <w:pStyle w:val="ListParagraph"/>
        <w:numPr>
          <w:ilvl w:val="0"/>
          <w:numId w:val="2"/>
        </w:numPr>
        <w:spacing w:after="80"/>
      </w:pPr>
      <w:r>
        <w:rPr>
          <w:color w:val="222222"/>
          <w:sz w:val="21"/>
          <w:szCs w:val="21"/>
        </w:rPr>
        <w:t xml:space="preserve">Use Doctor and Nurse Communication as secondary priorities, both showing strong correlation with overall satisfaction.</w:t>
      </w:r>
    </w:p>
    <w:p>
      <w:pPr>
        <w:pStyle w:val="ListParagraph"/>
        <w:numPr>
          <w:ilvl w:val="0"/>
          <w:numId w:val="2"/>
        </w:numPr>
        <w:spacing w:after="80"/>
      </w:pPr>
      <w:r>
        <w:rPr>
          <w:color w:val="222222"/>
          <w:sz w:val="21"/>
          <w:szCs w:val="21"/>
        </w:rPr>
        <w:t xml:space="preserve">Treat Cleanliness and Quietness as lower priority for satisfaction-focused initiatives, despite being commonly assumed "top of mind" issues.</w:t>
      </w:r>
    </w:p>
    <w:p>
      <w:pPr>
        <w:pStyle w:val="ListParagraph"/>
        <w:numPr>
          <w:ilvl w:val="0"/>
          <w:numId w:val="2"/>
        </w:numPr>
        <w:spacing w:after="80"/>
      </w:pPr>
      <w:r>
        <w:rPr>
          <w:color w:val="222222"/>
          <w:sz w:val="21"/>
          <w:szCs w:val="21"/>
        </w:rPr>
        <w:t xml:space="preserve">Investigate operational or demographic drivers behind the regional gap as a follow-up study, given the scale of variation observed.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2026-07-20T14:03:09.709Z</dcterms:created>
  <dcterms:modified xsi:type="dcterms:W3CDTF">2026-07-20T14:03:09.724Z</dcterms:modified>
</cp:coreProperties>
</file>

<file path=docProps/custom.xml><?xml version="1.0" encoding="utf-8"?>
<Properties xmlns="http://schemas.openxmlformats.org/officeDocument/2006/custom-properties" xmlns:vt="http://schemas.openxmlformats.org/officeDocument/2006/docPropsVTypes"/>
</file>