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8052C" w14:textId="77777777" w:rsidR="00865C2F" w:rsidRPr="00865C2F" w:rsidRDefault="00DD37B4" w:rsidP="00865C2F">
      <w:pPr>
        <w:jc w:val="center"/>
        <w:rPr>
          <w:b/>
          <w:smallCaps/>
          <w:szCs w:val="24"/>
          <w:lang w:val="en-GB"/>
        </w:rPr>
      </w:pPr>
      <w:r>
        <w:rPr>
          <w:b/>
          <w:smallCaps/>
          <w:szCs w:val="24"/>
          <w:lang w:val="en-GB"/>
        </w:rPr>
        <w:t>Change Request</w:t>
      </w:r>
    </w:p>
    <w:p w14:paraId="288B1E69" w14:textId="77777777" w:rsidR="00F91F93" w:rsidRDefault="00324C6F" w:rsidP="00865C2F">
      <w:pPr>
        <w:jc w:val="center"/>
        <w:rPr>
          <w:b/>
          <w:smallCaps/>
          <w:szCs w:val="24"/>
          <w:lang w:val="en-GB"/>
        </w:rPr>
      </w:pPr>
      <w:r>
        <w:rPr>
          <w:b/>
          <w:smallCaps/>
          <w:szCs w:val="24"/>
          <w:lang w:val="en-GB"/>
        </w:rPr>
        <w:t xml:space="preserve">for the update of </w:t>
      </w:r>
      <w:r w:rsidR="00865C2F" w:rsidRPr="00865C2F">
        <w:rPr>
          <w:b/>
          <w:smallCaps/>
          <w:szCs w:val="24"/>
          <w:lang w:val="en-GB"/>
        </w:rPr>
        <w:t>ISO 20022 financial repository</w:t>
      </w:r>
      <w:r w:rsidR="00DD37B4">
        <w:rPr>
          <w:b/>
          <w:smallCaps/>
          <w:szCs w:val="24"/>
          <w:lang w:val="en-GB"/>
        </w:rPr>
        <w:t xml:space="preserve"> items</w:t>
      </w:r>
    </w:p>
    <w:p w14:paraId="1C41C4AF" w14:textId="77777777" w:rsidR="00865C2F" w:rsidRDefault="0006293F" w:rsidP="00C656B1">
      <w:pPr>
        <w:numPr>
          <w:ilvl w:val="0"/>
          <w:numId w:val="6"/>
        </w:numPr>
        <w:rPr>
          <w:b/>
          <w:szCs w:val="24"/>
          <w:lang w:val="en-GB"/>
        </w:rPr>
      </w:pPr>
      <w:r>
        <w:rPr>
          <w:b/>
          <w:szCs w:val="24"/>
          <w:lang w:val="en-GB"/>
        </w:rPr>
        <w:t xml:space="preserve">Origin of the </w:t>
      </w:r>
      <w:r w:rsidR="00D123C1">
        <w:rPr>
          <w:b/>
          <w:szCs w:val="24"/>
          <w:lang w:val="en-GB"/>
        </w:rPr>
        <w:t>request:</w:t>
      </w:r>
    </w:p>
    <w:p w14:paraId="11EF97A5" w14:textId="77777777" w:rsidR="008A42DC" w:rsidRDefault="008438AF" w:rsidP="008438AF">
      <w:pPr>
        <w:rPr>
          <w:szCs w:val="24"/>
          <w:lang w:val="en-GB"/>
        </w:rPr>
      </w:pPr>
      <w:r w:rsidRPr="008438AF">
        <w:rPr>
          <w:i/>
          <w:szCs w:val="24"/>
          <w:lang w:val="en-GB"/>
        </w:rPr>
        <w:t>A.1 Submitter</w:t>
      </w:r>
      <w:r>
        <w:rPr>
          <w:szCs w:val="24"/>
          <w:lang w:val="en-GB"/>
        </w:rPr>
        <w:t xml:space="preserve">: </w:t>
      </w:r>
    </w:p>
    <w:p w14:paraId="2767B7F1" w14:textId="2DD22C95" w:rsidR="008A42DC" w:rsidRDefault="008A42DC" w:rsidP="008438AF">
      <w:pPr>
        <w:rPr>
          <w:szCs w:val="24"/>
          <w:lang w:val="en-GB"/>
        </w:rPr>
      </w:pPr>
      <w:r>
        <w:rPr>
          <w:szCs w:val="24"/>
          <w:lang w:val="en-GB"/>
        </w:rPr>
        <w:t>The Mojaloop Foundation</w:t>
      </w:r>
    </w:p>
    <w:p w14:paraId="3872C480" w14:textId="73050B05" w:rsidR="008438AF" w:rsidRDefault="000408BA" w:rsidP="008438AF">
      <w:pPr>
        <w:rPr>
          <w:szCs w:val="24"/>
          <w:lang w:val="en-GB"/>
        </w:rPr>
      </w:pPr>
      <w:r w:rsidRPr="000408BA">
        <w:rPr>
          <w:i/>
          <w:szCs w:val="24"/>
          <w:lang w:val="en-GB"/>
        </w:rPr>
        <w:t xml:space="preserve">A.2 </w:t>
      </w:r>
      <w:r w:rsidR="00CC68E1">
        <w:rPr>
          <w:i/>
          <w:szCs w:val="24"/>
          <w:lang w:val="en-GB"/>
        </w:rPr>
        <w:t>C</w:t>
      </w:r>
      <w:r w:rsidRPr="000408BA">
        <w:rPr>
          <w:i/>
          <w:szCs w:val="24"/>
          <w:lang w:val="en-GB"/>
        </w:rPr>
        <w:t>ontact person:</w:t>
      </w:r>
      <w:r w:rsidR="008438AF">
        <w:rPr>
          <w:szCs w:val="24"/>
          <w:lang w:val="en-GB"/>
        </w:rPr>
        <w:t xml:space="preserve"> </w:t>
      </w:r>
    </w:p>
    <w:p w14:paraId="354DC3D3" w14:textId="6C645E27" w:rsidR="008A42DC" w:rsidRPr="004A7E5D" w:rsidRDefault="008A42DC" w:rsidP="008438AF">
      <w:pPr>
        <w:rPr>
          <w:szCs w:val="24"/>
          <w:lang w:val="en-GB"/>
        </w:rPr>
      </w:pPr>
      <w:r w:rsidRPr="008A42DC">
        <w:rPr>
          <w:szCs w:val="24"/>
          <w:lang w:val="fr-FR"/>
        </w:rPr>
        <w:t xml:space="preserve">Michael Richards. </w:t>
      </w:r>
      <w:hyperlink r:id="rId8" w:history="1">
        <w:r w:rsidRPr="004A7E5D">
          <w:rPr>
            <w:rStyle w:val="Hyperlink"/>
            <w:szCs w:val="24"/>
            <w:lang w:val="en-GB"/>
          </w:rPr>
          <w:t>Michael.Richards@infitx.com</w:t>
        </w:r>
      </w:hyperlink>
      <w:r w:rsidRPr="004A7E5D">
        <w:rPr>
          <w:szCs w:val="24"/>
          <w:lang w:val="en-GB"/>
        </w:rPr>
        <w:t>, +44 7785 360009</w:t>
      </w:r>
    </w:p>
    <w:p w14:paraId="25E92BB5" w14:textId="20D91AF4" w:rsidR="00577BCC" w:rsidRDefault="008438AF" w:rsidP="008438AF">
      <w:pPr>
        <w:rPr>
          <w:szCs w:val="24"/>
          <w:lang w:val="en-GB"/>
        </w:rPr>
      </w:pPr>
      <w:r w:rsidRPr="004A7E5D">
        <w:rPr>
          <w:i/>
          <w:szCs w:val="24"/>
          <w:lang w:val="en-GB"/>
        </w:rPr>
        <w:t xml:space="preserve"> </w:t>
      </w:r>
      <w:r w:rsidRPr="008438AF">
        <w:rPr>
          <w:i/>
          <w:szCs w:val="24"/>
          <w:lang w:val="en-GB"/>
        </w:rPr>
        <w:t>A.</w:t>
      </w:r>
      <w:r w:rsidR="000408BA">
        <w:rPr>
          <w:i/>
          <w:szCs w:val="24"/>
          <w:lang w:val="en-GB"/>
        </w:rPr>
        <w:t>3</w:t>
      </w:r>
      <w:r w:rsidRPr="008438AF">
        <w:rPr>
          <w:i/>
          <w:szCs w:val="24"/>
          <w:lang w:val="en-GB"/>
        </w:rPr>
        <w:t xml:space="preserve"> </w:t>
      </w:r>
      <w:r w:rsidR="0006293F" w:rsidRPr="008438AF">
        <w:rPr>
          <w:i/>
          <w:szCs w:val="24"/>
          <w:lang w:val="en-GB"/>
        </w:rPr>
        <w:t>Sponsors</w:t>
      </w:r>
      <w:r w:rsidR="0006293F" w:rsidRPr="008438AF">
        <w:rPr>
          <w:szCs w:val="24"/>
          <w:lang w:val="en-GB"/>
        </w:rPr>
        <w:t>:</w:t>
      </w:r>
      <w:r>
        <w:rPr>
          <w:szCs w:val="24"/>
          <w:lang w:val="en-GB"/>
        </w:rPr>
        <w:t xml:space="preserve"> </w:t>
      </w:r>
    </w:p>
    <w:p w14:paraId="30AE763C" w14:textId="01530F95" w:rsidR="00D37C4A" w:rsidRDefault="00D37C4A" w:rsidP="008438AF">
      <w:pPr>
        <w:rPr>
          <w:szCs w:val="24"/>
          <w:lang w:val="en-GB"/>
        </w:rPr>
      </w:pPr>
      <w:r>
        <w:rPr>
          <w:szCs w:val="24"/>
          <w:lang w:val="en-GB"/>
        </w:rPr>
        <w:t xml:space="preserve">1) </w:t>
      </w:r>
      <w:proofErr w:type="spellStart"/>
      <w:r>
        <w:rPr>
          <w:szCs w:val="24"/>
          <w:lang w:val="en-GB"/>
        </w:rPr>
        <w:t>Africanenda</w:t>
      </w:r>
      <w:proofErr w:type="spellEnd"/>
    </w:p>
    <w:p w14:paraId="2C9C9F3E" w14:textId="0796DDA3" w:rsidR="00D37C4A" w:rsidRDefault="00D37C4A" w:rsidP="008438AF">
      <w:pPr>
        <w:rPr>
          <w:szCs w:val="24"/>
          <w:lang w:val="en-GB"/>
        </w:rPr>
      </w:pPr>
      <w:r>
        <w:rPr>
          <w:szCs w:val="24"/>
          <w:lang w:val="en-GB"/>
        </w:rPr>
        <w:t xml:space="preserve">2) </w:t>
      </w:r>
      <w:proofErr w:type="spellStart"/>
      <w:r>
        <w:rPr>
          <w:szCs w:val="24"/>
          <w:lang w:val="en-GB"/>
        </w:rPr>
        <w:t>Comesa</w:t>
      </w:r>
      <w:proofErr w:type="spellEnd"/>
      <w:r>
        <w:rPr>
          <w:szCs w:val="24"/>
          <w:lang w:val="en-GB"/>
        </w:rPr>
        <w:t xml:space="preserve"> Business Council</w:t>
      </w:r>
    </w:p>
    <w:p w14:paraId="42F5AD52" w14:textId="09D67CFC" w:rsidR="00D37C4A" w:rsidRDefault="00D37C4A" w:rsidP="008438AF">
      <w:pPr>
        <w:rPr>
          <w:szCs w:val="24"/>
          <w:lang w:val="en-GB"/>
        </w:rPr>
      </w:pPr>
      <w:r>
        <w:rPr>
          <w:szCs w:val="24"/>
          <w:lang w:val="en-GB"/>
        </w:rPr>
        <w:t xml:space="preserve">Contact: </w:t>
      </w:r>
      <w:proofErr w:type="spellStart"/>
      <w:r>
        <w:rPr>
          <w:szCs w:val="24"/>
          <w:lang w:val="en-GB"/>
        </w:rPr>
        <w:t>Dr.</w:t>
      </w:r>
      <w:proofErr w:type="spellEnd"/>
      <w:r>
        <w:rPr>
          <w:szCs w:val="24"/>
          <w:lang w:val="en-GB"/>
        </w:rPr>
        <w:t xml:space="preserve"> Jonathan </w:t>
      </w:r>
      <w:proofErr w:type="spellStart"/>
      <w:r>
        <w:rPr>
          <w:szCs w:val="24"/>
          <w:lang w:val="en-GB"/>
        </w:rPr>
        <w:t>Pinifolo</w:t>
      </w:r>
      <w:proofErr w:type="spellEnd"/>
      <w:r>
        <w:rPr>
          <w:szCs w:val="24"/>
          <w:lang w:val="en-GB"/>
        </w:rPr>
        <w:t xml:space="preserve">, </w:t>
      </w:r>
      <w:hyperlink r:id="rId9" w:history="1">
        <w:r w:rsidR="001F1B10" w:rsidRPr="00685F37">
          <w:rPr>
            <w:rStyle w:val="Hyperlink"/>
            <w:szCs w:val="24"/>
            <w:lang w:val="en-GB"/>
          </w:rPr>
          <w:t>jpinifolo@comesabusinesscouncil.org</w:t>
        </w:r>
      </w:hyperlink>
    </w:p>
    <w:p w14:paraId="1FA0D12E" w14:textId="77777777" w:rsidR="001F1B10" w:rsidRDefault="001F1B10" w:rsidP="008438AF">
      <w:pPr>
        <w:rPr>
          <w:szCs w:val="24"/>
          <w:lang w:val="en-GB"/>
        </w:rPr>
      </w:pPr>
    </w:p>
    <w:p w14:paraId="7D3E83FC" w14:textId="77777777" w:rsidR="00854FA6" w:rsidRDefault="00854FA6" w:rsidP="00854FA6">
      <w:pPr>
        <w:numPr>
          <w:ilvl w:val="0"/>
          <w:numId w:val="6"/>
        </w:numPr>
        <w:rPr>
          <w:b/>
          <w:lang w:val="en-GB"/>
        </w:rPr>
      </w:pPr>
      <w:r>
        <w:rPr>
          <w:b/>
          <w:lang w:val="en-GB"/>
        </w:rPr>
        <w:t>Related m</w:t>
      </w:r>
      <w:r w:rsidRPr="00451986">
        <w:rPr>
          <w:b/>
          <w:lang w:val="en-GB"/>
        </w:rPr>
        <w:t>essages:</w:t>
      </w:r>
    </w:p>
    <w:p w14:paraId="1CF8306C" w14:textId="77777777" w:rsidR="005516A9" w:rsidRPr="005516A9" w:rsidRDefault="005516A9" w:rsidP="005516A9">
      <w:pPr>
        <w:rPr>
          <w:szCs w:val="24"/>
          <w:lang w:val="en-GB"/>
        </w:rPr>
      </w:pPr>
      <w:r w:rsidRPr="005516A9">
        <w:rPr>
          <w:lang w:val="en-GB"/>
        </w:rPr>
        <w:t xml:space="preserve">Pacs.008.001 </w:t>
      </w:r>
      <w:proofErr w:type="gramStart"/>
      <w:r w:rsidRPr="005516A9">
        <w:rPr>
          <w:lang w:val="en-GB"/>
        </w:rPr>
        <w:t>-</w:t>
      </w:r>
      <w:r w:rsidRPr="005516A9">
        <w:rPr>
          <w:szCs w:val="24"/>
          <w:lang w:val="en-GB"/>
        </w:rPr>
        <w:t xml:space="preserve">  </w:t>
      </w:r>
      <w:proofErr w:type="spellStart"/>
      <w:r w:rsidRPr="005516A9">
        <w:rPr>
          <w:szCs w:val="24"/>
          <w:lang w:val="en-GB"/>
        </w:rPr>
        <w:t>FIToFICustomerCreditTransfer</w:t>
      </w:r>
      <w:proofErr w:type="spellEnd"/>
      <w:proofErr w:type="gramEnd"/>
    </w:p>
    <w:p w14:paraId="7866631E" w14:textId="77777777" w:rsidR="005516A9" w:rsidRPr="005516A9" w:rsidRDefault="005516A9" w:rsidP="005516A9">
      <w:pPr>
        <w:rPr>
          <w:szCs w:val="24"/>
          <w:lang w:val="en-GB"/>
        </w:rPr>
      </w:pPr>
      <w:r w:rsidRPr="005516A9">
        <w:rPr>
          <w:szCs w:val="24"/>
          <w:lang w:val="en-GB"/>
        </w:rPr>
        <w:t xml:space="preserve">Pacs.009.001 - </w:t>
      </w:r>
      <w:proofErr w:type="spellStart"/>
      <w:r w:rsidRPr="005516A9">
        <w:rPr>
          <w:szCs w:val="24"/>
          <w:lang w:val="en-GB"/>
        </w:rPr>
        <w:t>FinancialInstitutionCreditTransfer</w:t>
      </w:r>
      <w:proofErr w:type="spellEnd"/>
    </w:p>
    <w:p w14:paraId="0AF56578" w14:textId="78F0762E" w:rsidR="005516A9" w:rsidRPr="005516A9" w:rsidRDefault="005516A9" w:rsidP="005516A9">
      <w:pPr>
        <w:rPr>
          <w:szCs w:val="24"/>
          <w:lang w:val="en-GB"/>
        </w:rPr>
      </w:pPr>
      <w:r w:rsidRPr="005516A9">
        <w:rPr>
          <w:szCs w:val="24"/>
          <w:lang w:val="en-GB"/>
        </w:rPr>
        <w:t xml:space="preserve">New messages to be defined sealing the agreement of terms between the parties for </w:t>
      </w:r>
      <w:r w:rsidR="00181604">
        <w:rPr>
          <w:szCs w:val="24"/>
          <w:lang w:val="en-GB"/>
        </w:rPr>
        <w:t xml:space="preserve">Customer Credit </w:t>
      </w:r>
      <w:proofErr w:type="spellStart"/>
      <w:r w:rsidR="00181604">
        <w:rPr>
          <w:szCs w:val="24"/>
          <w:lang w:val="en-GB"/>
        </w:rPr>
        <w:t>credit</w:t>
      </w:r>
      <w:proofErr w:type="spellEnd"/>
      <w:r w:rsidR="00181604">
        <w:rPr>
          <w:szCs w:val="24"/>
          <w:lang w:val="en-GB"/>
        </w:rPr>
        <w:t xml:space="preserve"> transfers</w:t>
      </w:r>
      <w:r w:rsidR="00181604" w:rsidRPr="005516A9">
        <w:rPr>
          <w:szCs w:val="24"/>
          <w:lang w:val="en-GB"/>
        </w:rPr>
        <w:t xml:space="preserve"> </w:t>
      </w:r>
      <w:r w:rsidRPr="005516A9">
        <w:rPr>
          <w:szCs w:val="24"/>
          <w:lang w:val="en-GB"/>
        </w:rPr>
        <w:t xml:space="preserve">and </w:t>
      </w:r>
      <w:r w:rsidR="00181604">
        <w:rPr>
          <w:szCs w:val="24"/>
          <w:lang w:val="en-GB"/>
        </w:rPr>
        <w:t>Financial Institution credit transfers</w:t>
      </w:r>
      <w:r w:rsidRPr="005516A9">
        <w:rPr>
          <w:szCs w:val="24"/>
          <w:lang w:val="en-GB"/>
        </w:rPr>
        <w:t>.</w:t>
      </w:r>
    </w:p>
    <w:p w14:paraId="18B9B7F9" w14:textId="77777777" w:rsidR="00505A6B" w:rsidRPr="00451986" w:rsidRDefault="00505A6B" w:rsidP="00854FA6">
      <w:pPr>
        <w:rPr>
          <w:b/>
          <w:lang w:val="en-GB"/>
        </w:rPr>
      </w:pPr>
    </w:p>
    <w:p w14:paraId="09EDAEAF" w14:textId="77777777" w:rsidR="00854FA6" w:rsidRDefault="006D4A37" w:rsidP="00854FA6">
      <w:pPr>
        <w:numPr>
          <w:ilvl w:val="0"/>
          <w:numId w:val="6"/>
        </w:numPr>
        <w:rPr>
          <w:lang w:val="en-GB"/>
        </w:rPr>
      </w:pPr>
      <w:r>
        <w:rPr>
          <w:b/>
          <w:lang w:val="en-GB"/>
        </w:rPr>
        <w:t>Description of the change request:</w:t>
      </w:r>
    </w:p>
    <w:p w14:paraId="62399382" w14:textId="495AF034" w:rsidR="00C9694D" w:rsidRDefault="00C9694D" w:rsidP="00C9694D">
      <w:pPr>
        <w:rPr>
          <w:szCs w:val="24"/>
          <w:lang w:val="en-GB"/>
        </w:rPr>
      </w:pPr>
      <w:r>
        <w:rPr>
          <w:szCs w:val="24"/>
          <w:lang w:val="en-GB"/>
        </w:rPr>
        <w:t>We want to define new elements in the data dictionary to support the definition of a cryptographic lock which can be attached to the definition of a credit transfer</w:t>
      </w:r>
      <w:r w:rsidR="00093871">
        <w:rPr>
          <w:szCs w:val="24"/>
          <w:lang w:val="en-GB"/>
        </w:rPr>
        <w:t xml:space="preserve">. The reasons for wanting to attach a cryptographic lock are given in detail in CR </w:t>
      </w:r>
      <w:r w:rsidR="001F1B10">
        <w:rPr>
          <w:szCs w:val="24"/>
          <w:lang w:val="en-GB"/>
        </w:rPr>
        <w:t>1357</w:t>
      </w:r>
      <w:r w:rsidR="00093871">
        <w:rPr>
          <w:szCs w:val="24"/>
          <w:lang w:val="en-GB"/>
        </w:rPr>
        <w:t>, which describes the use of the cryptographic lock. The cryptographic lock will be used</w:t>
      </w:r>
      <w:r>
        <w:rPr>
          <w:szCs w:val="24"/>
          <w:lang w:val="en-GB"/>
        </w:rPr>
        <w:t xml:space="preserve"> in the following messages:</w:t>
      </w:r>
    </w:p>
    <w:p w14:paraId="55DCDED5" w14:textId="673B6A12" w:rsidR="00C9694D" w:rsidRDefault="00C9694D" w:rsidP="00C9694D">
      <w:pPr>
        <w:pStyle w:val="ListParagraph"/>
        <w:numPr>
          <w:ilvl w:val="0"/>
          <w:numId w:val="18"/>
        </w:numPr>
        <w:rPr>
          <w:szCs w:val="24"/>
          <w:lang w:val="en-GB"/>
        </w:rPr>
      </w:pPr>
      <w:r>
        <w:rPr>
          <w:szCs w:val="24"/>
          <w:lang w:val="en-GB"/>
        </w:rPr>
        <w:t xml:space="preserve">The message which defines the agreed terms of a payment. This is a new message which </w:t>
      </w:r>
      <w:r w:rsidR="00B81DEC">
        <w:rPr>
          <w:szCs w:val="24"/>
          <w:lang w:val="en-GB"/>
        </w:rPr>
        <w:t>is the subject of a Business Justification to be submitted to the ISO 20022 Payment</w:t>
      </w:r>
      <w:r w:rsidR="00BA7077">
        <w:rPr>
          <w:szCs w:val="24"/>
          <w:lang w:val="en-GB"/>
        </w:rPr>
        <w:t>s SEG</w:t>
      </w:r>
      <w:r w:rsidRPr="001B6A94">
        <w:rPr>
          <w:szCs w:val="24"/>
          <w:lang w:val="en-GB"/>
        </w:rPr>
        <w:t>.</w:t>
      </w:r>
    </w:p>
    <w:p w14:paraId="155D6DD8" w14:textId="77777777" w:rsidR="00C9694D" w:rsidRDefault="00C9694D" w:rsidP="00C9694D">
      <w:pPr>
        <w:pStyle w:val="ListParagraph"/>
        <w:numPr>
          <w:ilvl w:val="0"/>
          <w:numId w:val="18"/>
        </w:numPr>
        <w:rPr>
          <w:szCs w:val="24"/>
          <w:lang w:val="en-GB"/>
        </w:rPr>
      </w:pPr>
      <w:r>
        <w:rPr>
          <w:szCs w:val="24"/>
          <w:lang w:val="en-GB"/>
        </w:rPr>
        <w:t>The payment execution message (pacs.008).</w:t>
      </w:r>
    </w:p>
    <w:p w14:paraId="3C4BB07D" w14:textId="40BDE19E" w:rsidR="00C9694D" w:rsidRDefault="00C9694D" w:rsidP="00C9694D">
      <w:pPr>
        <w:pStyle w:val="ListParagraph"/>
        <w:numPr>
          <w:ilvl w:val="0"/>
          <w:numId w:val="18"/>
        </w:numPr>
        <w:rPr>
          <w:szCs w:val="24"/>
          <w:lang w:val="en-GB"/>
        </w:rPr>
      </w:pPr>
      <w:r>
        <w:rPr>
          <w:szCs w:val="24"/>
          <w:lang w:val="en-GB"/>
        </w:rPr>
        <w:t xml:space="preserve">The message which defines the agreed terms of a cover request. </w:t>
      </w:r>
      <w:r w:rsidR="00BA7077">
        <w:rPr>
          <w:szCs w:val="24"/>
          <w:lang w:val="en-GB"/>
        </w:rPr>
        <w:t>This is a new message which is the subject of a Business Justification to be submitted to the ISO 20022 Payments SEG</w:t>
      </w:r>
      <w:r w:rsidR="00BA7077" w:rsidRPr="001B6A94">
        <w:rPr>
          <w:szCs w:val="24"/>
          <w:lang w:val="en-GB"/>
        </w:rPr>
        <w:t>.</w:t>
      </w:r>
    </w:p>
    <w:p w14:paraId="1819C704" w14:textId="77777777" w:rsidR="008D7524" w:rsidRDefault="00C9694D" w:rsidP="00C9694D">
      <w:pPr>
        <w:pStyle w:val="ListParagraph"/>
        <w:numPr>
          <w:ilvl w:val="0"/>
          <w:numId w:val="18"/>
        </w:numPr>
        <w:rPr>
          <w:szCs w:val="24"/>
          <w:lang w:val="en-GB"/>
        </w:rPr>
      </w:pPr>
      <w:r>
        <w:rPr>
          <w:szCs w:val="24"/>
          <w:lang w:val="en-GB"/>
        </w:rPr>
        <w:t>The cover request message (pacs.009)</w:t>
      </w:r>
      <w:r w:rsidR="001D3A17">
        <w:rPr>
          <w:szCs w:val="24"/>
          <w:lang w:val="en-GB"/>
        </w:rPr>
        <w:t>.</w:t>
      </w:r>
    </w:p>
    <w:p w14:paraId="11781F7F" w14:textId="69AA4B4B" w:rsidR="00E413BE" w:rsidRDefault="00E413BE" w:rsidP="008D7524">
      <w:pPr>
        <w:rPr>
          <w:szCs w:val="24"/>
          <w:lang w:val="en-GB"/>
        </w:rPr>
      </w:pPr>
      <w:r>
        <w:rPr>
          <w:szCs w:val="24"/>
          <w:lang w:val="en-GB"/>
        </w:rPr>
        <w:t xml:space="preserve">These elements will </w:t>
      </w:r>
      <w:r w:rsidR="001D7725">
        <w:rPr>
          <w:szCs w:val="24"/>
          <w:lang w:val="en-GB"/>
        </w:rPr>
        <w:t>be defined by</w:t>
      </w:r>
      <w:r w:rsidR="001B4E1F">
        <w:rPr>
          <w:szCs w:val="24"/>
          <w:lang w:val="en-GB"/>
        </w:rPr>
        <w:t xml:space="preserve"> a </w:t>
      </w:r>
      <w:r w:rsidR="00826151">
        <w:rPr>
          <w:szCs w:val="24"/>
          <w:lang w:val="en-GB"/>
        </w:rPr>
        <w:t xml:space="preserve">definition </w:t>
      </w:r>
      <w:r w:rsidR="001B4E1F">
        <w:rPr>
          <w:szCs w:val="24"/>
          <w:lang w:val="en-GB"/>
        </w:rPr>
        <w:t xml:space="preserve">analogous to that used in the existing data dictionary for elements such </w:t>
      </w:r>
      <w:r w:rsidR="00233B0E">
        <w:rPr>
          <w:szCs w:val="24"/>
          <w:lang w:val="en-GB"/>
        </w:rPr>
        <w:t xml:space="preserve">as </w:t>
      </w:r>
      <w:r w:rsidR="00D42450" w:rsidRPr="00D42450">
        <w:rPr>
          <w:i/>
          <w:iCs/>
          <w:szCs w:val="24"/>
          <w:lang w:val="en-GB"/>
        </w:rPr>
        <w:t>Frequency36Choice</w:t>
      </w:r>
      <w:r w:rsidR="00454474">
        <w:rPr>
          <w:szCs w:val="24"/>
          <w:lang w:val="en-GB"/>
        </w:rPr>
        <w:t>, where the creator of the message can choose between different formats for a</w:t>
      </w:r>
      <w:r w:rsidR="001F1F91">
        <w:rPr>
          <w:szCs w:val="24"/>
          <w:lang w:val="en-GB"/>
        </w:rPr>
        <w:t xml:space="preserve"> frequency</w:t>
      </w:r>
      <w:r w:rsidR="00DA0B54">
        <w:rPr>
          <w:szCs w:val="24"/>
          <w:lang w:val="en-GB"/>
        </w:rPr>
        <w:t xml:space="preserve"> of payment. In this case, we will allow the creator of the message</w:t>
      </w:r>
      <w:r w:rsidR="00A032B1">
        <w:rPr>
          <w:szCs w:val="24"/>
          <w:lang w:val="en-GB"/>
        </w:rPr>
        <w:t xml:space="preserve"> </w:t>
      </w:r>
      <w:r w:rsidR="008A2EB8">
        <w:rPr>
          <w:szCs w:val="24"/>
          <w:lang w:val="en-GB"/>
        </w:rPr>
        <w:t>to choose between different types of cryptographic lock.</w:t>
      </w:r>
    </w:p>
    <w:p w14:paraId="74DF9BBF" w14:textId="05FBC770" w:rsidR="00963122" w:rsidRDefault="00963122" w:rsidP="008D7524">
      <w:pPr>
        <w:rPr>
          <w:szCs w:val="24"/>
          <w:lang w:val="en-GB"/>
        </w:rPr>
      </w:pPr>
      <w:r>
        <w:rPr>
          <w:szCs w:val="24"/>
          <w:lang w:val="en-GB"/>
        </w:rPr>
        <w:lastRenderedPageBreak/>
        <w:t>The following types of cryptographic lock will be supported in the first instance</w:t>
      </w:r>
      <w:r w:rsidR="0019493E">
        <w:rPr>
          <w:szCs w:val="24"/>
          <w:lang w:val="en-GB"/>
        </w:rPr>
        <w:t>:</w:t>
      </w:r>
    </w:p>
    <w:p w14:paraId="640799B4" w14:textId="719DF148" w:rsidR="0019493E" w:rsidRDefault="0019493E" w:rsidP="0019493E">
      <w:pPr>
        <w:pStyle w:val="ListParagraph"/>
        <w:numPr>
          <w:ilvl w:val="0"/>
          <w:numId w:val="19"/>
        </w:numPr>
        <w:rPr>
          <w:szCs w:val="24"/>
          <w:lang w:val="en-GB"/>
        </w:rPr>
      </w:pPr>
      <w:r>
        <w:rPr>
          <w:szCs w:val="24"/>
          <w:lang w:val="en-GB"/>
        </w:rPr>
        <w:t xml:space="preserve">An IlpV4Packet. This will be </w:t>
      </w:r>
      <w:r w:rsidR="005224F4">
        <w:rPr>
          <w:szCs w:val="24"/>
          <w:lang w:val="en-GB"/>
        </w:rPr>
        <w:t xml:space="preserve">a representation of the </w:t>
      </w:r>
      <w:r w:rsidR="00A012B4">
        <w:rPr>
          <w:szCs w:val="24"/>
          <w:lang w:val="en-GB"/>
        </w:rPr>
        <w:t xml:space="preserve">data element of an ILP v4 packet, as described </w:t>
      </w:r>
      <w:hyperlink r:id="rId10" w:history="1">
        <w:r w:rsidR="00A012B4" w:rsidRPr="000A6604">
          <w:rPr>
            <w:rStyle w:val="Hyperlink"/>
            <w:szCs w:val="24"/>
            <w:lang w:val="en-GB"/>
          </w:rPr>
          <w:t>here</w:t>
        </w:r>
      </w:hyperlink>
      <w:r w:rsidR="00A012B4">
        <w:rPr>
          <w:szCs w:val="24"/>
          <w:lang w:val="en-GB"/>
        </w:rPr>
        <w:t>.</w:t>
      </w:r>
      <w:r w:rsidR="00067D9E">
        <w:rPr>
          <w:szCs w:val="24"/>
          <w:lang w:val="en-GB"/>
        </w:rPr>
        <w:t xml:space="preserve"> This element will be an encoded string of arbitrary length. The most accurate way of representing this element would be the candidate </w:t>
      </w:r>
      <w:r w:rsidR="00B2066C">
        <w:rPr>
          <w:szCs w:val="24"/>
          <w:lang w:val="en-GB"/>
        </w:rPr>
        <w:t xml:space="preserve">data element </w:t>
      </w:r>
      <w:proofErr w:type="spellStart"/>
      <w:r w:rsidR="00B2066C" w:rsidRPr="00B2066C">
        <w:rPr>
          <w:i/>
          <w:iCs/>
          <w:szCs w:val="24"/>
          <w:lang w:val="en-GB"/>
        </w:rPr>
        <w:t>hexBinary</w:t>
      </w:r>
      <w:proofErr w:type="spellEnd"/>
      <w:r w:rsidR="00B2066C">
        <w:rPr>
          <w:szCs w:val="24"/>
          <w:lang w:val="en-GB"/>
        </w:rPr>
        <w:t>.</w:t>
      </w:r>
    </w:p>
    <w:p w14:paraId="17AFD662" w14:textId="0FC1C667" w:rsidR="007E0A66" w:rsidRPr="0019493E" w:rsidRDefault="00351D6A" w:rsidP="0019493E">
      <w:pPr>
        <w:pStyle w:val="ListParagraph"/>
        <w:numPr>
          <w:ilvl w:val="0"/>
          <w:numId w:val="19"/>
        </w:numPr>
        <w:rPr>
          <w:szCs w:val="24"/>
          <w:lang w:val="en-GB"/>
        </w:rPr>
      </w:pPr>
      <w:r>
        <w:rPr>
          <w:szCs w:val="24"/>
          <w:lang w:val="en-GB"/>
        </w:rPr>
        <w:t xml:space="preserve">A SHA-256 signature created using </w:t>
      </w:r>
      <w:r w:rsidR="00D763D0">
        <w:rPr>
          <w:szCs w:val="24"/>
          <w:lang w:val="en-GB"/>
        </w:rPr>
        <w:t>a private key belonging to the entity that sealed the terms of the payment</w:t>
      </w:r>
      <w:r w:rsidR="00067D9E">
        <w:rPr>
          <w:szCs w:val="24"/>
          <w:lang w:val="en-GB"/>
        </w:rPr>
        <w:t>.</w:t>
      </w:r>
      <w:r w:rsidR="00B2066C">
        <w:rPr>
          <w:szCs w:val="24"/>
          <w:lang w:val="en-GB"/>
        </w:rPr>
        <w:t xml:space="preserve"> This</w:t>
      </w:r>
      <w:r w:rsidR="00DE1F10">
        <w:rPr>
          <w:szCs w:val="24"/>
          <w:lang w:val="en-GB"/>
        </w:rPr>
        <w:t xml:space="preserve"> signature</w:t>
      </w:r>
      <w:r w:rsidR="00B2066C">
        <w:rPr>
          <w:szCs w:val="24"/>
          <w:lang w:val="en-GB"/>
        </w:rPr>
        <w:t xml:space="preserve"> will have a fixed length of 32 </w:t>
      </w:r>
      <w:proofErr w:type="gramStart"/>
      <w:r w:rsidR="00B2066C">
        <w:rPr>
          <w:szCs w:val="24"/>
          <w:lang w:val="en-GB"/>
        </w:rPr>
        <w:t>bytes</w:t>
      </w:r>
      <w:r w:rsidR="00DE1F10">
        <w:rPr>
          <w:szCs w:val="24"/>
          <w:lang w:val="en-GB"/>
        </w:rPr>
        <w:t>, and</w:t>
      </w:r>
      <w:proofErr w:type="gramEnd"/>
      <w:r w:rsidR="00DE1F10">
        <w:rPr>
          <w:szCs w:val="24"/>
          <w:lang w:val="en-GB"/>
        </w:rPr>
        <w:t xml:space="preserve"> will be represented as a hexadecimal string</w:t>
      </w:r>
      <w:r w:rsidR="00B2066C">
        <w:rPr>
          <w:szCs w:val="24"/>
          <w:lang w:val="en-GB"/>
        </w:rPr>
        <w:t xml:space="preserve">. The existing </w:t>
      </w:r>
      <w:r w:rsidR="00CD4719">
        <w:rPr>
          <w:szCs w:val="24"/>
          <w:lang w:val="en-GB"/>
        </w:rPr>
        <w:t>data elements which represent hexadecimal encodings of binary strings (e.g. Max32HexBinaryText) are not suitable for this purpose since they</w:t>
      </w:r>
      <w:r w:rsidR="00311D53">
        <w:rPr>
          <w:szCs w:val="24"/>
          <w:lang w:val="en-GB"/>
        </w:rPr>
        <w:t xml:space="preserve"> support strings of any length up to a maximum. We therefore propose a new data type</w:t>
      </w:r>
      <w:r w:rsidR="00DE1F10">
        <w:rPr>
          <w:szCs w:val="24"/>
          <w:lang w:val="en-GB"/>
        </w:rPr>
        <w:t xml:space="preserve">, whose name will be Exact32HexBinaryText. It will be calqued on the existing </w:t>
      </w:r>
      <w:proofErr w:type="gramStart"/>
      <w:r w:rsidR="00DE1F10">
        <w:rPr>
          <w:szCs w:val="24"/>
          <w:lang w:val="en-GB"/>
        </w:rPr>
        <w:t>Exact1HexBinaryText, and</w:t>
      </w:r>
      <w:proofErr w:type="gramEnd"/>
      <w:r w:rsidR="00DE1F10">
        <w:rPr>
          <w:szCs w:val="24"/>
          <w:lang w:val="en-GB"/>
        </w:rPr>
        <w:t xml:space="preserve"> is described in more detail below.</w:t>
      </w:r>
    </w:p>
    <w:p w14:paraId="187170EA" w14:textId="57FC1EA6" w:rsidR="00B9206C" w:rsidRDefault="00B9206C" w:rsidP="008D7524">
      <w:pPr>
        <w:rPr>
          <w:szCs w:val="24"/>
          <w:lang w:val="en-GB"/>
        </w:rPr>
      </w:pPr>
      <w:r>
        <w:rPr>
          <w:szCs w:val="24"/>
          <w:lang w:val="en-GB"/>
        </w:rPr>
        <w:t>The definition of the proposed new Exact32HexBinaryText data element in MDR format will be as follows:</w:t>
      </w:r>
    </w:p>
    <w:p w14:paraId="5F526E82" w14:textId="1421ED17" w:rsidR="007D2D2A" w:rsidRPr="009C691F" w:rsidRDefault="007D2D2A" w:rsidP="007D2D2A">
      <w:pPr>
        <w:rPr>
          <w:b/>
          <w:bCs/>
          <w:i/>
          <w:iCs/>
          <w:szCs w:val="24"/>
          <w:lang w:val="en-GB"/>
        </w:rPr>
      </w:pPr>
      <w:r w:rsidRPr="009C691F">
        <w:rPr>
          <w:b/>
          <w:bCs/>
          <w:i/>
          <w:iCs/>
          <w:szCs w:val="24"/>
          <w:lang w:val="en-GB"/>
        </w:rPr>
        <w:t>Exact32HexBinaryText</w:t>
      </w:r>
    </w:p>
    <w:p w14:paraId="06DD7466" w14:textId="7656DD60" w:rsidR="005B5661" w:rsidRPr="009C691F" w:rsidRDefault="007D2D2A" w:rsidP="005B5661">
      <w:pPr>
        <w:rPr>
          <w:i/>
          <w:iCs/>
          <w:szCs w:val="24"/>
          <w:lang w:val="en-GB"/>
        </w:rPr>
      </w:pPr>
      <w:r w:rsidRPr="009C691F">
        <w:rPr>
          <w:i/>
          <w:iCs/>
          <w:szCs w:val="24"/>
          <w:lang w:val="en-GB"/>
        </w:rPr>
        <w:t xml:space="preserve">Definition: </w:t>
      </w:r>
      <w:r w:rsidR="005B5661" w:rsidRPr="009C691F">
        <w:rPr>
          <w:i/>
          <w:iCs/>
          <w:szCs w:val="24"/>
          <w:lang w:val="en-GB"/>
        </w:rPr>
        <w:t>Specifies a character string with an exact length of 32 binary bytes (64 hexadecimal text characters).</w:t>
      </w:r>
    </w:p>
    <w:p w14:paraId="78664D03" w14:textId="7E8F24C3" w:rsidR="007D2D2A" w:rsidRPr="009C691F" w:rsidRDefault="005B5661" w:rsidP="005B5661">
      <w:pPr>
        <w:rPr>
          <w:i/>
          <w:iCs/>
          <w:szCs w:val="24"/>
          <w:lang w:val="en-GB"/>
        </w:rPr>
      </w:pPr>
      <w:r w:rsidRPr="009C691F">
        <w:rPr>
          <w:i/>
          <w:iCs/>
          <w:szCs w:val="24"/>
          <w:lang w:val="en-GB"/>
        </w:rPr>
        <w:t>Used for hex binary data only, supports only characters A-F and 0-9.</w:t>
      </w:r>
    </w:p>
    <w:p w14:paraId="07A5597D" w14:textId="77777777" w:rsidR="007D2D2A" w:rsidRPr="009C691F" w:rsidRDefault="007D2D2A" w:rsidP="007D2D2A">
      <w:pPr>
        <w:rPr>
          <w:i/>
          <w:iCs/>
          <w:szCs w:val="24"/>
          <w:lang w:val="en-GB"/>
        </w:rPr>
      </w:pPr>
      <w:r w:rsidRPr="009C691F">
        <w:rPr>
          <w:i/>
          <w:iCs/>
          <w:szCs w:val="24"/>
          <w:lang w:val="en-GB"/>
        </w:rPr>
        <w:t>Type: Text</w:t>
      </w:r>
    </w:p>
    <w:p w14:paraId="1B952035" w14:textId="77777777" w:rsidR="007D2D2A" w:rsidRPr="009C691F" w:rsidRDefault="007D2D2A" w:rsidP="007D2D2A">
      <w:pPr>
        <w:rPr>
          <w:i/>
          <w:iCs/>
          <w:szCs w:val="24"/>
          <w:lang w:val="en-GB"/>
        </w:rPr>
      </w:pPr>
      <w:r w:rsidRPr="009C691F">
        <w:rPr>
          <w:i/>
          <w:iCs/>
          <w:szCs w:val="24"/>
          <w:lang w:val="en-GB"/>
        </w:rPr>
        <w:t>Format</w:t>
      </w:r>
    </w:p>
    <w:p w14:paraId="2ADE38B8" w14:textId="73703E9C" w:rsidR="00B9206C" w:rsidRPr="009C691F" w:rsidRDefault="007D2D2A" w:rsidP="007D2D2A">
      <w:pPr>
        <w:rPr>
          <w:i/>
          <w:iCs/>
          <w:szCs w:val="24"/>
          <w:lang w:val="en-GB"/>
        </w:rPr>
      </w:pPr>
      <w:r w:rsidRPr="009C691F">
        <w:rPr>
          <w:i/>
          <w:iCs/>
          <w:szCs w:val="24"/>
          <w:lang w:val="en-GB"/>
        </w:rPr>
        <w:t>pattern</w:t>
      </w:r>
      <w:r w:rsidRPr="009C691F">
        <w:rPr>
          <w:i/>
          <w:iCs/>
          <w:szCs w:val="24"/>
          <w:lang w:val="en-GB"/>
        </w:rPr>
        <w:tab/>
      </w:r>
      <w:r w:rsidR="00BD0A55" w:rsidRPr="009C691F">
        <w:rPr>
          <w:i/>
          <w:iCs/>
          <w:szCs w:val="24"/>
          <w:lang w:val="en-GB"/>
        </w:rPr>
        <w:t>([0-9A-</w:t>
      </w:r>
      <w:proofErr w:type="gramStart"/>
      <w:r w:rsidR="00BD0A55" w:rsidRPr="009C691F">
        <w:rPr>
          <w:i/>
          <w:iCs/>
          <w:szCs w:val="24"/>
          <w:lang w:val="en-GB"/>
        </w:rPr>
        <w:t>F][</w:t>
      </w:r>
      <w:proofErr w:type="gramEnd"/>
      <w:r w:rsidR="00BD0A55" w:rsidRPr="009C691F">
        <w:rPr>
          <w:i/>
          <w:iCs/>
          <w:szCs w:val="24"/>
          <w:lang w:val="en-GB"/>
        </w:rPr>
        <w:t>0-9A-F]){32}</w:t>
      </w:r>
    </w:p>
    <w:p w14:paraId="3808988C" w14:textId="77777777" w:rsidR="007D2D2A" w:rsidRDefault="007D2D2A" w:rsidP="007D2D2A">
      <w:pPr>
        <w:rPr>
          <w:szCs w:val="24"/>
          <w:lang w:val="en-GB"/>
        </w:rPr>
      </w:pPr>
    </w:p>
    <w:p w14:paraId="7BF3E05B" w14:textId="45176359" w:rsidR="001D7725" w:rsidRDefault="003C1837" w:rsidP="008D7524">
      <w:pPr>
        <w:rPr>
          <w:szCs w:val="24"/>
          <w:lang w:val="en-GB"/>
        </w:rPr>
      </w:pPr>
      <w:r>
        <w:rPr>
          <w:szCs w:val="24"/>
          <w:lang w:val="en-GB"/>
        </w:rPr>
        <w:t xml:space="preserve">The name of the proposed </w:t>
      </w:r>
      <w:r w:rsidR="00684EF3">
        <w:rPr>
          <w:szCs w:val="24"/>
          <w:lang w:val="en-GB"/>
        </w:rPr>
        <w:t>data type</w:t>
      </w:r>
      <w:r>
        <w:rPr>
          <w:szCs w:val="24"/>
          <w:lang w:val="en-GB"/>
        </w:rPr>
        <w:t xml:space="preserve"> will be </w:t>
      </w:r>
      <w:proofErr w:type="spellStart"/>
      <w:r w:rsidR="00490A4E" w:rsidRPr="00490A4E">
        <w:rPr>
          <w:i/>
          <w:iCs/>
          <w:szCs w:val="24"/>
          <w:lang w:val="en-GB"/>
        </w:rPr>
        <w:t>CryptographicLockChoice</w:t>
      </w:r>
      <w:proofErr w:type="spellEnd"/>
      <w:r w:rsidR="00490A4E">
        <w:rPr>
          <w:szCs w:val="24"/>
          <w:lang w:val="en-GB"/>
        </w:rPr>
        <w:t xml:space="preserve">. </w:t>
      </w:r>
      <w:r w:rsidR="00DE1F10">
        <w:rPr>
          <w:szCs w:val="24"/>
          <w:lang w:val="en-GB"/>
        </w:rPr>
        <w:t>The definition of the proposed new data type in MDR format will be:</w:t>
      </w:r>
    </w:p>
    <w:p w14:paraId="63449BD3" w14:textId="2EC0C50F" w:rsidR="00490A4E" w:rsidRPr="00490A4E" w:rsidRDefault="00490A4E" w:rsidP="008D7524">
      <w:pPr>
        <w:rPr>
          <w:b/>
          <w:bCs/>
          <w:szCs w:val="24"/>
          <w:lang w:val="en-GB"/>
        </w:rPr>
      </w:pPr>
      <w:proofErr w:type="spellStart"/>
      <w:r w:rsidRPr="00490A4E">
        <w:rPr>
          <w:b/>
          <w:bCs/>
          <w:szCs w:val="24"/>
          <w:lang w:val="en-GB"/>
        </w:rPr>
        <w:t>CryptographicLockChoice</w:t>
      </w:r>
      <w:proofErr w:type="spellEnd"/>
    </w:p>
    <w:p w14:paraId="657F1853" w14:textId="10C99648" w:rsidR="00093871" w:rsidRPr="004A7E5D" w:rsidRDefault="00093871" w:rsidP="008D7524">
      <w:pPr>
        <w:rPr>
          <w:i/>
          <w:iCs/>
          <w:szCs w:val="24"/>
          <w:lang w:val="en-GB"/>
        </w:rPr>
      </w:pPr>
      <w:r w:rsidRPr="00093871">
        <w:rPr>
          <w:i/>
          <w:iCs/>
          <w:szCs w:val="24"/>
          <w:lang w:val="en-GB"/>
        </w:rPr>
        <w:t>Definition</w:t>
      </w:r>
      <w:r>
        <w:rPr>
          <w:szCs w:val="24"/>
          <w:lang w:val="en-GB"/>
        </w:rPr>
        <w:t>: choice of format for a cryptographic lock which ensures that a payment execution request can only be executed on the terms previously agreed.</w:t>
      </w:r>
    </w:p>
    <w:p w14:paraId="2F86110B" w14:textId="77777777" w:rsidR="00197BB6" w:rsidRPr="008D7524" w:rsidRDefault="00C9694D" w:rsidP="008D7524">
      <w:pPr>
        <w:rPr>
          <w:szCs w:val="24"/>
          <w:lang w:val="en-GB"/>
        </w:rPr>
      </w:pPr>
      <w:r w:rsidRPr="008D7524">
        <w:rPr>
          <w:szCs w:val="24"/>
          <w:lang w:val="en-GB"/>
        </w:rPr>
        <w:t>.</w:t>
      </w:r>
    </w:p>
    <w:tbl>
      <w:tblPr>
        <w:tblW w:w="8368" w:type="dxa"/>
        <w:tblInd w:w="8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572"/>
        <w:gridCol w:w="3118"/>
        <w:gridCol w:w="851"/>
        <w:gridCol w:w="2126"/>
        <w:gridCol w:w="851"/>
        <w:gridCol w:w="850"/>
      </w:tblGrid>
      <w:tr w:rsidR="00197BB6" w14:paraId="090D8F12" w14:textId="77777777" w:rsidTr="008E25B3">
        <w:trPr>
          <w:trHeight w:val="559"/>
        </w:trPr>
        <w:tc>
          <w:tcPr>
            <w:tcW w:w="572" w:type="dxa"/>
            <w:shd w:val="clear" w:color="auto" w:fill="E9E9E9"/>
          </w:tcPr>
          <w:p w14:paraId="454890A9" w14:textId="77777777" w:rsidR="00197BB6" w:rsidRDefault="00197BB6" w:rsidP="0010298F">
            <w:pPr>
              <w:pStyle w:val="TableParagraph"/>
              <w:ind w:right="143"/>
              <w:jc w:val="right"/>
              <w:rPr>
                <w:b/>
                <w:sz w:val="18"/>
              </w:rPr>
            </w:pPr>
            <w:r>
              <w:rPr>
                <w:b/>
                <w:spacing w:val="-5"/>
                <w:sz w:val="18"/>
              </w:rPr>
              <w:t>Or</w:t>
            </w:r>
          </w:p>
        </w:tc>
        <w:tc>
          <w:tcPr>
            <w:tcW w:w="3118" w:type="dxa"/>
            <w:shd w:val="clear" w:color="auto" w:fill="E9E9E9"/>
          </w:tcPr>
          <w:p w14:paraId="0BE2900B" w14:textId="77777777" w:rsidR="00197BB6" w:rsidRDefault="00197BB6" w:rsidP="008E25B3">
            <w:pPr>
              <w:pStyle w:val="TableParagraph"/>
              <w:spacing w:before="0"/>
              <w:jc w:val="center"/>
              <w:rPr>
                <w:b/>
                <w:i/>
                <w:sz w:val="18"/>
              </w:rPr>
            </w:pPr>
            <w:proofErr w:type="spellStart"/>
            <w:r>
              <w:rPr>
                <w:b/>
                <w:sz w:val="18"/>
              </w:rPr>
              <w:t>MessageElement</w:t>
            </w:r>
            <w:proofErr w:type="spellEnd"/>
            <w:r>
              <w:rPr>
                <w:b/>
                <w:i/>
                <w:sz w:val="18"/>
              </w:rPr>
              <w:t xml:space="preserve">&lt;XML </w:t>
            </w:r>
            <w:r>
              <w:rPr>
                <w:b/>
                <w:i/>
                <w:spacing w:val="-4"/>
                <w:sz w:val="18"/>
              </w:rPr>
              <w:t>Tag&gt;</w:t>
            </w:r>
          </w:p>
        </w:tc>
        <w:tc>
          <w:tcPr>
            <w:tcW w:w="851" w:type="dxa"/>
            <w:shd w:val="clear" w:color="auto" w:fill="E9E9E9"/>
          </w:tcPr>
          <w:p w14:paraId="0DBCB803" w14:textId="77777777" w:rsidR="00197BB6" w:rsidRDefault="00197BB6" w:rsidP="0010298F">
            <w:pPr>
              <w:pStyle w:val="TableParagraph"/>
              <w:ind w:left="214"/>
              <w:rPr>
                <w:b/>
                <w:sz w:val="18"/>
              </w:rPr>
            </w:pPr>
            <w:r>
              <w:rPr>
                <w:b/>
                <w:spacing w:val="-2"/>
                <w:sz w:val="18"/>
              </w:rPr>
              <w:t>Mult.</w:t>
            </w:r>
          </w:p>
        </w:tc>
        <w:tc>
          <w:tcPr>
            <w:tcW w:w="2126" w:type="dxa"/>
            <w:shd w:val="clear" w:color="auto" w:fill="E9E9E9"/>
          </w:tcPr>
          <w:p w14:paraId="1BEBFF8B" w14:textId="77777777" w:rsidR="00197BB6" w:rsidRDefault="00197BB6" w:rsidP="0010298F">
            <w:pPr>
              <w:pStyle w:val="TableParagraph"/>
              <w:ind w:left="6" w:right="1"/>
              <w:jc w:val="center"/>
              <w:rPr>
                <w:b/>
                <w:sz w:val="18"/>
              </w:rPr>
            </w:pPr>
            <w:r>
              <w:rPr>
                <w:b/>
                <w:spacing w:val="-4"/>
                <w:sz w:val="18"/>
              </w:rPr>
              <w:t>Type</w:t>
            </w:r>
          </w:p>
        </w:tc>
        <w:tc>
          <w:tcPr>
            <w:tcW w:w="851" w:type="dxa"/>
            <w:shd w:val="clear" w:color="auto" w:fill="E9E9E9"/>
          </w:tcPr>
          <w:p w14:paraId="47B730AB" w14:textId="77777777" w:rsidR="00197BB6" w:rsidRDefault="00197BB6" w:rsidP="0010298F">
            <w:pPr>
              <w:pStyle w:val="TableParagraph"/>
              <w:spacing w:before="67" w:line="232" w:lineRule="auto"/>
              <w:ind w:left="281" w:right="99" w:hanging="171"/>
              <w:rPr>
                <w:b/>
                <w:sz w:val="18"/>
              </w:rPr>
            </w:pPr>
            <w:r>
              <w:rPr>
                <w:b/>
                <w:spacing w:val="-2"/>
                <w:sz w:val="18"/>
              </w:rPr>
              <w:t xml:space="preserve">Constr. </w:t>
            </w:r>
            <w:r>
              <w:rPr>
                <w:b/>
                <w:spacing w:val="-4"/>
                <w:sz w:val="18"/>
              </w:rPr>
              <w:t>No.</w:t>
            </w:r>
          </w:p>
        </w:tc>
        <w:tc>
          <w:tcPr>
            <w:tcW w:w="850" w:type="dxa"/>
            <w:shd w:val="clear" w:color="auto" w:fill="E9E9E9"/>
          </w:tcPr>
          <w:p w14:paraId="59D2DA4D" w14:textId="77777777" w:rsidR="00197BB6" w:rsidRDefault="00197BB6" w:rsidP="0010298F">
            <w:pPr>
              <w:pStyle w:val="TableParagraph"/>
              <w:ind w:left="126"/>
              <w:rPr>
                <w:b/>
                <w:sz w:val="18"/>
              </w:rPr>
            </w:pPr>
            <w:r>
              <w:rPr>
                <w:b/>
                <w:spacing w:val="-4"/>
                <w:sz w:val="18"/>
              </w:rPr>
              <w:t>Page</w:t>
            </w:r>
          </w:p>
        </w:tc>
      </w:tr>
      <w:tr w:rsidR="00197BB6" w14:paraId="1DC5DC64" w14:textId="77777777" w:rsidTr="008E25B3">
        <w:trPr>
          <w:trHeight w:val="399"/>
        </w:trPr>
        <w:tc>
          <w:tcPr>
            <w:tcW w:w="572" w:type="dxa"/>
          </w:tcPr>
          <w:p w14:paraId="683669DF" w14:textId="77777777" w:rsidR="00197BB6" w:rsidRDefault="00197BB6" w:rsidP="0010298F">
            <w:pPr>
              <w:pStyle w:val="TableParagraph"/>
              <w:ind w:right="181"/>
              <w:jc w:val="right"/>
              <w:rPr>
                <w:sz w:val="18"/>
              </w:rPr>
            </w:pPr>
            <w:r>
              <w:rPr>
                <w:spacing w:val="-5"/>
                <w:sz w:val="18"/>
              </w:rPr>
              <w:t>{Or</w:t>
            </w:r>
          </w:p>
        </w:tc>
        <w:tc>
          <w:tcPr>
            <w:tcW w:w="3118" w:type="dxa"/>
          </w:tcPr>
          <w:p w14:paraId="0A888308" w14:textId="22DF30B3" w:rsidR="00197BB6" w:rsidRDefault="001F1B10" w:rsidP="0010298F">
            <w:pPr>
              <w:pStyle w:val="TableParagraph"/>
              <w:ind w:left="161"/>
              <w:rPr>
                <w:i/>
                <w:sz w:val="18"/>
              </w:rPr>
            </w:pPr>
            <w:hyperlink w:anchor="_bookmark2601" w:history="1">
              <w:r w:rsidR="00551D13">
                <w:rPr>
                  <w:sz w:val="18"/>
                </w:rPr>
                <w:t>IlpV4PreparePacket</w:t>
              </w:r>
            </w:hyperlink>
            <w:r w:rsidR="00197BB6">
              <w:rPr>
                <w:spacing w:val="-3"/>
                <w:sz w:val="18"/>
              </w:rPr>
              <w:t xml:space="preserve"> </w:t>
            </w:r>
            <w:r w:rsidR="00197BB6">
              <w:rPr>
                <w:i/>
                <w:spacing w:val="-4"/>
                <w:sz w:val="18"/>
              </w:rPr>
              <w:t>&lt;</w:t>
            </w:r>
            <w:r w:rsidR="004E73CE">
              <w:rPr>
                <w:i/>
                <w:spacing w:val="-4"/>
                <w:sz w:val="18"/>
              </w:rPr>
              <w:t>Ilpv4PrprPkt</w:t>
            </w:r>
            <w:r w:rsidR="00197BB6">
              <w:rPr>
                <w:i/>
                <w:spacing w:val="-4"/>
                <w:sz w:val="18"/>
              </w:rPr>
              <w:t>&gt;</w:t>
            </w:r>
          </w:p>
        </w:tc>
        <w:tc>
          <w:tcPr>
            <w:tcW w:w="851" w:type="dxa"/>
          </w:tcPr>
          <w:p w14:paraId="3217766A" w14:textId="77777777" w:rsidR="00197BB6" w:rsidRDefault="00197BB6" w:rsidP="0010298F">
            <w:pPr>
              <w:pStyle w:val="TableParagraph"/>
              <w:ind w:left="61"/>
              <w:rPr>
                <w:sz w:val="18"/>
              </w:rPr>
            </w:pPr>
            <w:r>
              <w:rPr>
                <w:spacing w:val="-2"/>
                <w:sz w:val="18"/>
              </w:rPr>
              <w:t>[</w:t>
            </w:r>
            <w:proofErr w:type="gramStart"/>
            <w:r>
              <w:rPr>
                <w:spacing w:val="-2"/>
                <w:sz w:val="18"/>
              </w:rPr>
              <w:t>1..</w:t>
            </w:r>
            <w:proofErr w:type="gramEnd"/>
            <w:r>
              <w:rPr>
                <w:spacing w:val="-2"/>
                <w:sz w:val="18"/>
              </w:rPr>
              <w:t>1]</w:t>
            </w:r>
          </w:p>
        </w:tc>
        <w:tc>
          <w:tcPr>
            <w:tcW w:w="2126" w:type="dxa"/>
          </w:tcPr>
          <w:p w14:paraId="4926964D" w14:textId="4FFC9A21" w:rsidR="00197BB6" w:rsidRDefault="004E73CE" w:rsidP="0010298F">
            <w:pPr>
              <w:pStyle w:val="TableParagraph"/>
              <w:ind w:left="61"/>
              <w:rPr>
                <w:sz w:val="18"/>
              </w:rPr>
            </w:pPr>
            <w:proofErr w:type="spellStart"/>
            <w:r>
              <w:rPr>
                <w:spacing w:val="-2"/>
                <w:sz w:val="18"/>
              </w:rPr>
              <w:t>HexBinary</w:t>
            </w:r>
            <w:proofErr w:type="spellEnd"/>
          </w:p>
        </w:tc>
        <w:tc>
          <w:tcPr>
            <w:tcW w:w="851" w:type="dxa"/>
          </w:tcPr>
          <w:p w14:paraId="6860E0FC" w14:textId="77777777" w:rsidR="00197BB6" w:rsidRDefault="00197BB6" w:rsidP="0010298F">
            <w:pPr>
              <w:pStyle w:val="TableParagraph"/>
              <w:spacing w:before="0"/>
              <w:rPr>
                <w:rFonts w:ascii="Times New Roman"/>
                <w:sz w:val="18"/>
              </w:rPr>
            </w:pPr>
          </w:p>
        </w:tc>
        <w:tc>
          <w:tcPr>
            <w:tcW w:w="850" w:type="dxa"/>
          </w:tcPr>
          <w:p w14:paraId="67A41BA8" w14:textId="50C07925" w:rsidR="00197BB6" w:rsidRDefault="00197BB6" w:rsidP="0010298F">
            <w:pPr>
              <w:pStyle w:val="TableParagraph"/>
              <w:spacing w:before="82"/>
              <w:ind w:left="63"/>
              <w:rPr>
                <w:sz w:val="18"/>
              </w:rPr>
            </w:pPr>
          </w:p>
        </w:tc>
      </w:tr>
      <w:tr w:rsidR="00197BB6" w14:paraId="2E400699" w14:textId="77777777" w:rsidTr="008E25B3">
        <w:trPr>
          <w:trHeight w:val="399"/>
        </w:trPr>
        <w:tc>
          <w:tcPr>
            <w:tcW w:w="572" w:type="dxa"/>
          </w:tcPr>
          <w:p w14:paraId="1CF48AF1" w14:textId="77777777" w:rsidR="00197BB6" w:rsidRDefault="00197BB6" w:rsidP="0010298F">
            <w:pPr>
              <w:pStyle w:val="TableParagraph"/>
              <w:ind w:right="181"/>
              <w:jc w:val="right"/>
              <w:rPr>
                <w:sz w:val="18"/>
              </w:rPr>
            </w:pPr>
            <w:r>
              <w:rPr>
                <w:spacing w:val="-5"/>
                <w:sz w:val="18"/>
              </w:rPr>
              <w:t>Or}</w:t>
            </w:r>
          </w:p>
        </w:tc>
        <w:tc>
          <w:tcPr>
            <w:tcW w:w="3118" w:type="dxa"/>
          </w:tcPr>
          <w:p w14:paraId="6C8307EE" w14:textId="2FF3B89D" w:rsidR="00197BB6" w:rsidRDefault="001F1B10" w:rsidP="0010298F">
            <w:pPr>
              <w:pStyle w:val="TableParagraph"/>
              <w:ind w:left="161"/>
              <w:rPr>
                <w:i/>
                <w:sz w:val="18"/>
              </w:rPr>
            </w:pPr>
            <w:hyperlink w:anchor="_bookmark2605" w:history="1">
              <w:r w:rsidR="004E73CE">
                <w:rPr>
                  <w:sz w:val="18"/>
                </w:rPr>
                <w:t>Sha256Signature</w:t>
              </w:r>
            </w:hyperlink>
            <w:r w:rsidR="00197BB6">
              <w:rPr>
                <w:spacing w:val="-10"/>
                <w:sz w:val="18"/>
              </w:rPr>
              <w:t xml:space="preserve"> </w:t>
            </w:r>
            <w:r w:rsidR="004E73CE">
              <w:rPr>
                <w:i/>
                <w:spacing w:val="-2"/>
                <w:sz w:val="18"/>
              </w:rPr>
              <w:t>&lt;</w:t>
            </w:r>
            <w:r w:rsidR="002E0393">
              <w:rPr>
                <w:i/>
                <w:spacing w:val="-2"/>
                <w:sz w:val="18"/>
              </w:rPr>
              <w:t>Sh256S</w:t>
            </w:r>
            <w:r w:rsidR="00197BB6">
              <w:rPr>
                <w:i/>
                <w:spacing w:val="-2"/>
                <w:sz w:val="18"/>
              </w:rPr>
              <w:t>&gt;</w:t>
            </w:r>
          </w:p>
        </w:tc>
        <w:tc>
          <w:tcPr>
            <w:tcW w:w="851" w:type="dxa"/>
          </w:tcPr>
          <w:p w14:paraId="79D42121" w14:textId="77777777" w:rsidR="00197BB6" w:rsidRDefault="00197BB6" w:rsidP="0010298F">
            <w:pPr>
              <w:pStyle w:val="TableParagraph"/>
              <w:ind w:left="61"/>
              <w:rPr>
                <w:sz w:val="18"/>
              </w:rPr>
            </w:pPr>
            <w:r>
              <w:rPr>
                <w:spacing w:val="-2"/>
                <w:sz w:val="18"/>
              </w:rPr>
              <w:t>[</w:t>
            </w:r>
            <w:proofErr w:type="gramStart"/>
            <w:r>
              <w:rPr>
                <w:spacing w:val="-2"/>
                <w:sz w:val="18"/>
              </w:rPr>
              <w:t>1..</w:t>
            </w:r>
            <w:proofErr w:type="gramEnd"/>
            <w:r>
              <w:rPr>
                <w:spacing w:val="-2"/>
                <w:sz w:val="18"/>
              </w:rPr>
              <w:t>1]</w:t>
            </w:r>
          </w:p>
        </w:tc>
        <w:tc>
          <w:tcPr>
            <w:tcW w:w="2126" w:type="dxa"/>
          </w:tcPr>
          <w:p w14:paraId="5A07EFF0" w14:textId="77777777" w:rsidR="00197BB6" w:rsidRDefault="00197BB6" w:rsidP="0010298F">
            <w:pPr>
              <w:pStyle w:val="TableParagraph"/>
              <w:spacing w:before="10"/>
              <w:rPr>
                <w:sz w:val="6"/>
              </w:rPr>
            </w:pPr>
          </w:p>
          <w:p w14:paraId="7D8CBB40" w14:textId="67977862" w:rsidR="00197BB6" w:rsidRDefault="002E0393" w:rsidP="0010298F">
            <w:pPr>
              <w:pStyle w:val="TableParagraph"/>
              <w:spacing w:before="0" w:line="200" w:lineRule="exact"/>
              <w:ind w:left="82"/>
              <w:rPr>
                <w:sz w:val="20"/>
              </w:rPr>
            </w:pPr>
            <w:r w:rsidRPr="002E0393">
              <w:rPr>
                <w:noProof/>
                <w:position w:val="-3"/>
                <w:sz w:val="18"/>
                <w:szCs w:val="20"/>
              </w:rPr>
              <w:t>Exact32HexBinaryText</w:t>
            </w:r>
          </w:p>
        </w:tc>
        <w:tc>
          <w:tcPr>
            <w:tcW w:w="851" w:type="dxa"/>
          </w:tcPr>
          <w:p w14:paraId="1AF88A20" w14:textId="77777777" w:rsidR="00197BB6" w:rsidRDefault="00197BB6" w:rsidP="0010298F">
            <w:pPr>
              <w:pStyle w:val="TableParagraph"/>
              <w:spacing w:before="0"/>
              <w:rPr>
                <w:rFonts w:ascii="Times New Roman"/>
                <w:sz w:val="18"/>
              </w:rPr>
            </w:pPr>
          </w:p>
        </w:tc>
        <w:tc>
          <w:tcPr>
            <w:tcW w:w="850" w:type="dxa"/>
          </w:tcPr>
          <w:p w14:paraId="4BD7BB7A" w14:textId="03D03F8E" w:rsidR="00197BB6" w:rsidRDefault="00197BB6" w:rsidP="0010298F">
            <w:pPr>
              <w:pStyle w:val="TableParagraph"/>
              <w:spacing w:before="82"/>
              <w:ind w:left="63"/>
              <w:rPr>
                <w:sz w:val="18"/>
              </w:rPr>
            </w:pPr>
          </w:p>
        </w:tc>
      </w:tr>
    </w:tbl>
    <w:p w14:paraId="3EBE8E04" w14:textId="709F6F84" w:rsidR="00C9694D" w:rsidRPr="008D7524" w:rsidRDefault="00C9694D" w:rsidP="008D7524">
      <w:pPr>
        <w:rPr>
          <w:szCs w:val="24"/>
          <w:lang w:val="en-GB"/>
        </w:rPr>
      </w:pPr>
    </w:p>
    <w:p w14:paraId="41294612" w14:textId="6D0C84DF" w:rsidR="00783891" w:rsidRDefault="00AA5E76" w:rsidP="00C656B1">
      <w:pPr>
        <w:numPr>
          <w:ilvl w:val="0"/>
          <w:numId w:val="6"/>
        </w:numPr>
        <w:rPr>
          <w:b/>
          <w:szCs w:val="24"/>
          <w:lang w:val="en-GB"/>
        </w:rPr>
      </w:pPr>
      <w:r>
        <w:rPr>
          <w:b/>
          <w:szCs w:val="24"/>
          <w:lang w:val="en-GB"/>
        </w:rPr>
        <w:t>Urgency of the request</w:t>
      </w:r>
      <w:r w:rsidR="00783891">
        <w:rPr>
          <w:b/>
          <w:szCs w:val="24"/>
          <w:lang w:val="en-GB"/>
        </w:rPr>
        <w:t>:</w:t>
      </w:r>
    </w:p>
    <w:p w14:paraId="0F66B6D9" w14:textId="43515BAC" w:rsidR="000E2894" w:rsidRDefault="000E2894" w:rsidP="000E2894">
      <w:pPr>
        <w:rPr>
          <w:lang w:val="en-GB"/>
        </w:rPr>
      </w:pPr>
      <w:r>
        <w:rPr>
          <w:lang w:val="en-GB"/>
        </w:rPr>
        <w:t>It is proposed to include this change request in the next regular maintenance cycle.</w:t>
      </w:r>
    </w:p>
    <w:p w14:paraId="2336A5F6" w14:textId="028984FE" w:rsidR="001F1B10" w:rsidRDefault="001F1B10" w:rsidP="000E2894">
      <w:pPr>
        <w:rPr>
          <w:lang w:val="en-GB"/>
        </w:rPr>
      </w:pPr>
    </w:p>
    <w:p w14:paraId="70BFC7B5" w14:textId="77777777" w:rsidR="001F1B10" w:rsidRDefault="001F1B10" w:rsidP="000E2894">
      <w:pPr>
        <w:rPr>
          <w:lang w:val="en-GB"/>
        </w:rPr>
      </w:pPr>
    </w:p>
    <w:p w14:paraId="151459B7" w14:textId="3A5EF3C3" w:rsidR="00C41DDB" w:rsidRPr="00E8579D" w:rsidRDefault="00C41DDB" w:rsidP="00C41DDB">
      <w:pPr>
        <w:numPr>
          <w:ilvl w:val="0"/>
          <w:numId w:val="6"/>
        </w:numPr>
        <w:rPr>
          <w:b/>
          <w:lang w:val="en-GB"/>
        </w:rPr>
      </w:pPr>
      <w:r>
        <w:rPr>
          <w:b/>
          <w:lang w:val="en-GB"/>
        </w:rPr>
        <w:lastRenderedPageBreak/>
        <w:t>SEG</w:t>
      </w:r>
      <w:r w:rsidR="005A1AA5">
        <w:rPr>
          <w:b/>
          <w:lang w:val="en-GB"/>
        </w:rPr>
        <w:t>/TSG</w:t>
      </w:r>
      <w:r>
        <w:rPr>
          <w:b/>
          <w:lang w:val="en-GB"/>
        </w:rPr>
        <w:t xml:space="preserve"> recommendation:</w:t>
      </w:r>
    </w:p>
    <w:p w14:paraId="48C278DA" w14:textId="77777777" w:rsidR="00C41DDB" w:rsidRDefault="00C41DDB" w:rsidP="00C41DDB">
      <w:pPr>
        <w:rPr>
          <w:i/>
          <w:szCs w:val="24"/>
          <w:lang w:val="en-GB"/>
        </w:rPr>
      </w:pPr>
      <w:r w:rsidRPr="00C46C5A">
        <w:rPr>
          <w:i/>
          <w:szCs w:val="24"/>
          <w:lang w:val="en-GB"/>
        </w:rPr>
        <w:t>T</w:t>
      </w:r>
      <w:r>
        <w:rPr>
          <w:i/>
          <w:szCs w:val="24"/>
          <w:lang w:val="en-GB"/>
        </w:rPr>
        <w:t>his section is not to be taken care of by the submitter of the change request. It will be completed in due time by the SEG(s) in charge of the related ISO 20022</w:t>
      </w:r>
      <w:r w:rsidRPr="00C46C5A">
        <w:rPr>
          <w:i/>
          <w:szCs w:val="24"/>
          <w:lang w:val="en-GB"/>
        </w:rPr>
        <w:t xml:space="preserve"> messages</w:t>
      </w:r>
      <w:r w:rsidR="005A1AA5">
        <w:rPr>
          <w:i/>
          <w:szCs w:val="24"/>
          <w:lang w:val="en-GB"/>
        </w:rPr>
        <w:t xml:space="preserve"> or the TSG for changes related to the BAH</w:t>
      </w:r>
      <w:r>
        <w:rPr>
          <w:i/>
          <w:szCs w:val="24"/>
          <w:lang w:val="en-GB"/>
        </w:rPr>
        <w:t xml:space="preserve">. </w:t>
      </w:r>
    </w:p>
    <w:p w14:paraId="67A325F3" w14:textId="77777777" w:rsidR="00C40729" w:rsidRDefault="00C40729" w:rsidP="00C41DDB">
      <w:pPr>
        <w:rPr>
          <w:i/>
          <w:szCs w:val="24"/>
          <w:lang w:val="en-GB"/>
        </w:rPr>
      </w:pPr>
    </w:p>
    <w:tbl>
      <w:tblPr>
        <w:tblW w:w="9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59"/>
        <w:gridCol w:w="183"/>
        <w:gridCol w:w="567"/>
        <w:gridCol w:w="1701"/>
        <w:gridCol w:w="4253"/>
        <w:gridCol w:w="425"/>
        <w:gridCol w:w="945"/>
      </w:tblGrid>
      <w:tr w:rsidR="00C40729" w:rsidRPr="006D7FF8" w14:paraId="6F91BEF4" w14:textId="77777777" w:rsidTr="00130EB9">
        <w:trPr>
          <w:gridAfter w:val="3"/>
          <w:wAfter w:w="5623" w:type="dxa"/>
        </w:trPr>
        <w:tc>
          <w:tcPr>
            <w:tcW w:w="1242" w:type="dxa"/>
            <w:gridSpan w:val="2"/>
          </w:tcPr>
          <w:p w14:paraId="78F3C48C" w14:textId="77777777" w:rsidR="00C40729" w:rsidRPr="00E3221E" w:rsidRDefault="00C40729" w:rsidP="0025138E">
            <w:pPr>
              <w:rPr>
                <w:b/>
                <w:szCs w:val="24"/>
                <w:lang w:val="en-GB"/>
              </w:rPr>
            </w:pPr>
            <w:r w:rsidRPr="00E3221E">
              <w:rPr>
                <w:b/>
                <w:szCs w:val="24"/>
                <w:lang w:val="en-GB"/>
              </w:rPr>
              <w:t>Consider</w:t>
            </w:r>
          </w:p>
        </w:tc>
        <w:tc>
          <w:tcPr>
            <w:tcW w:w="567" w:type="dxa"/>
          </w:tcPr>
          <w:p w14:paraId="3AC836EE" w14:textId="77777777" w:rsidR="00C40729" w:rsidRPr="00AD7CD5" w:rsidRDefault="00C40729" w:rsidP="0025138E">
            <w:pPr>
              <w:rPr>
                <w:color w:val="FF0000"/>
                <w:szCs w:val="24"/>
                <w:lang w:val="en-GB"/>
              </w:rPr>
            </w:pPr>
          </w:p>
        </w:tc>
        <w:tc>
          <w:tcPr>
            <w:tcW w:w="1701" w:type="dxa"/>
            <w:tcBorders>
              <w:top w:val="single" w:sz="4" w:space="0" w:color="auto"/>
              <w:right w:val="single" w:sz="4" w:space="0" w:color="auto"/>
            </w:tcBorders>
          </w:tcPr>
          <w:p w14:paraId="2DF01CE8" w14:textId="77777777" w:rsidR="00C40729" w:rsidRPr="00E3221E" w:rsidRDefault="00C40729" w:rsidP="0025138E">
            <w:pPr>
              <w:rPr>
                <w:b/>
                <w:szCs w:val="24"/>
                <w:lang w:val="en-GB"/>
              </w:rPr>
            </w:pPr>
            <w:r w:rsidRPr="00E3221E">
              <w:rPr>
                <w:b/>
                <w:szCs w:val="24"/>
                <w:lang w:val="en-GB"/>
              </w:rPr>
              <w:t>Timing</w:t>
            </w:r>
          </w:p>
        </w:tc>
      </w:tr>
      <w:tr w:rsidR="00130EB9" w:rsidRPr="006D7FF8" w14:paraId="579C36D9" w14:textId="77777777" w:rsidTr="00130EB9">
        <w:trPr>
          <w:gridBefore w:val="1"/>
          <w:gridAfter w:val="1"/>
          <w:wBefore w:w="1059" w:type="dxa"/>
          <w:wAfter w:w="945" w:type="dxa"/>
          <w:trHeight w:val="501"/>
        </w:trPr>
        <w:tc>
          <w:tcPr>
            <w:tcW w:w="750" w:type="dxa"/>
            <w:gridSpan w:val="2"/>
            <w:tcBorders>
              <w:left w:val="nil"/>
              <w:bottom w:val="nil"/>
            </w:tcBorders>
          </w:tcPr>
          <w:p w14:paraId="45578C34" w14:textId="77777777" w:rsidR="00130EB9" w:rsidRDefault="00130EB9" w:rsidP="0025138E">
            <w:pPr>
              <w:rPr>
                <w:szCs w:val="24"/>
                <w:lang w:val="en-GB"/>
              </w:rPr>
            </w:pPr>
          </w:p>
        </w:tc>
        <w:tc>
          <w:tcPr>
            <w:tcW w:w="5954" w:type="dxa"/>
            <w:gridSpan w:val="2"/>
          </w:tcPr>
          <w:p w14:paraId="4AAA8094" w14:textId="3F678B78" w:rsidR="00130EB9" w:rsidRDefault="00130EB9" w:rsidP="0025138E">
            <w:pPr>
              <w:spacing w:before="0"/>
              <w:rPr>
                <w:szCs w:val="24"/>
                <w:lang w:val="en-GB"/>
              </w:rPr>
            </w:pPr>
            <w:r>
              <w:rPr>
                <w:szCs w:val="24"/>
                <w:lang w:val="en-GB"/>
              </w:rPr>
              <w:t xml:space="preserve">- </w:t>
            </w:r>
            <w:r w:rsidRPr="00E3221E">
              <w:rPr>
                <w:b/>
                <w:szCs w:val="24"/>
                <w:lang w:val="en-GB"/>
              </w:rPr>
              <w:t>Next yearly cycle</w:t>
            </w:r>
            <w:r w:rsidR="00B43BED">
              <w:rPr>
                <w:b/>
                <w:szCs w:val="24"/>
                <w:lang w:val="en-GB"/>
              </w:rPr>
              <w:t>: 202</w:t>
            </w:r>
            <w:r w:rsidR="00D73E09">
              <w:rPr>
                <w:b/>
                <w:szCs w:val="24"/>
                <w:lang w:val="en-GB"/>
              </w:rPr>
              <w:t>4</w:t>
            </w:r>
            <w:r>
              <w:rPr>
                <w:b/>
                <w:szCs w:val="24"/>
                <w:lang w:val="en-GB"/>
              </w:rPr>
              <w:t>/20</w:t>
            </w:r>
            <w:r w:rsidR="00B43BED">
              <w:rPr>
                <w:b/>
                <w:szCs w:val="24"/>
                <w:lang w:val="en-GB"/>
              </w:rPr>
              <w:t>2</w:t>
            </w:r>
            <w:r w:rsidR="00D73E09">
              <w:rPr>
                <w:b/>
                <w:szCs w:val="24"/>
                <w:lang w:val="en-GB"/>
              </w:rPr>
              <w:t>5</w:t>
            </w:r>
          </w:p>
          <w:p w14:paraId="0A1397DE" w14:textId="52B35A77" w:rsidR="00130EB9" w:rsidRPr="006D7FF8" w:rsidRDefault="00130EB9" w:rsidP="00C7056E">
            <w:pPr>
              <w:spacing w:before="0"/>
              <w:rPr>
                <w:szCs w:val="24"/>
                <w:lang w:val="en-GB"/>
              </w:rPr>
            </w:pPr>
            <w:r>
              <w:rPr>
                <w:szCs w:val="24"/>
                <w:lang w:val="en-GB"/>
              </w:rPr>
              <w:t>(the change will be considered for implementation in the yearly maintenance cycle which starts in 20</w:t>
            </w:r>
            <w:r w:rsidR="00C7056E">
              <w:rPr>
                <w:szCs w:val="24"/>
                <w:lang w:val="en-GB"/>
              </w:rPr>
              <w:t>2</w:t>
            </w:r>
            <w:r w:rsidR="00D73E09">
              <w:rPr>
                <w:szCs w:val="24"/>
                <w:lang w:val="en-GB"/>
              </w:rPr>
              <w:t>4</w:t>
            </w:r>
            <w:r>
              <w:rPr>
                <w:szCs w:val="24"/>
                <w:lang w:val="en-GB"/>
              </w:rPr>
              <w:t xml:space="preserve"> and completes with the publication of new messag</w:t>
            </w:r>
            <w:r w:rsidR="00EB6791">
              <w:rPr>
                <w:szCs w:val="24"/>
                <w:lang w:val="en-GB"/>
              </w:rPr>
              <w:t>e versions in the spring of 20</w:t>
            </w:r>
            <w:r w:rsidR="00C7056E">
              <w:rPr>
                <w:szCs w:val="24"/>
                <w:lang w:val="en-GB"/>
              </w:rPr>
              <w:t>2</w:t>
            </w:r>
            <w:r w:rsidR="00D73E09">
              <w:rPr>
                <w:szCs w:val="24"/>
                <w:lang w:val="en-GB"/>
              </w:rPr>
              <w:t>5</w:t>
            </w:r>
            <w:r>
              <w:rPr>
                <w:szCs w:val="24"/>
                <w:lang w:val="en-GB"/>
              </w:rPr>
              <w:t>)</w:t>
            </w:r>
          </w:p>
        </w:tc>
        <w:tc>
          <w:tcPr>
            <w:tcW w:w="425" w:type="dxa"/>
            <w:tcBorders>
              <w:bottom w:val="single" w:sz="4" w:space="0" w:color="auto"/>
            </w:tcBorders>
          </w:tcPr>
          <w:p w14:paraId="2CB5DAEB" w14:textId="77777777" w:rsidR="00130EB9" w:rsidRPr="00AD7CD5" w:rsidRDefault="00130EB9" w:rsidP="0025138E">
            <w:pPr>
              <w:spacing w:before="0"/>
              <w:jc w:val="both"/>
              <w:rPr>
                <w:color w:val="FF0000"/>
                <w:szCs w:val="24"/>
                <w:lang w:val="en-GB"/>
              </w:rPr>
            </w:pPr>
          </w:p>
        </w:tc>
      </w:tr>
      <w:tr w:rsidR="00C40729" w:rsidRPr="006D7FF8" w14:paraId="752CB695" w14:textId="77777777" w:rsidTr="00130EB9">
        <w:trPr>
          <w:gridBefore w:val="1"/>
          <w:gridAfter w:val="1"/>
          <w:wBefore w:w="1059" w:type="dxa"/>
          <w:wAfter w:w="945" w:type="dxa"/>
          <w:trHeight w:val="501"/>
        </w:trPr>
        <w:tc>
          <w:tcPr>
            <w:tcW w:w="750" w:type="dxa"/>
            <w:gridSpan w:val="2"/>
            <w:tcBorders>
              <w:top w:val="nil"/>
              <w:left w:val="nil"/>
              <w:bottom w:val="nil"/>
            </w:tcBorders>
          </w:tcPr>
          <w:p w14:paraId="1EF0F5A1" w14:textId="77777777" w:rsidR="00C40729" w:rsidRDefault="00C40729" w:rsidP="0025138E">
            <w:pPr>
              <w:spacing w:before="0"/>
              <w:rPr>
                <w:szCs w:val="24"/>
                <w:lang w:val="en-GB"/>
              </w:rPr>
            </w:pPr>
          </w:p>
        </w:tc>
        <w:tc>
          <w:tcPr>
            <w:tcW w:w="5954" w:type="dxa"/>
            <w:gridSpan w:val="2"/>
          </w:tcPr>
          <w:p w14:paraId="1D0BF051" w14:textId="77777777" w:rsidR="00C40729" w:rsidRDefault="00C40729" w:rsidP="0025138E">
            <w:pPr>
              <w:spacing w:before="0"/>
              <w:jc w:val="both"/>
              <w:rPr>
                <w:szCs w:val="24"/>
                <w:lang w:val="en-GB"/>
              </w:rPr>
            </w:pPr>
            <w:r>
              <w:rPr>
                <w:szCs w:val="24"/>
                <w:lang w:val="en-GB"/>
              </w:rPr>
              <w:t xml:space="preserve">- </w:t>
            </w:r>
            <w:r w:rsidRPr="00E3221E">
              <w:rPr>
                <w:b/>
                <w:szCs w:val="24"/>
                <w:lang w:val="en-GB"/>
              </w:rPr>
              <w:t>At the occasion of the next maintenance of the messages</w:t>
            </w:r>
          </w:p>
          <w:p w14:paraId="6E0F0A32" w14:textId="77777777" w:rsidR="00C40729" w:rsidRDefault="00C40729" w:rsidP="0025138E">
            <w:pPr>
              <w:spacing w:before="0"/>
              <w:rPr>
                <w:szCs w:val="24"/>
                <w:lang w:val="en-GB"/>
              </w:rPr>
            </w:pPr>
            <w:r>
              <w:rPr>
                <w:szCs w:val="24"/>
                <w:lang w:val="en-GB"/>
              </w:rPr>
              <w:t>(the change will be considered for implementation, but does not justify maintenance of the messages in its own right – will be pending until more critical change requests are received for the messages)</w:t>
            </w:r>
          </w:p>
        </w:tc>
        <w:tc>
          <w:tcPr>
            <w:tcW w:w="425" w:type="dxa"/>
          </w:tcPr>
          <w:p w14:paraId="520717E6" w14:textId="77777777" w:rsidR="00C40729" w:rsidRPr="00AD7CD5" w:rsidRDefault="00C40729" w:rsidP="0025138E">
            <w:pPr>
              <w:spacing w:before="0"/>
              <w:jc w:val="center"/>
              <w:rPr>
                <w:color w:val="FF0000"/>
                <w:szCs w:val="24"/>
                <w:lang w:val="en-GB"/>
              </w:rPr>
            </w:pPr>
          </w:p>
        </w:tc>
      </w:tr>
      <w:tr w:rsidR="00C40729" w:rsidRPr="006D7FF8" w14:paraId="428F85A2" w14:textId="77777777" w:rsidTr="00130EB9">
        <w:trPr>
          <w:gridBefore w:val="1"/>
          <w:wBefore w:w="1059" w:type="dxa"/>
          <w:trHeight w:val="511"/>
        </w:trPr>
        <w:tc>
          <w:tcPr>
            <w:tcW w:w="750" w:type="dxa"/>
            <w:gridSpan w:val="2"/>
            <w:tcBorders>
              <w:top w:val="nil"/>
              <w:left w:val="nil"/>
              <w:bottom w:val="nil"/>
            </w:tcBorders>
          </w:tcPr>
          <w:p w14:paraId="4F655EC6" w14:textId="77777777" w:rsidR="00C40729" w:rsidRDefault="00C40729" w:rsidP="0025138E">
            <w:pPr>
              <w:spacing w:before="0"/>
              <w:rPr>
                <w:szCs w:val="24"/>
                <w:lang w:val="en-GB"/>
              </w:rPr>
            </w:pPr>
          </w:p>
        </w:tc>
        <w:tc>
          <w:tcPr>
            <w:tcW w:w="5954" w:type="dxa"/>
            <w:gridSpan w:val="2"/>
          </w:tcPr>
          <w:p w14:paraId="7EF1BA73" w14:textId="77777777" w:rsidR="00C40729" w:rsidRDefault="00C40729" w:rsidP="0025138E">
            <w:pPr>
              <w:spacing w:before="0"/>
              <w:jc w:val="both"/>
              <w:rPr>
                <w:szCs w:val="24"/>
                <w:lang w:val="en-GB"/>
              </w:rPr>
            </w:pPr>
            <w:r>
              <w:rPr>
                <w:szCs w:val="24"/>
                <w:lang w:val="en-GB"/>
              </w:rPr>
              <w:t xml:space="preserve">- </w:t>
            </w:r>
            <w:r w:rsidRPr="00E3221E">
              <w:rPr>
                <w:b/>
                <w:szCs w:val="24"/>
                <w:lang w:val="en-GB"/>
              </w:rPr>
              <w:t>Urgent unscheduled</w:t>
            </w:r>
          </w:p>
          <w:p w14:paraId="1A8ADCE5" w14:textId="77777777" w:rsidR="00C40729" w:rsidRDefault="00C40729" w:rsidP="0025138E">
            <w:pPr>
              <w:spacing w:before="0"/>
              <w:rPr>
                <w:szCs w:val="24"/>
                <w:lang w:val="en-GB"/>
              </w:rPr>
            </w:pPr>
            <w:r>
              <w:rPr>
                <w:szCs w:val="24"/>
                <w:lang w:val="en-GB"/>
              </w:rPr>
              <w:t>(the change justifies an urgent implementation outside of the normal yearly cycle)</w:t>
            </w:r>
          </w:p>
        </w:tc>
        <w:tc>
          <w:tcPr>
            <w:tcW w:w="425" w:type="dxa"/>
          </w:tcPr>
          <w:p w14:paraId="5C48EE45" w14:textId="77777777" w:rsidR="00C40729" w:rsidRPr="00AD7CD5" w:rsidRDefault="00C40729" w:rsidP="0025138E">
            <w:pPr>
              <w:jc w:val="center"/>
              <w:rPr>
                <w:color w:val="FF0000"/>
                <w:szCs w:val="24"/>
                <w:lang w:val="en-GB"/>
              </w:rPr>
            </w:pPr>
          </w:p>
        </w:tc>
        <w:tc>
          <w:tcPr>
            <w:tcW w:w="945" w:type="dxa"/>
            <w:tcBorders>
              <w:top w:val="nil"/>
              <w:bottom w:val="nil"/>
              <w:right w:val="nil"/>
            </w:tcBorders>
          </w:tcPr>
          <w:p w14:paraId="74E9A5EE" w14:textId="77777777" w:rsidR="00C40729" w:rsidRDefault="00C40729" w:rsidP="0025138E">
            <w:pPr>
              <w:ind w:left="360"/>
              <w:jc w:val="both"/>
              <w:rPr>
                <w:szCs w:val="24"/>
                <w:lang w:val="en-GB"/>
              </w:rPr>
            </w:pPr>
          </w:p>
        </w:tc>
      </w:tr>
      <w:tr w:rsidR="00C40729" w:rsidRPr="006D7FF8" w14:paraId="4B5ECA22" w14:textId="77777777" w:rsidTr="00130EB9">
        <w:trPr>
          <w:gridBefore w:val="1"/>
          <w:wBefore w:w="1059" w:type="dxa"/>
          <w:trHeight w:val="511"/>
        </w:trPr>
        <w:tc>
          <w:tcPr>
            <w:tcW w:w="750" w:type="dxa"/>
            <w:gridSpan w:val="2"/>
            <w:tcBorders>
              <w:top w:val="nil"/>
              <w:left w:val="nil"/>
              <w:bottom w:val="nil"/>
            </w:tcBorders>
          </w:tcPr>
          <w:p w14:paraId="17068087" w14:textId="77777777" w:rsidR="00C40729" w:rsidRDefault="00C40729" w:rsidP="0025138E">
            <w:pPr>
              <w:spacing w:before="0"/>
              <w:rPr>
                <w:szCs w:val="24"/>
                <w:lang w:val="en-GB"/>
              </w:rPr>
            </w:pPr>
          </w:p>
        </w:tc>
        <w:tc>
          <w:tcPr>
            <w:tcW w:w="6379" w:type="dxa"/>
            <w:gridSpan w:val="3"/>
          </w:tcPr>
          <w:p w14:paraId="6F7D8B5D" w14:textId="77777777" w:rsidR="00C40729" w:rsidRPr="00AD7CD5" w:rsidRDefault="00C40729" w:rsidP="0025138E">
            <w:pPr>
              <w:rPr>
                <w:color w:val="FF0000"/>
                <w:szCs w:val="24"/>
                <w:lang w:val="en-GB"/>
              </w:rPr>
            </w:pPr>
            <w:r>
              <w:rPr>
                <w:szCs w:val="24"/>
                <w:lang w:val="en-GB"/>
              </w:rPr>
              <w:t xml:space="preserve">- </w:t>
            </w:r>
            <w:r>
              <w:rPr>
                <w:b/>
                <w:szCs w:val="24"/>
                <w:lang w:val="en-GB"/>
              </w:rPr>
              <w:t>Other timing:</w:t>
            </w:r>
          </w:p>
        </w:tc>
        <w:tc>
          <w:tcPr>
            <w:tcW w:w="945" w:type="dxa"/>
            <w:tcBorders>
              <w:top w:val="nil"/>
              <w:bottom w:val="nil"/>
              <w:right w:val="nil"/>
            </w:tcBorders>
          </w:tcPr>
          <w:p w14:paraId="3E586433" w14:textId="77777777" w:rsidR="00C40729" w:rsidRDefault="00C40729" w:rsidP="0025138E">
            <w:pPr>
              <w:ind w:left="360"/>
              <w:jc w:val="both"/>
              <w:rPr>
                <w:szCs w:val="24"/>
                <w:lang w:val="en-GB"/>
              </w:rPr>
            </w:pPr>
          </w:p>
          <w:p w14:paraId="6008C447" w14:textId="77777777" w:rsidR="00C40729" w:rsidRDefault="00C40729" w:rsidP="0025138E">
            <w:pPr>
              <w:ind w:left="360"/>
              <w:jc w:val="both"/>
              <w:rPr>
                <w:szCs w:val="24"/>
                <w:lang w:val="en-GB"/>
              </w:rPr>
            </w:pPr>
          </w:p>
        </w:tc>
      </w:tr>
    </w:tbl>
    <w:p w14:paraId="0E7D5B3D" w14:textId="77777777" w:rsidR="00C41DDB" w:rsidRDefault="00C41DDB" w:rsidP="00567F13">
      <w:pPr>
        <w:rPr>
          <w:szCs w:val="24"/>
          <w:lang w:val="en-GB"/>
        </w:rPr>
      </w:pPr>
      <w:r>
        <w:rPr>
          <w:szCs w:val="24"/>
          <w:lang w:val="en-GB"/>
        </w:rPr>
        <w:t>Comments:</w:t>
      </w:r>
    </w:p>
    <w:p w14:paraId="7A21E150" w14:textId="77777777" w:rsidR="00C41DDB" w:rsidRDefault="00C41DDB" w:rsidP="00C41DDB">
      <w:pPr>
        <w:rPr>
          <w:szCs w:val="24"/>
          <w:lang w:val="en-GB"/>
        </w:rPr>
      </w:pPr>
    </w:p>
    <w:p w14:paraId="00CDB613" w14:textId="77777777" w:rsidR="00B307A7" w:rsidRDefault="00B307A7" w:rsidP="00C41DDB">
      <w:pPr>
        <w:rPr>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567"/>
      </w:tblGrid>
      <w:tr w:rsidR="00C41DDB" w:rsidRPr="00AD7CD5" w14:paraId="7F57E900" w14:textId="77777777" w:rsidTr="00C40729">
        <w:tc>
          <w:tcPr>
            <w:tcW w:w="1242" w:type="dxa"/>
          </w:tcPr>
          <w:p w14:paraId="6ECE9BB1" w14:textId="77777777" w:rsidR="00C41DDB" w:rsidRPr="00E3221E" w:rsidRDefault="00C41DDB" w:rsidP="00C41DDB">
            <w:pPr>
              <w:rPr>
                <w:b/>
                <w:szCs w:val="24"/>
                <w:lang w:val="en-GB"/>
              </w:rPr>
            </w:pPr>
            <w:r w:rsidRPr="00E3221E">
              <w:rPr>
                <w:b/>
                <w:szCs w:val="24"/>
                <w:lang w:val="en-GB"/>
              </w:rPr>
              <w:t>Reject</w:t>
            </w:r>
          </w:p>
        </w:tc>
        <w:tc>
          <w:tcPr>
            <w:tcW w:w="567" w:type="dxa"/>
          </w:tcPr>
          <w:p w14:paraId="0737B643" w14:textId="77777777" w:rsidR="00C41DDB" w:rsidRPr="00AD7CD5" w:rsidRDefault="00C41DDB" w:rsidP="00C41DDB">
            <w:pPr>
              <w:rPr>
                <w:color w:val="FF0000"/>
                <w:szCs w:val="24"/>
                <w:lang w:val="en-GB"/>
              </w:rPr>
            </w:pPr>
          </w:p>
        </w:tc>
      </w:tr>
    </w:tbl>
    <w:p w14:paraId="764CD912" w14:textId="085D56E2" w:rsidR="001F1B10" w:rsidRPr="001F1B10" w:rsidRDefault="00C41DDB" w:rsidP="001F1B10">
      <w:pPr>
        <w:rPr>
          <w:szCs w:val="24"/>
          <w:lang w:val="en-GB"/>
        </w:rPr>
      </w:pPr>
      <w:r w:rsidRPr="00567F13">
        <w:rPr>
          <w:szCs w:val="24"/>
          <w:lang w:val="en-GB"/>
        </w:rPr>
        <w:t>Reason for rejection:</w:t>
      </w:r>
    </w:p>
    <w:p w14:paraId="495B9B34" w14:textId="5A5DE797" w:rsidR="001F1B10" w:rsidRPr="001F1B10" w:rsidRDefault="001F1B10" w:rsidP="001F1B10">
      <w:pPr>
        <w:rPr>
          <w:szCs w:val="24"/>
          <w:lang w:val="en-GB"/>
        </w:rPr>
      </w:pPr>
    </w:p>
    <w:p w14:paraId="5F8A738E" w14:textId="5D7FF769" w:rsidR="001F1B10" w:rsidRPr="001F1B10" w:rsidRDefault="001F1B10" w:rsidP="001F1B10">
      <w:pPr>
        <w:rPr>
          <w:szCs w:val="24"/>
          <w:lang w:val="en-GB"/>
        </w:rPr>
      </w:pPr>
    </w:p>
    <w:p w14:paraId="11435568" w14:textId="5F303D96" w:rsidR="001F1B10" w:rsidRPr="001F1B10" w:rsidRDefault="001F1B10" w:rsidP="001F1B10">
      <w:pPr>
        <w:rPr>
          <w:szCs w:val="24"/>
          <w:lang w:val="en-GB"/>
        </w:rPr>
      </w:pPr>
    </w:p>
    <w:p w14:paraId="58B79648" w14:textId="160D2C7D" w:rsidR="001F1B10" w:rsidRPr="001F1B10" w:rsidRDefault="001F1B10" w:rsidP="001F1B10">
      <w:pPr>
        <w:rPr>
          <w:szCs w:val="24"/>
          <w:lang w:val="en-GB"/>
        </w:rPr>
      </w:pPr>
    </w:p>
    <w:p w14:paraId="12707335" w14:textId="7F0069C7" w:rsidR="001F1B10" w:rsidRPr="001F1B10" w:rsidRDefault="001F1B10" w:rsidP="001F1B10">
      <w:pPr>
        <w:rPr>
          <w:szCs w:val="24"/>
          <w:lang w:val="en-GB"/>
        </w:rPr>
      </w:pPr>
    </w:p>
    <w:p w14:paraId="4DE6F9F8" w14:textId="3110708B" w:rsidR="001F1B10" w:rsidRPr="001F1B10" w:rsidRDefault="001F1B10" w:rsidP="001F1B10">
      <w:pPr>
        <w:rPr>
          <w:szCs w:val="24"/>
          <w:lang w:val="en-GB"/>
        </w:rPr>
      </w:pPr>
    </w:p>
    <w:p w14:paraId="5EBA48FB" w14:textId="2B8E9FC6" w:rsidR="001F1B10" w:rsidRPr="001F1B10" w:rsidRDefault="001F1B10" w:rsidP="001F1B10">
      <w:pPr>
        <w:rPr>
          <w:szCs w:val="24"/>
          <w:lang w:val="en-GB"/>
        </w:rPr>
      </w:pPr>
    </w:p>
    <w:p w14:paraId="19943990" w14:textId="6670F97D" w:rsidR="001F1B10" w:rsidRPr="001F1B10" w:rsidRDefault="001F1B10" w:rsidP="001F1B10">
      <w:pPr>
        <w:rPr>
          <w:szCs w:val="24"/>
          <w:lang w:val="en-GB"/>
        </w:rPr>
      </w:pPr>
    </w:p>
    <w:p w14:paraId="172028BF" w14:textId="47C7F649" w:rsidR="001F1B10" w:rsidRDefault="001F1B10" w:rsidP="001F1B10">
      <w:pPr>
        <w:rPr>
          <w:szCs w:val="24"/>
          <w:lang w:val="en-GB"/>
        </w:rPr>
      </w:pPr>
    </w:p>
    <w:p w14:paraId="5D40329F" w14:textId="77777777" w:rsidR="001F1B10" w:rsidRPr="001F1B10" w:rsidRDefault="001F1B10" w:rsidP="001F1B10">
      <w:pPr>
        <w:rPr>
          <w:szCs w:val="24"/>
          <w:lang w:val="en-GB"/>
        </w:rPr>
      </w:pPr>
    </w:p>
    <w:sectPr w:rsidR="001F1B10" w:rsidRPr="001F1B10" w:rsidSect="009C54BC">
      <w:headerReference w:type="even" r:id="rId11"/>
      <w:headerReference w:type="default" r:id="rId12"/>
      <w:footerReference w:type="even" r:id="rId13"/>
      <w:footerReference w:type="default" r:id="rId14"/>
      <w:headerReference w:type="first" r:id="rId15"/>
      <w:footerReference w:type="first" r:id="rId16"/>
      <w:pgSz w:w="11909" w:h="16834" w:code="9"/>
      <w:pgMar w:top="1440" w:right="1134" w:bottom="1440" w:left="179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B4649" w14:textId="77777777" w:rsidR="009C54BC" w:rsidRDefault="009C54BC">
      <w:r>
        <w:separator/>
      </w:r>
    </w:p>
  </w:endnote>
  <w:endnote w:type="continuationSeparator" w:id="0">
    <w:p w14:paraId="45F03895" w14:textId="77777777" w:rsidR="009C54BC" w:rsidRDefault="009C5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54EDB" w14:textId="77777777" w:rsidR="004A7E5D" w:rsidRDefault="004A7E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A7DB7" w14:textId="02E2F161" w:rsidR="00567F13" w:rsidRDefault="00C20F22">
    <w:pPr>
      <w:pStyle w:val="Footer"/>
      <w:rPr>
        <w:rStyle w:val="PageNumber"/>
      </w:rPr>
    </w:pPr>
    <w:fldSimple w:instr=" FILENAME   \* MERGEFORMAT ">
      <w:r w:rsidR="001F1B10">
        <w:rPr>
          <w:noProof/>
        </w:rPr>
        <w:t>CR1358_Mojaloop_CryptoLock_DataElement_pacs008_009_v1.docx</w:t>
      </w:r>
    </w:fldSimple>
    <w:r w:rsidR="00505A6B">
      <w:rPr>
        <w:noProof/>
      </w:rPr>
      <w:t xml:space="preserve"> </w:t>
    </w:r>
    <w:r w:rsidR="001F1B10">
      <w:rPr>
        <w:noProof/>
      </w:rPr>
      <w:tab/>
    </w:r>
    <w:r w:rsidR="00567F13">
      <w:tab/>
      <w:t xml:space="preserve">Produced by </w:t>
    </w:r>
    <w:r w:rsidR="008A42DC">
      <w:t>The Mojaloop Foundation</w:t>
    </w:r>
    <w:r w:rsidR="00567F13">
      <w:tab/>
      <w:t xml:space="preserve">Page </w:t>
    </w:r>
    <w:r w:rsidR="00567F13">
      <w:rPr>
        <w:rStyle w:val="PageNumber"/>
      </w:rPr>
      <w:fldChar w:fldCharType="begin"/>
    </w:r>
    <w:r w:rsidR="00567F13">
      <w:rPr>
        <w:rStyle w:val="PageNumber"/>
      </w:rPr>
      <w:instrText xml:space="preserve"> PAGE </w:instrText>
    </w:r>
    <w:r w:rsidR="00567F13">
      <w:rPr>
        <w:rStyle w:val="PageNumber"/>
      </w:rPr>
      <w:fldChar w:fldCharType="separate"/>
    </w:r>
    <w:r w:rsidR="00E840B6">
      <w:rPr>
        <w:rStyle w:val="PageNumber"/>
        <w:noProof/>
      </w:rPr>
      <w:t>3</w:t>
    </w:r>
    <w:r w:rsidR="00567F13">
      <w:rPr>
        <w:rStyle w:val="PageNumber"/>
      </w:rPr>
      <w:fldChar w:fldCharType="end"/>
    </w:r>
  </w:p>
  <w:p w14:paraId="08059087" w14:textId="77777777" w:rsidR="00567F13" w:rsidRDefault="00567F13">
    <w:pPr>
      <w:pStyle w:val="Footer"/>
      <w:rPr>
        <w:rStyle w:val="PageNumber"/>
      </w:rPr>
    </w:pPr>
  </w:p>
  <w:p w14:paraId="5886439D" w14:textId="77777777" w:rsidR="00567F13" w:rsidRDefault="00567F13" w:rsidP="000B65C7">
    <w:pPr>
      <w:pStyle w:val="Footer"/>
      <w:spacing w:befor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06D1" w14:textId="77777777" w:rsidR="004A7E5D" w:rsidRDefault="004A7E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F7EAF" w14:textId="77777777" w:rsidR="009C54BC" w:rsidRDefault="009C54BC">
      <w:r>
        <w:separator/>
      </w:r>
    </w:p>
  </w:footnote>
  <w:footnote w:type="continuationSeparator" w:id="0">
    <w:p w14:paraId="5BD35CE6" w14:textId="77777777" w:rsidR="009C54BC" w:rsidRDefault="009C54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D05F3" w14:textId="77777777" w:rsidR="004A7E5D" w:rsidRDefault="004A7E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75D6D" w14:textId="23190AC2" w:rsidR="00E74C04" w:rsidRPr="00801493" w:rsidRDefault="00801493">
    <w:pPr>
      <w:pStyle w:val="Header"/>
      <w:rPr>
        <w:lang w:val="fr-BE"/>
      </w:rPr>
    </w:pPr>
    <w:r>
      <w:rPr>
        <w:lang w:val="fr-BE"/>
      </w:rPr>
      <w:t>RA ID :</w:t>
    </w:r>
    <w:r w:rsidR="004A7E5D">
      <w:rPr>
        <w:lang w:val="fr-BE"/>
      </w:rPr>
      <w:t xml:space="preserve"> CR1358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BA972" w14:textId="77777777" w:rsidR="004A7E5D" w:rsidRDefault="004A7E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00000000"/>
    <w:lvl w:ilvl="0">
      <w:start w:val="1"/>
      <w:numFmt w:val="bullet"/>
      <w:pStyle w:val="ListBullet2"/>
      <w:lvlText w:val="–"/>
      <w:lvlJc w:val="left"/>
      <w:pPr>
        <w:tabs>
          <w:tab w:val="num" w:pos="360"/>
        </w:tabs>
        <w:ind w:left="360" w:hanging="360"/>
      </w:pPr>
      <w:rPr>
        <w:rFonts w:ascii="Times New Roman" w:hAnsi="Times New Roman" w:hint="default"/>
        <w:b w:val="0"/>
        <w:i w:val="0"/>
        <w:sz w:val="20"/>
      </w:rPr>
    </w:lvl>
  </w:abstractNum>
  <w:abstractNum w:abstractNumId="1" w15:restartNumberingAfterBreak="0">
    <w:nsid w:val="FFFFFF88"/>
    <w:multiLevelType w:val="singleLevel"/>
    <w:tmpl w:val="00000000"/>
    <w:lvl w:ilvl="0">
      <w:start w:val="1"/>
      <w:numFmt w:val="lowerLetter"/>
      <w:pStyle w:val="ListNumber"/>
      <w:lvlText w:val="%1)"/>
      <w:lvlJc w:val="left"/>
      <w:pPr>
        <w:tabs>
          <w:tab w:val="num" w:pos="360"/>
        </w:tabs>
        <w:ind w:left="360" w:hanging="360"/>
      </w:pPr>
    </w:lvl>
  </w:abstractNum>
  <w:abstractNum w:abstractNumId="2" w15:restartNumberingAfterBreak="0">
    <w:nsid w:val="FFFFFF89"/>
    <w:multiLevelType w:val="singleLevel"/>
    <w:tmpl w:val="00000000"/>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D149EC"/>
    <w:multiLevelType w:val="hybridMultilevel"/>
    <w:tmpl w:val="D63E8E1C"/>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7173B14"/>
    <w:multiLevelType w:val="hybridMultilevel"/>
    <w:tmpl w:val="46708A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7847913"/>
    <w:multiLevelType w:val="multilevel"/>
    <w:tmpl w:val="C1E851F8"/>
    <w:lvl w:ilvl="0">
      <w:start w:val="1"/>
      <w:numFmt w:val="upperLetter"/>
      <w:lvlText w:val="%1."/>
      <w:lvlJc w:val="left"/>
      <w:pPr>
        <w:tabs>
          <w:tab w:val="num" w:pos="360"/>
        </w:tabs>
        <w:ind w:left="360" w:hanging="360"/>
      </w:pPr>
      <w:rPr>
        <w:rFonts w:hint="default"/>
        <w:b w:val="0"/>
        <w:i w:val="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15:restartNumberingAfterBreak="0">
    <w:nsid w:val="0C14177E"/>
    <w:multiLevelType w:val="hybridMultilevel"/>
    <w:tmpl w:val="563A4AEA"/>
    <w:lvl w:ilvl="0" w:tplc="8E20DFFC">
      <w:start w:val="15"/>
      <w:numFmt w:val="bullet"/>
      <w:lvlText w:val="-"/>
      <w:lvlJc w:val="left"/>
      <w:pPr>
        <w:ind w:left="720" w:hanging="360"/>
      </w:pPr>
      <w:rPr>
        <w:rFonts w:ascii="Times New Roman" w:eastAsia="Time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9D049A"/>
    <w:multiLevelType w:val="hybridMultilevel"/>
    <w:tmpl w:val="11927AE0"/>
    <w:lvl w:ilvl="0" w:tplc="1CA664CE">
      <w:start w:val="1"/>
      <w:numFmt w:val="upperLetter"/>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5673738"/>
    <w:multiLevelType w:val="hybridMultilevel"/>
    <w:tmpl w:val="24D69E0C"/>
    <w:lvl w:ilvl="0" w:tplc="DBB4496E">
      <w:numFmt w:val="bullet"/>
      <w:lvlText w:val="•"/>
      <w:lvlJc w:val="left"/>
      <w:pPr>
        <w:ind w:left="1080" w:hanging="215"/>
      </w:pPr>
      <w:rPr>
        <w:rFonts w:ascii="Times New Roman" w:eastAsia="Times New Roman" w:hAnsi="Times New Roman" w:cs="Times New Roman" w:hint="default"/>
        <w:b w:val="0"/>
        <w:bCs w:val="0"/>
        <w:i w:val="0"/>
        <w:iCs w:val="0"/>
        <w:spacing w:val="0"/>
        <w:w w:val="100"/>
        <w:sz w:val="20"/>
        <w:szCs w:val="20"/>
        <w:lang w:val="en-US" w:eastAsia="en-US" w:bidi="ar-SA"/>
      </w:rPr>
    </w:lvl>
    <w:lvl w:ilvl="1" w:tplc="506A5422">
      <w:numFmt w:val="bullet"/>
      <w:lvlText w:val="•"/>
      <w:lvlJc w:val="left"/>
      <w:pPr>
        <w:ind w:left="2008" w:hanging="215"/>
      </w:pPr>
      <w:rPr>
        <w:rFonts w:hint="default"/>
        <w:lang w:val="en-US" w:eastAsia="en-US" w:bidi="ar-SA"/>
      </w:rPr>
    </w:lvl>
    <w:lvl w:ilvl="2" w:tplc="3490FBF6">
      <w:numFmt w:val="bullet"/>
      <w:lvlText w:val="•"/>
      <w:lvlJc w:val="left"/>
      <w:pPr>
        <w:ind w:left="2937" w:hanging="215"/>
      </w:pPr>
      <w:rPr>
        <w:rFonts w:hint="default"/>
        <w:lang w:val="en-US" w:eastAsia="en-US" w:bidi="ar-SA"/>
      </w:rPr>
    </w:lvl>
    <w:lvl w:ilvl="3" w:tplc="947CFB90">
      <w:numFmt w:val="bullet"/>
      <w:lvlText w:val="•"/>
      <w:lvlJc w:val="left"/>
      <w:pPr>
        <w:ind w:left="3865" w:hanging="215"/>
      </w:pPr>
      <w:rPr>
        <w:rFonts w:hint="default"/>
        <w:lang w:val="en-US" w:eastAsia="en-US" w:bidi="ar-SA"/>
      </w:rPr>
    </w:lvl>
    <w:lvl w:ilvl="4" w:tplc="79F29BDA">
      <w:numFmt w:val="bullet"/>
      <w:lvlText w:val="•"/>
      <w:lvlJc w:val="left"/>
      <w:pPr>
        <w:ind w:left="4794" w:hanging="215"/>
      </w:pPr>
      <w:rPr>
        <w:rFonts w:hint="default"/>
        <w:lang w:val="en-US" w:eastAsia="en-US" w:bidi="ar-SA"/>
      </w:rPr>
    </w:lvl>
    <w:lvl w:ilvl="5" w:tplc="62887DE2">
      <w:numFmt w:val="bullet"/>
      <w:lvlText w:val="•"/>
      <w:lvlJc w:val="left"/>
      <w:pPr>
        <w:ind w:left="5722" w:hanging="215"/>
      </w:pPr>
      <w:rPr>
        <w:rFonts w:hint="default"/>
        <w:lang w:val="en-US" w:eastAsia="en-US" w:bidi="ar-SA"/>
      </w:rPr>
    </w:lvl>
    <w:lvl w:ilvl="6" w:tplc="E6480E48">
      <w:numFmt w:val="bullet"/>
      <w:lvlText w:val="•"/>
      <w:lvlJc w:val="left"/>
      <w:pPr>
        <w:ind w:left="6651" w:hanging="215"/>
      </w:pPr>
      <w:rPr>
        <w:rFonts w:hint="default"/>
        <w:lang w:val="en-US" w:eastAsia="en-US" w:bidi="ar-SA"/>
      </w:rPr>
    </w:lvl>
    <w:lvl w:ilvl="7" w:tplc="3A62178E">
      <w:numFmt w:val="bullet"/>
      <w:lvlText w:val="•"/>
      <w:lvlJc w:val="left"/>
      <w:pPr>
        <w:ind w:left="7579" w:hanging="215"/>
      </w:pPr>
      <w:rPr>
        <w:rFonts w:hint="default"/>
        <w:lang w:val="en-US" w:eastAsia="en-US" w:bidi="ar-SA"/>
      </w:rPr>
    </w:lvl>
    <w:lvl w:ilvl="8" w:tplc="1D442E1C">
      <w:numFmt w:val="bullet"/>
      <w:lvlText w:val="•"/>
      <w:lvlJc w:val="left"/>
      <w:pPr>
        <w:ind w:left="8508" w:hanging="215"/>
      </w:pPr>
      <w:rPr>
        <w:rFonts w:hint="default"/>
        <w:lang w:val="en-US" w:eastAsia="en-US" w:bidi="ar-SA"/>
      </w:rPr>
    </w:lvl>
  </w:abstractNum>
  <w:abstractNum w:abstractNumId="10" w15:restartNumberingAfterBreak="0">
    <w:nsid w:val="1EE456A3"/>
    <w:multiLevelType w:val="hybridMultilevel"/>
    <w:tmpl w:val="0F22CD18"/>
    <w:lvl w:ilvl="0" w:tplc="1CA664CE">
      <w:start w:val="1"/>
      <w:numFmt w:val="upperLetter"/>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208D0709"/>
    <w:multiLevelType w:val="hybridMultilevel"/>
    <w:tmpl w:val="42063326"/>
    <w:lvl w:ilvl="0" w:tplc="0544821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C77F62"/>
    <w:multiLevelType w:val="hybridMultilevel"/>
    <w:tmpl w:val="F67CAFD4"/>
    <w:lvl w:ilvl="0" w:tplc="EC980158">
      <w:numFmt w:val="bullet"/>
      <w:lvlText w:val="-"/>
      <w:lvlJc w:val="left"/>
      <w:pPr>
        <w:ind w:left="720" w:hanging="360"/>
      </w:pPr>
      <w:rPr>
        <w:rFonts w:ascii="Times New Roman" w:eastAsia="Time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6255C6"/>
    <w:multiLevelType w:val="multilevel"/>
    <w:tmpl w:val="D92C0E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381007D9"/>
    <w:multiLevelType w:val="hybridMultilevel"/>
    <w:tmpl w:val="60FC1188"/>
    <w:lvl w:ilvl="0" w:tplc="49F26078">
      <w:start w:val="15"/>
      <w:numFmt w:val="bullet"/>
      <w:lvlText w:val="-"/>
      <w:lvlJc w:val="left"/>
      <w:pPr>
        <w:ind w:left="360" w:hanging="360"/>
      </w:pPr>
      <w:rPr>
        <w:rFonts w:ascii="Times New Roman" w:eastAsia="Times"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491402B"/>
    <w:multiLevelType w:val="hybridMultilevel"/>
    <w:tmpl w:val="F55A4716"/>
    <w:lvl w:ilvl="0" w:tplc="805005DA">
      <w:start w:val="15"/>
      <w:numFmt w:val="bullet"/>
      <w:lvlText w:val="-"/>
      <w:lvlJc w:val="left"/>
      <w:pPr>
        <w:ind w:left="720" w:hanging="360"/>
      </w:pPr>
      <w:rPr>
        <w:rFonts w:ascii="Times New Roman" w:eastAsia="Time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393173"/>
    <w:multiLevelType w:val="multilevel"/>
    <w:tmpl w:val="AB846C5E"/>
    <w:lvl w:ilvl="0">
      <w:start w:val="9"/>
      <w:numFmt w:val="bullet"/>
      <w:lvlText w:val="-"/>
      <w:lvlJc w:val="left"/>
      <w:pPr>
        <w:tabs>
          <w:tab w:val="num" w:pos="720"/>
        </w:tabs>
        <w:ind w:left="720" w:hanging="360"/>
      </w:pPr>
      <w:rPr>
        <w:rFonts w:ascii="Times New Roman" w:eastAsia="Times" w:hAnsi="Times New Roman" w:cs="Times New Roman"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5151C32"/>
    <w:multiLevelType w:val="hybridMultilevel"/>
    <w:tmpl w:val="AB846C5E"/>
    <w:lvl w:ilvl="0" w:tplc="990A8880">
      <w:start w:val="9"/>
      <w:numFmt w:val="bullet"/>
      <w:lvlText w:val="-"/>
      <w:lvlJc w:val="left"/>
      <w:pPr>
        <w:tabs>
          <w:tab w:val="num" w:pos="720"/>
        </w:tabs>
        <w:ind w:left="720" w:hanging="360"/>
      </w:pPr>
      <w:rPr>
        <w:rFonts w:ascii="Times New Roman" w:eastAsia="Times" w:hAnsi="Times New Roman" w:cs="Times New Roman"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A2A2472"/>
    <w:multiLevelType w:val="hybridMultilevel"/>
    <w:tmpl w:val="D6C49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0522864">
    <w:abstractNumId w:val="2"/>
  </w:num>
  <w:num w:numId="2" w16cid:durableId="723723557">
    <w:abstractNumId w:val="0"/>
  </w:num>
  <w:num w:numId="3" w16cid:durableId="1500194939">
    <w:abstractNumId w:val="1"/>
  </w:num>
  <w:num w:numId="4" w16cid:durableId="1872571312">
    <w:abstractNumId w:val="3"/>
  </w:num>
  <w:num w:numId="5" w16cid:durableId="1280405947">
    <w:abstractNumId w:val="17"/>
  </w:num>
  <w:num w:numId="6" w16cid:durableId="1944336248">
    <w:abstractNumId w:val="10"/>
  </w:num>
  <w:num w:numId="7" w16cid:durableId="728386006">
    <w:abstractNumId w:val="13"/>
  </w:num>
  <w:num w:numId="8" w16cid:durableId="1187863317">
    <w:abstractNumId w:val="11"/>
  </w:num>
  <w:num w:numId="9" w16cid:durableId="1549537704">
    <w:abstractNumId w:val="16"/>
  </w:num>
  <w:num w:numId="10" w16cid:durableId="2044745797">
    <w:abstractNumId w:val="6"/>
  </w:num>
  <w:num w:numId="11" w16cid:durableId="170728363">
    <w:abstractNumId w:val="8"/>
  </w:num>
  <w:num w:numId="12" w16cid:durableId="1179153660">
    <w:abstractNumId w:val="12"/>
  </w:num>
  <w:num w:numId="13" w16cid:durableId="800684503">
    <w:abstractNumId w:val="4"/>
  </w:num>
  <w:num w:numId="14" w16cid:durableId="206526256">
    <w:abstractNumId w:val="7"/>
  </w:num>
  <w:num w:numId="15" w16cid:durableId="1886671329">
    <w:abstractNumId w:val="15"/>
  </w:num>
  <w:num w:numId="16" w16cid:durableId="222108804">
    <w:abstractNumId w:val="14"/>
  </w:num>
  <w:num w:numId="17" w16cid:durableId="1268463064">
    <w:abstractNumId w:val="9"/>
  </w:num>
  <w:num w:numId="18" w16cid:durableId="608896893">
    <w:abstractNumId w:val="18"/>
  </w:num>
  <w:num w:numId="19" w16cid:durableId="21039883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C2F"/>
    <w:rsid w:val="000026F5"/>
    <w:rsid w:val="000127ED"/>
    <w:rsid w:val="00021C86"/>
    <w:rsid w:val="00024612"/>
    <w:rsid w:val="00026945"/>
    <w:rsid w:val="0003395A"/>
    <w:rsid w:val="000408BA"/>
    <w:rsid w:val="00041661"/>
    <w:rsid w:val="000558EF"/>
    <w:rsid w:val="0006293F"/>
    <w:rsid w:val="00067D9E"/>
    <w:rsid w:val="00070308"/>
    <w:rsid w:val="00070CCD"/>
    <w:rsid w:val="00080D3A"/>
    <w:rsid w:val="000823AA"/>
    <w:rsid w:val="00082743"/>
    <w:rsid w:val="000837C7"/>
    <w:rsid w:val="00083C96"/>
    <w:rsid w:val="00093871"/>
    <w:rsid w:val="000A070B"/>
    <w:rsid w:val="000A172E"/>
    <w:rsid w:val="000A20E4"/>
    <w:rsid w:val="000A6604"/>
    <w:rsid w:val="000B65C7"/>
    <w:rsid w:val="000C015D"/>
    <w:rsid w:val="000C11A0"/>
    <w:rsid w:val="000D5D39"/>
    <w:rsid w:val="000E2471"/>
    <w:rsid w:val="000E2894"/>
    <w:rsid w:val="000E7941"/>
    <w:rsid w:val="000F2391"/>
    <w:rsid w:val="000F3C8B"/>
    <w:rsid w:val="000F43E3"/>
    <w:rsid w:val="00101212"/>
    <w:rsid w:val="00101D5F"/>
    <w:rsid w:val="00103124"/>
    <w:rsid w:val="00105754"/>
    <w:rsid w:val="0012701C"/>
    <w:rsid w:val="00127CE4"/>
    <w:rsid w:val="00130EB9"/>
    <w:rsid w:val="0014379C"/>
    <w:rsid w:val="00153ED1"/>
    <w:rsid w:val="00163DB3"/>
    <w:rsid w:val="001711D3"/>
    <w:rsid w:val="00181604"/>
    <w:rsid w:val="00185453"/>
    <w:rsid w:val="00185E8E"/>
    <w:rsid w:val="0019493E"/>
    <w:rsid w:val="00197BB6"/>
    <w:rsid w:val="001B1858"/>
    <w:rsid w:val="001B4E1F"/>
    <w:rsid w:val="001B5A12"/>
    <w:rsid w:val="001D0D1B"/>
    <w:rsid w:val="001D176B"/>
    <w:rsid w:val="001D20B3"/>
    <w:rsid w:val="001D3A17"/>
    <w:rsid w:val="001D5155"/>
    <w:rsid w:val="001D7725"/>
    <w:rsid w:val="001E06A8"/>
    <w:rsid w:val="001E287E"/>
    <w:rsid w:val="001E2B1C"/>
    <w:rsid w:val="001E3BCF"/>
    <w:rsid w:val="001F1B10"/>
    <w:rsid w:val="001F1F91"/>
    <w:rsid w:val="00217122"/>
    <w:rsid w:val="00217AE9"/>
    <w:rsid w:val="00225AA9"/>
    <w:rsid w:val="00230574"/>
    <w:rsid w:val="00231CFF"/>
    <w:rsid w:val="00233B0E"/>
    <w:rsid w:val="002472D9"/>
    <w:rsid w:val="00250025"/>
    <w:rsid w:val="002509A2"/>
    <w:rsid w:val="0025138E"/>
    <w:rsid w:val="002521C9"/>
    <w:rsid w:val="002577CB"/>
    <w:rsid w:val="002711E6"/>
    <w:rsid w:val="00282CCE"/>
    <w:rsid w:val="002904C8"/>
    <w:rsid w:val="002B0567"/>
    <w:rsid w:val="002B5023"/>
    <w:rsid w:val="002D549A"/>
    <w:rsid w:val="002E014D"/>
    <w:rsid w:val="002E0393"/>
    <w:rsid w:val="002E27A9"/>
    <w:rsid w:val="002F7F90"/>
    <w:rsid w:val="003006F2"/>
    <w:rsid w:val="003014E7"/>
    <w:rsid w:val="00303E94"/>
    <w:rsid w:val="00304151"/>
    <w:rsid w:val="00311D53"/>
    <w:rsid w:val="00316F04"/>
    <w:rsid w:val="00320A89"/>
    <w:rsid w:val="00324C6F"/>
    <w:rsid w:val="0032588D"/>
    <w:rsid w:val="00332E8F"/>
    <w:rsid w:val="00336209"/>
    <w:rsid w:val="00336ED6"/>
    <w:rsid w:val="00342598"/>
    <w:rsid w:val="00351D6A"/>
    <w:rsid w:val="00356D94"/>
    <w:rsid w:val="00360300"/>
    <w:rsid w:val="00360EAB"/>
    <w:rsid w:val="003672BF"/>
    <w:rsid w:val="00367526"/>
    <w:rsid w:val="00380928"/>
    <w:rsid w:val="00386B78"/>
    <w:rsid w:val="003A1EBF"/>
    <w:rsid w:val="003A3D7D"/>
    <w:rsid w:val="003A4F1A"/>
    <w:rsid w:val="003B261A"/>
    <w:rsid w:val="003B370D"/>
    <w:rsid w:val="003C0213"/>
    <w:rsid w:val="003C0267"/>
    <w:rsid w:val="003C1837"/>
    <w:rsid w:val="003C3840"/>
    <w:rsid w:val="003C5C23"/>
    <w:rsid w:val="003D56E3"/>
    <w:rsid w:val="003E59BF"/>
    <w:rsid w:val="003E67E5"/>
    <w:rsid w:val="003F1C24"/>
    <w:rsid w:val="003F547E"/>
    <w:rsid w:val="003F57CE"/>
    <w:rsid w:val="003F6B05"/>
    <w:rsid w:val="00401998"/>
    <w:rsid w:val="00421CE5"/>
    <w:rsid w:val="00427966"/>
    <w:rsid w:val="0044313F"/>
    <w:rsid w:val="00445D10"/>
    <w:rsid w:val="00446B25"/>
    <w:rsid w:val="004475F9"/>
    <w:rsid w:val="0045022C"/>
    <w:rsid w:val="00451986"/>
    <w:rsid w:val="00454474"/>
    <w:rsid w:val="00462051"/>
    <w:rsid w:val="00465900"/>
    <w:rsid w:val="00473145"/>
    <w:rsid w:val="00475C4B"/>
    <w:rsid w:val="004823A7"/>
    <w:rsid w:val="00490A4E"/>
    <w:rsid w:val="004A02CE"/>
    <w:rsid w:val="004A168F"/>
    <w:rsid w:val="004A2AD3"/>
    <w:rsid w:val="004A31AA"/>
    <w:rsid w:val="004A7E5D"/>
    <w:rsid w:val="004B5A22"/>
    <w:rsid w:val="004B762D"/>
    <w:rsid w:val="004C09CF"/>
    <w:rsid w:val="004D0B29"/>
    <w:rsid w:val="004D785C"/>
    <w:rsid w:val="004E1F21"/>
    <w:rsid w:val="004E5E37"/>
    <w:rsid w:val="004E73CE"/>
    <w:rsid w:val="004F0578"/>
    <w:rsid w:val="004F0934"/>
    <w:rsid w:val="004F61D5"/>
    <w:rsid w:val="00500CC2"/>
    <w:rsid w:val="0050171A"/>
    <w:rsid w:val="00505A6B"/>
    <w:rsid w:val="005224F4"/>
    <w:rsid w:val="0052302E"/>
    <w:rsid w:val="005246BE"/>
    <w:rsid w:val="005411C7"/>
    <w:rsid w:val="005516A9"/>
    <w:rsid w:val="00551D13"/>
    <w:rsid w:val="00555709"/>
    <w:rsid w:val="00563FFF"/>
    <w:rsid w:val="00565570"/>
    <w:rsid w:val="005677B8"/>
    <w:rsid w:val="00567F13"/>
    <w:rsid w:val="00573C83"/>
    <w:rsid w:val="00577861"/>
    <w:rsid w:val="00577BCC"/>
    <w:rsid w:val="005810CA"/>
    <w:rsid w:val="0058193F"/>
    <w:rsid w:val="00581FBB"/>
    <w:rsid w:val="00594A5F"/>
    <w:rsid w:val="005960E2"/>
    <w:rsid w:val="00596453"/>
    <w:rsid w:val="005A1AA5"/>
    <w:rsid w:val="005A20A8"/>
    <w:rsid w:val="005A7F37"/>
    <w:rsid w:val="005B4CAC"/>
    <w:rsid w:val="005B5661"/>
    <w:rsid w:val="005B602E"/>
    <w:rsid w:val="005C134F"/>
    <w:rsid w:val="005C4C5F"/>
    <w:rsid w:val="005D06FE"/>
    <w:rsid w:val="005E1210"/>
    <w:rsid w:val="005E3784"/>
    <w:rsid w:val="005E46E4"/>
    <w:rsid w:val="005F05DB"/>
    <w:rsid w:val="005F2E6B"/>
    <w:rsid w:val="00600159"/>
    <w:rsid w:val="006043A9"/>
    <w:rsid w:val="00610B1B"/>
    <w:rsid w:val="00610F9A"/>
    <w:rsid w:val="006316E5"/>
    <w:rsid w:val="00631A43"/>
    <w:rsid w:val="0063312E"/>
    <w:rsid w:val="00633B0A"/>
    <w:rsid w:val="00644A9A"/>
    <w:rsid w:val="006575A2"/>
    <w:rsid w:val="006641B7"/>
    <w:rsid w:val="006643DC"/>
    <w:rsid w:val="00676100"/>
    <w:rsid w:val="00684EF3"/>
    <w:rsid w:val="006A02BC"/>
    <w:rsid w:val="006A7B96"/>
    <w:rsid w:val="006B20DC"/>
    <w:rsid w:val="006D344B"/>
    <w:rsid w:val="006D4A37"/>
    <w:rsid w:val="006D7601"/>
    <w:rsid w:val="006E2522"/>
    <w:rsid w:val="006E3DEC"/>
    <w:rsid w:val="006E7BDD"/>
    <w:rsid w:val="006F1DDE"/>
    <w:rsid w:val="006F3BDD"/>
    <w:rsid w:val="0070281C"/>
    <w:rsid w:val="00706604"/>
    <w:rsid w:val="007118C4"/>
    <w:rsid w:val="00723DE0"/>
    <w:rsid w:val="00732595"/>
    <w:rsid w:val="0074349F"/>
    <w:rsid w:val="00752CFF"/>
    <w:rsid w:val="0075466C"/>
    <w:rsid w:val="007610E7"/>
    <w:rsid w:val="00774921"/>
    <w:rsid w:val="00777CEC"/>
    <w:rsid w:val="00780203"/>
    <w:rsid w:val="00780877"/>
    <w:rsid w:val="00783891"/>
    <w:rsid w:val="00783E6C"/>
    <w:rsid w:val="007949EA"/>
    <w:rsid w:val="007A4CCC"/>
    <w:rsid w:val="007A6E0D"/>
    <w:rsid w:val="007B3927"/>
    <w:rsid w:val="007B5725"/>
    <w:rsid w:val="007C7AB4"/>
    <w:rsid w:val="007C7CD2"/>
    <w:rsid w:val="007D2D2A"/>
    <w:rsid w:val="007D3595"/>
    <w:rsid w:val="007D3EB0"/>
    <w:rsid w:val="007D69B5"/>
    <w:rsid w:val="007D6A9F"/>
    <w:rsid w:val="007E0A66"/>
    <w:rsid w:val="007E64D9"/>
    <w:rsid w:val="007F6A8C"/>
    <w:rsid w:val="00801493"/>
    <w:rsid w:val="00803BEA"/>
    <w:rsid w:val="008050F5"/>
    <w:rsid w:val="0081068B"/>
    <w:rsid w:val="00811DCF"/>
    <w:rsid w:val="00812324"/>
    <w:rsid w:val="00814D4C"/>
    <w:rsid w:val="00816513"/>
    <w:rsid w:val="00826151"/>
    <w:rsid w:val="008265E8"/>
    <w:rsid w:val="008270CD"/>
    <w:rsid w:val="008270DF"/>
    <w:rsid w:val="0084123C"/>
    <w:rsid w:val="008438AF"/>
    <w:rsid w:val="00843FE8"/>
    <w:rsid w:val="00854FA6"/>
    <w:rsid w:val="0085530C"/>
    <w:rsid w:val="00861DA2"/>
    <w:rsid w:val="0086406A"/>
    <w:rsid w:val="008656A6"/>
    <w:rsid w:val="00865C2F"/>
    <w:rsid w:val="0086676E"/>
    <w:rsid w:val="00875210"/>
    <w:rsid w:val="00885E5F"/>
    <w:rsid w:val="008869D6"/>
    <w:rsid w:val="008A2EB8"/>
    <w:rsid w:val="008A42DC"/>
    <w:rsid w:val="008A7F65"/>
    <w:rsid w:val="008D7524"/>
    <w:rsid w:val="008E25B3"/>
    <w:rsid w:val="008F5178"/>
    <w:rsid w:val="008F5C90"/>
    <w:rsid w:val="00906C6A"/>
    <w:rsid w:val="00914273"/>
    <w:rsid w:val="00914F05"/>
    <w:rsid w:val="00916A80"/>
    <w:rsid w:val="009279BF"/>
    <w:rsid w:val="00934F85"/>
    <w:rsid w:val="00937D26"/>
    <w:rsid w:val="00951C86"/>
    <w:rsid w:val="00956D7A"/>
    <w:rsid w:val="00963122"/>
    <w:rsid w:val="00965199"/>
    <w:rsid w:val="00965CCC"/>
    <w:rsid w:val="00966046"/>
    <w:rsid w:val="0097671F"/>
    <w:rsid w:val="009770EE"/>
    <w:rsid w:val="009B0F5A"/>
    <w:rsid w:val="009C1445"/>
    <w:rsid w:val="009C54BC"/>
    <w:rsid w:val="009C691F"/>
    <w:rsid w:val="009F0EE4"/>
    <w:rsid w:val="009F2A72"/>
    <w:rsid w:val="00A012B4"/>
    <w:rsid w:val="00A032B1"/>
    <w:rsid w:val="00A10221"/>
    <w:rsid w:val="00A20ABA"/>
    <w:rsid w:val="00A21B8D"/>
    <w:rsid w:val="00A22F1A"/>
    <w:rsid w:val="00A25B84"/>
    <w:rsid w:val="00A32450"/>
    <w:rsid w:val="00A40C53"/>
    <w:rsid w:val="00A46877"/>
    <w:rsid w:val="00A47C6F"/>
    <w:rsid w:val="00A5492F"/>
    <w:rsid w:val="00A60DC3"/>
    <w:rsid w:val="00A60E56"/>
    <w:rsid w:val="00A91F56"/>
    <w:rsid w:val="00AA209D"/>
    <w:rsid w:val="00AA5E76"/>
    <w:rsid w:val="00AB1028"/>
    <w:rsid w:val="00AC76EC"/>
    <w:rsid w:val="00AD7CD5"/>
    <w:rsid w:val="00AE0A90"/>
    <w:rsid w:val="00AE450F"/>
    <w:rsid w:val="00AE4D14"/>
    <w:rsid w:val="00AF09E1"/>
    <w:rsid w:val="00AF2EBF"/>
    <w:rsid w:val="00AF5AB4"/>
    <w:rsid w:val="00B01132"/>
    <w:rsid w:val="00B06CA8"/>
    <w:rsid w:val="00B1605C"/>
    <w:rsid w:val="00B2066C"/>
    <w:rsid w:val="00B21761"/>
    <w:rsid w:val="00B21FA3"/>
    <w:rsid w:val="00B307A7"/>
    <w:rsid w:val="00B30D86"/>
    <w:rsid w:val="00B43BED"/>
    <w:rsid w:val="00B44DEE"/>
    <w:rsid w:val="00B45490"/>
    <w:rsid w:val="00B5520C"/>
    <w:rsid w:val="00B65C66"/>
    <w:rsid w:val="00B70B84"/>
    <w:rsid w:val="00B74C6C"/>
    <w:rsid w:val="00B81DEC"/>
    <w:rsid w:val="00B8336E"/>
    <w:rsid w:val="00B865DB"/>
    <w:rsid w:val="00B9206C"/>
    <w:rsid w:val="00B921E0"/>
    <w:rsid w:val="00BA1600"/>
    <w:rsid w:val="00BA611B"/>
    <w:rsid w:val="00BA7077"/>
    <w:rsid w:val="00BB7F97"/>
    <w:rsid w:val="00BC4D68"/>
    <w:rsid w:val="00BD0A55"/>
    <w:rsid w:val="00BD6786"/>
    <w:rsid w:val="00C06496"/>
    <w:rsid w:val="00C122AE"/>
    <w:rsid w:val="00C17665"/>
    <w:rsid w:val="00C20F22"/>
    <w:rsid w:val="00C32DF8"/>
    <w:rsid w:val="00C40729"/>
    <w:rsid w:val="00C41DDB"/>
    <w:rsid w:val="00C43FF2"/>
    <w:rsid w:val="00C46C5A"/>
    <w:rsid w:val="00C52ABE"/>
    <w:rsid w:val="00C55B4E"/>
    <w:rsid w:val="00C656B1"/>
    <w:rsid w:val="00C7056E"/>
    <w:rsid w:val="00C9694D"/>
    <w:rsid w:val="00CB683A"/>
    <w:rsid w:val="00CB7C2C"/>
    <w:rsid w:val="00CC062F"/>
    <w:rsid w:val="00CC1768"/>
    <w:rsid w:val="00CC3BFC"/>
    <w:rsid w:val="00CC68E1"/>
    <w:rsid w:val="00CD0745"/>
    <w:rsid w:val="00CD363B"/>
    <w:rsid w:val="00CD3C90"/>
    <w:rsid w:val="00CD4719"/>
    <w:rsid w:val="00CD59B1"/>
    <w:rsid w:val="00CF098A"/>
    <w:rsid w:val="00CF3041"/>
    <w:rsid w:val="00D008D2"/>
    <w:rsid w:val="00D123C1"/>
    <w:rsid w:val="00D234FD"/>
    <w:rsid w:val="00D2600B"/>
    <w:rsid w:val="00D37C4A"/>
    <w:rsid w:val="00D42450"/>
    <w:rsid w:val="00D428C8"/>
    <w:rsid w:val="00D51B61"/>
    <w:rsid w:val="00D5303D"/>
    <w:rsid w:val="00D56571"/>
    <w:rsid w:val="00D63C62"/>
    <w:rsid w:val="00D67DE0"/>
    <w:rsid w:val="00D70939"/>
    <w:rsid w:val="00D73E09"/>
    <w:rsid w:val="00D74F66"/>
    <w:rsid w:val="00D763D0"/>
    <w:rsid w:val="00D82FBD"/>
    <w:rsid w:val="00D857EE"/>
    <w:rsid w:val="00D9338F"/>
    <w:rsid w:val="00D9582C"/>
    <w:rsid w:val="00DA043A"/>
    <w:rsid w:val="00DA0B54"/>
    <w:rsid w:val="00DA116C"/>
    <w:rsid w:val="00DA22C9"/>
    <w:rsid w:val="00DB419A"/>
    <w:rsid w:val="00DC195F"/>
    <w:rsid w:val="00DC68D5"/>
    <w:rsid w:val="00DD37B4"/>
    <w:rsid w:val="00DD422D"/>
    <w:rsid w:val="00DE1F10"/>
    <w:rsid w:val="00DE46F2"/>
    <w:rsid w:val="00DE531C"/>
    <w:rsid w:val="00E11D29"/>
    <w:rsid w:val="00E1588B"/>
    <w:rsid w:val="00E256FC"/>
    <w:rsid w:val="00E3221E"/>
    <w:rsid w:val="00E37E77"/>
    <w:rsid w:val="00E413BE"/>
    <w:rsid w:val="00E5111B"/>
    <w:rsid w:val="00E62799"/>
    <w:rsid w:val="00E67D1B"/>
    <w:rsid w:val="00E74C04"/>
    <w:rsid w:val="00E7537D"/>
    <w:rsid w:val="00E76E67"/>
    <w:rsid w:val="00E824DA"/>
    <w:rsid w:val="00E840B6"/>
    <w:rsid w:val="00E845AB"/>
    <w:rsid w:val="00E8579D"/>
    <w:rsid w:val="00E928F1"/>
    <w:rsid w:val="00E941C9"/>
    <w:rsid w:val="00EA0A58"/>
    <w:rsid w:val="00EA246B"/>
    <w:rsid w:val="00EA3454"/>
    <w:rsid w:val="00EB2786"/>
    <w:rsid w:val="00EB49EF"/>
    <w:rsid w:val="00EB589C"/>
    <w:rsid w:val="00EB6791"/>
    <w:rsid w:val="00EC35A4"/>
    <w:rsid w:val="00EC4454"/>
    <w:rsid w:val="00ED1FC8"/>
    <w:rsid w:val="00ED43BB"/>
    <w:rsid w:val="00ED5D9C"/>
    <w:rsid w:val="00EE1172"/>
    <w:rsid w:val="00EE43B0"/>
    <w:rsid w:val="00EF1E93"/>
    <w:rsid w:val="00EF3F75"/>
    <w:rsid w:val="00EF5F92"/>
    <w:rsid w:val="00EF6661"/>
    <w:rsid w:val="00F25441"/>
    <w:rsid w:val="00F260BE"/>
    <w:rsid w:val="00F33643"/>
    <w:rsid w:val="00F34C66"/>
    <w:rsid w:val="00F3743B"/>
    <w:rsid w:val="00F521A4"/>
    <w:rsid w:val="00F52660"/>
    <w:rsid w:val="00F52C18"/>
    <w:rsid w:val="00F56866"/>
    <w:rsid w:val="00F6263E"/>
    <w:rsid w:val="00F62A6F"/>
    <w:rsid w:val="00F6410E"/>
    <w:rsid w:val="00F74EB6"/>
    <w:rsid w:val="00F8432C"/>
    <w:rsid w:val="00F91D83"/>
    <w:rsid w:val="00F91F93"/>
    <w:rsid w:val="00F93A64"/>
    <w:rsid w:val="00F94A2A"/>
    <w:rsid w:val="00FA112C"/>
    <w:rsid w:val="00FA5E7E"/>
    <w:rsid w:val="00FB56E2"/>
    <w:rsid w:val="00FC5011"/>
    <w:rsid w:val="00FC750A"/>
    <w:rsid w:val="00FD0B96"/>
    <w:rsid w:val="00FD172B"/>
    <w:rsid w:val="00FD54A5"/>
    <w:rsid w:val="00FD58BE"/>
    <w:rsid w:val="00FE6405"/>
    <w:rsid w:val="00FF3C3E"/>
    <w:rsid w:val="00FF4A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225853"/>
  <w15:chartTrackingRefBased/>
  <w15:docId w15:val="{D8C9F357-9950-4D8A-B563-774D895E1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762D"/>
    <w:pPr>
      <w:spacing w:before="140"/>
    </w:pPr>
    <w:rPr>
      <w:rFonts w:ascii="Times New Roman" w:hAnsi="Times New Roman"/>
      <w:sz w:val="24"/>
    </w:rPr>
  </w:style>
  <w:style w:type="paragraph" w:styleId="Heading1">
    <w:name w:val="heading 1"/>
    <w:next w:val="Normal"/>
    <w:qFormat/>
    <w:pPr>
      <w:keepNext/>
      <w:spacing w:before="300" w:after="60"/>
      <w:ind w:left="450" w:hanging="450"/>
      <w:outlineLvl w:val="0"/>
    </w:pPr>
    <w:rPr>
      <w:rFonts w:ascii="Arial" w:hAnsi="Arial"/>
      <w:b/>
      <w:noProof/>
      <w:kern w:val="28"/>
      <w:sz w:val="28"/>
    </w:rPr>
  </w:style>
  <w:style w:type="paragraph" w:styleId="Heading2">
    <w:name w:val="heading 2"/>
    <w:next w:val="Normal"/>
    <w:qFormat/>
    <w:pPr>
      <w:keepNext/>
      <w:spacing w:before="300" w:after="60"/>
      <w:ind w:left="630" w:hanging="630"/>
      <w:outlineLvl w:val="1"/>
    </w:pPr>
    <w:rPr>
      <w:rFonts w:ascii="Arial" w:hAnsi="Arial"/>
      <w:b/>
      <w:noProof/>
      <w:sz w:val="26"/>
    </w:rPr>
  </w:style>
  <w:style w:type="paragraph" w:styleId="Heading3">
    <w:name w:val="heading 3"/>
    <w:next w:val="Normal"/>
    <w:qFormat/>
    <w:pPr>
      <w:keepNext/>
      <w:spacing w:before="240" w:after="60"/>
      <w:ind w:left="720" w:hanging="720"/>
      <w:outlineLvl w:val="2"/>
    </w:pPr>
    <w:rPr>
      <w:rFonts w:ascii="Arial" w:hAnsi="Arial"/>
      <w:b/>
      <w:noProof/>
      <w:sz w:val="24"/>
    </w:rPr>
  </w:style>
  <w:style w:type="paragraph" w:styleId="Heading4">
    <w:name w:val="heading 4"/>
    <w:basedOn w:val="Normal"/>
    <w:next w:val="Normal"/>
    <w:link w:val="Heading4Char"/>
    <w:semiHidden/>
    <w:unhideWhenUsed/>
    <w:qFormat/>
    <w:rsid w:val="007D2D2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ListBullet">
    <w:name w:val="List Bullet"/>
    <w:pPr>
      <w:numPr>
        <w:numId w:val="1"/>
      </w:numPr>
      <w:spacing w:before="60" w:after="20"/>
    </w:pPr>
    <w:rPr>
      <w:rFonts w:ascii="Times New Roman" w:hAnsi="Times New Roman"/>
      <w:noProof/>
      <w:sz w:val="24"/>
    </w:rPr>
  </w:style>
  <w:style w:type="paragraph" w:styleId="ListBullet2">
    <w:name w:val="List Bullet 2"/>
    <w:pPr>
      <w:numPr>
        <w:numId w:val="2"/>
      </w:numPr>
      <w:tabs>
        <w:tab w:val="clear" w:pos="360"/>
        <w:tab w:val="num" w:pos="810"/>
      </w:tabs>
      <w:spacing w:before="60" w:after="20"/>
      <w:ind w:left="806"/>
    </w:pPr>
    <w:rPr>
      <w:rFonts w:ascii="Times New Roman" w:hAnsi="Times New Roman"/>
      <w:noProof/>
      <w:sz w:val="24"/>
    </w:rPr>
  </w:style>
  <w:style w:type="paragraph" w:styleId="ListNumber">
    <w:name w:val="List Number"/>
    <w:pPr>
      <w:numPr>
        <w:numId w:val="3"/>
      </w:numPr>
      <w:spacing w:before="60" w:after="20"/>
    </w:pPr>
    <w:rPr>
      <w:rFonts w:ascii="Times New Roman" w:hAnsi="Times New Roman"/>
      <w:noProof/>
      <w:sz w:val="24"/>
    </w:rPr>
  </w:style>
  <w:style w:type="paragraph" w:styleId="Footer">
    <w:name w:val="footer"/>
    <w:basedOn w:val="Normal"/>
    <w:pPr>
      <w:pBdr>
        <w:top w:val="single" w:sz="2" w:space="1" w:color="auto"/>
      </w:pBdr>
      <w:tabs>
        <w:tab w:val="left" w:pos="3600"/>
        <w:tab w:val="right" w:pos="8640"/>
      </w:tabs>
      <w:spacing w:before="200"/>
    </w:pPr>
    <w:rPr>
      <w:rFonts w:eastAsia="Times New Roman"/>
      <w:sz w:val="20"/>
    </w:rPr>
  </w:style>
  <w:style w:type="character" w:styleId="PageNumber">
    <w:name w:val="page number"/>
    <w:basedOn w:val="DefaultParagraphFont"/>
  </w:style>
  <w:style w:type="character" w:styleId="CommentReference">
    <w:name w:val="annotation reference"/>
    <w:semiHidden/>
    <w:rsid w:val="007D69B5"/>
    <w:rPr>
      <w:sz w:val="16"/>
      <w:szCs w:val="16"/>
    </w:rPr>
  </w:style>
  <w:style w:type="paragraph" w:customStyle="1" w:styleId="Documenttitle">
    <w:name w:val="Document title"/>
    <w:basedOn w:val="Normal"/>
    <w:pPr>
      <w:spacing w:after="280"/>
      <w:jc w:val="center"/>
    </w:pPr>
    <w:rPr>
      <w:rFonts w:ascii="Arial" w:hAnsi="Arial"/>
      <w:b/>
      <w:sz w:val="32"/>
    </w:rPr>
  </w:style>
  <w:style w:type="paragraph" w:styleId="CommentText">
    <w:name w:val="annotation text"/>
    <w:basedOn w:val="Normal"/>
    <w:semiHidden/>
    <w:rsid w:val="007D69B5"/>
    <w:rPr>
      <w:sz w:val="20"/>
    </w:rPr>
  </w:style>
  <w:style w:type="paragraph" w:styleId="CommentSubject">
    <w:name w:val="annotation subject"/>
    <w:basedOn w:val="CommentText"/>
    <w:next w:val="CommentText"/>
    <w:semiHidden/>
    <w:rsid w:val="007D69B5"/>
    <w:rPr>
      <w:b/>
      <w:bCs/>
    </w:rPr>
  </w:style>
  <w:style w:type="paragraph" w:styleId="BalloonText">
    <w:name w:val="Balloon Text"/>
    <w:basedOn w:val="Normal"/>
    <w:semiHidden/>
    <w:rsid w:val="007D69B5"/>
    <w:rPr>
      <w:rFonts w:ascii="Tahoma" w:hAnsi="Tahoma" w:cs="Tahoma"/>
      <w:sz w:val="16"/>
      <w:szCs w:val="16"/>
    </w:rPr>
  </w:style>
  <w:style w:type="character" w:styleId="Hyperlink">
    <w:name w:val="Hyperlink"/>
    <w:rsid w:val="00DD37B4"/>
    <w:rPr>
      <w:color w:val="0000FF"/>
      <w:u w:val="single"/>
    </w:rPr>
  </w:style>
  <w:style w:type="table" w:styleId="TableGrid">
    <w:name w:val="Table Grid"/>
    <w:basedOn w:val="TableNormal"/>
    <w:rsid w:val="004E1F21"/>
    <w:pPr>
      <w:spacing w:before="1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B06CA8"/>
  </w:style>
  <w:style w:type="character" w:customStyle="1" w:styleId="HeaderChar">
    <w:name w:val="Header Char"/>
    <w:link w:val="Header"/>
    <w:uiPriority w:val="99"/>
    <w:rsid w:val="002E27A9"/>
    <w:rPr>
      <w:rFonts w:ascii="Times New Roman" w:hAnsi="Times New Roman"/>
      <w:sz w:val="24"/>
      <w:lang w:val="en-US" w:eastAsia="en-US"/>
    </w:rPr>
  </w:style>
  <w:style w:type="character" w:styleId="UnresolvedMention">
    <w:name w:val="Unresolved Mention"/>
    <w:basedOn w:val="DefaultParagraphFont"/>
    <w:uiPriority w:val="99"/>
    <w:semiHidden/>
    <w:unhideWhenUsed/>
    <w:rsid w:val="008A42DC"/>
    <w:rPr>
      <w:color w:val="605E5C"/>
      <w:shd w:val="clear" w:color="auto" w:fill="E1DFDD"/>
    </w:rPr>
  </w:style>
  <w:style w:type="paragraph" w:styleId="BodyText">
    <w:name w:val="Body Text"/>
    <w:basedOn w:val="Normal"/>
    <w:link w:val="BodyTextChar"/>
    <w:uiPriority w:val="1"/>
    <w:qFormat/>
    <w:rsid w:val="007D3595"/>
    <w:pPr>
      <w:widowControl w:val="0"/>
      <w:autoSpaceDE w:val="0"/>
      <w:autoSpaceDN w:val="0"/>
      <w:spacing w:before="130"/>
    </w:pPr>
    <w:rPr>
      <w:rFonts w:ascii="Arial" w:eastAsia="Arial" w:hAnsi="Arial" w:cs="Arial"/>
      <w:sz w:val="20"/>
    </w:rPr>
  </w:style>
  <w:style w:type="character" w:customStyle="1" w:styleId="BodyTextChar">
    <w:name w:val="Body Text Char"/>
    <w:basedOn w:val="DefaultParagraphFont"/>
    <w:link w:val="BodyText"/>
    <w:uiPriority w:val="1"/>
    <w:rsid w:val="007D3595"/>
    <w:rPr>
      <w:rFonts w:ascii="Arial" w:eastAsia="Arial" w:hAnsi="Arial" w:cs="Arial"/>
    </w:rPr>
  </w:style>
  <w:style w:type="paragraph" w:styleId="FootnoteText">
    <w:name w:val="footnote text"/>
    <w:basedOn w:val="Normal"/>
    <w:link w:val="FootnoteTextChar"/>
    <w:rsid w:val="00EF5F92"/>
    <w:pPr>
      <w:spacing w:before="0"/>
    </w:pPr>
    <w:rPr>
      <w:sz w:val="20"/>
    </w:rPr>
  </w:style>
  <w:style w:type="character" w:customStyle="1" w:styleId="FootnoteTextChar">
    <w:name w:val="Footnote Text Char"/>
    <w:basedOn w:val="DefaultParagraphFont"/>
    <w:link w:val="FootnoteText"/>
    <w:rsid w:val="00EF5F92"/>
    <w:rPr>
      <w:rFonts w:ascii="Times New Roman" w:hAnsi="Times New Roman"/>
    </w:rPr>
  </w:style>
  <w:style w:type="character" w:styleId="FootnoteReference">
    <w:name w:val="footnote reference"/>
    <w:basedOn w:val="DefaultParagraphFont"/>
    <w:rsid w:val="00EF5F92"/>
    <w:rPr>
      <w:vertAlign w:val="superscript"/>
    </w:rPr>
  </w:style>
  <w:style w:type="paragraph" w:customStyle="1" w:styleId="TableParagraph">
    <w:name w:val="Table Paragraph"/>
    <w:basedOn w:val="Normal"/>
    <w:uiPriority w:val="1"/>
    <w:qFormat/>
    <w:rsid w:val="009F2A72"/>
    <w:pPr>
      <w:widowControl w:val="0"/>
      <w:autoSpaceDE w:val="0"/>
      <w:autoSpaceDN w:val="0"/>
      <w:spacing w:before="62"/>
    </w:pPr>
    <w:rPr>
      <w:rFonts w:ascii="Arial" w:eastAsia="Arial" w:hAnsi="Arial" w:cs="Arial"/>
      <w:sz w:val="22"/>
      <w:szCs w:val="22"/>
    </w:rPr>
  </w:style>
  <w:style w:type="paragraph" w:styleId="ListParagraph">
    <w:name w:val="List Paragraph"/>
    <w:basedOn w:val="Normal"/>
    <w:uiPriority w:val="34"/>
    <w:qFormat/>
    <w:rsid w:val="00C9694D"/>
    <w:pPr>
      <w:ind w:left="720"/>
      <w:contextualSpacing/>
    </w:pPr>
  </w:style>
  <w:style w:type="character" w:customStyle="1" w:styleId="Heading4Char">
    <w:name w:val="Heading 4 Char"/>
    <w:basedOn w:val="DefaultParagraphFont"/>
    <w:link w:val="Heading4"/>
    <w:semiHidden/>
    <w:rsid w:val="007D2D2A"/>
    <w:rPr>
      <w:rFonts w:asciiTheme="majorHAnsi" w:eastAsiaTheme="majorEastAsia" w:hAnsiTheme="majorHAnsi" w:cstheme="majorBidi"/>
      <w:i/>
      <w:iCs/>
      <w:color w:val="2E74B5" w:themeColor="accent1" w:themeShade="BF"/>
      <w:sz w:val="24"/>
    </w:rPr>
  </w:style>
  <w:style w:type="paragraph" w:styleId="Revision">
    <w:name w:val="Revision"/>
    <w:hidden/>
    <w:uiPriority w:val="99"/>
    <w:semiHidden/>
    <w:rsid w:val="0067610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ichael.Richards@infitx.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interledger.org/developers/rfcs/interledger-protocol/" TargetMode="External"/><Relationship Id="rId4" Type="http://schemas.openxmlformats.org/officeDocument/2006/relationships/settings" Target="settings.xml"/><Relationship Id="rId9" Type="http://schemas.openxmlformats.org/officeDocument/2006/relationships/hyperlink" Target="mailto:jpinifolo@comesabusinesscouncil.or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BA2D5C-0DB3-4CF7-9128-CD2F7B39A844}">
  <ds:schemaRefs>
    <ds:schemaRef ds:uri="http://schemas.openxmlformats.org/officeDocument/2006/bibliography"/>
  </ds:schemaRefs>
</ds:datastoreItem>
</file>

<file path=docMetadata/LabelInfo.xml><?xml version="1.0" encoding="utf-8"?>
<clbl:labelList xmlns:clbl="http://schemas.microsoft.com/office/2020/mipLabelMetadata">
  <clbl:label id="{4868b825-edee-44ac-b7a2-e857f0213f31}" enabled="1" method="Standard" siteId="{45b55e44-3503-4284-bbe1-0e6bf9fa1d0a}"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3</Pages>
  <Words>715</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CHANGE REQUEST</vt:lpstr>
    </vt:vector>
  </TitlesOfParts>
  <Company>S.W.I.F.T. sc</Company>
  <LinksUpToDate>false</LinksUpToDate>
  <CharactersWithSpaces>4864</CharactersWithSpaces>
  <SharedDoc>false</SharedDoc>
  <HLinks>
    <vt:vector size="18" baseType="variant">
      <vt:variant>
        <vt:i4>5177415</vt:i4>
      </vt:variant>
      <vt:variant>
        <vt:i4>6</vt:i4>
      </vt:variant>
      <vt:variant>
        <vt:i4>0</vt:i4>
      </vt:variant>
      <vt:variant>
        <vt:i4>5</vt:i4>
      </vt:variant>
      <vt:variant>
        <vt:lpwstr>http://www.iso20022.org/catalogue_of_messages.page</vt:lpwstr>
      </vt:variant>
      <vt:variant>
        <vt:lpwstr/>
      </vt:variant>
      <vt:variant>
        <vt:i4>2031664</vt:i4>
      </vt:variant>
      <vt:variant>
        <vt:i4>3</vt:i4>
      </vt:variant>
      <vt:variant>
        <vt:i4>0</vt:i4>
      </vt:variant>
      <vt:variant>
        <vt:i4>5</vt:i4>
      </vt:variant>
      <vt:variant>
        <vt:lpwstr>mailto:iso20022ra@iso20022.org</vt:lpwstr>
      </vt:variant>
      <vt:variant>
        <vt:lpwstr/>
      </vt:variant>
      <vt:variant>
        <vt:i4>1966105</vt:i4>
      </vt:variant>
      <vt:variant>
        <vt:i4>0</vt:i4>
      </vt:variant>
      <vt:variant>
        <vt:i4>0</vt:i4>
      </vt:variant>
      <vt:variant>
        <vt:i4>5</vt:i4>
      </vt:variant>
      <vt:variant>
        <vt:lpwstr>http://www.iso20022.org/maintenance.page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REQUEST</dc:title>
  <dc:subject/>
  <dc:creator>jeloy;asteeno</dc:creator>
  <cp:keywords>crypto lock</cp:keywords>
  <cp:lastModifiedBy>Aurelie</cp:lastModifiedBy>
  <cp:revision>3</cp:revision>
  <cp:lastPrinted>2009-03-10T11:18:00Z</cp:lastPrinted>
  <dcterms:created xsi:type="dcterms:W3CDTF">2024-02-01T08:45:00Z</dcterms:created>
  <dcterms:modified xsi:type="dcterms:W3CDTF">2024-02-01T08:47:00Z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68b825-edee-44ac-b7a2-e857f0213f31_Enabled">
    <vt:lpwstr>true</vt:lpwstr>
  </property>
  <property fmtid="{D5CDD505-2E9C-101B-9397-08002B2CF9AE}" pid="3" name="MSIP_Label_4868b825-edee-44ac-b7a2-e857f0213f31_SetDate">
    <vt:lpwstr>2022-06-03T14:50:49Z</vt:lpwstr>
  </property>
  <property fmtid="{D5CDD505-2E9C-101B-9397-08002B2CF9AE}" pid="4" name="MSIP_Label_4868b825-edee-44ac-b7a2-e857f0213f31_Method">
    <vt:lpwstr>Standard</vt:lpwstr>
  </property>
  <property fmtid="{D5CDD505-2E9C-101B-9397-08002B2CF9AE}" pid="5" name="MSIP_Label_4868b825-edee-44ac-b7a2-e857f0213f31_Name">
    <vt:lpwstr>Restricted - External</vt:lpwstr>
  </property>
  <property fmtid="{D5CDD505-2E9C-101B-9397-08002B2CF9AE}" pid="6" name="MSIP_Label_4868b825-edee-44ac-b7a2-e857f0213f31_SiteId">
    <vt:lpwstr>45b55e44-3503-4284-bbe1-0e6bf9fa1d0a</vt:lpwstr>
  </property>
  <property fmtid="{D5CDD505-2E9C-101B-9397-08002B2CF9AE}" pid="7" name="MSIP_Label_4868b825-edee-44ac-b7a2-e857f0213f31_ActionId">
    <vt:lpwstr>ce20935b-9230-4da7-be42-9f0d23dfeabe</vt:lpwstr>
  </property>
  <property fmtid="{D5CDD505-2E9C-101B-9397-08002B2CF9AE}" pid="8" name="MSIP_Label_4868b825-edee-44ac-b7a2-e857f0213f31_ContentBits">
    <vt:lpwstr>0</vt:lpwstr>
  </property>
</Properties>
</file>