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72"/>
          <w:szCs w:val="72"/>
        </w:rPr>
        <w:t xml:space="preserve"/>
      </w:r>
    </w:p>
    <w:p>
      <w:pPr>
        <w:spacing w:after="60" w:before="0"/>
        <w:jc w:val="center"/>
      </w:pPr>
      <w:r>
        <w:rPr>
          <w:rFonts w:ascii="Arial" w:cs="Arial" w:eastAsia="Arial" w:hAnsi="Arial"/>
          <w:b/>
          <w:bCs/>
          <w:color w:val="1F3864"/>
          <w:sz w:val="48"/>
          <w:szCs w:val="48"/>
        </w:rPr>
        <w:t xml:space="preserve">SOFTWARE REQUIREMENTS SPECIFICATION</w:t>
      </w:r>
    </w:p>
    <w:p>
      <w:pPr>
        <w:pBdr>
          <w:bottom w:val="single" w:color="2E75B6" w:sz="12" w:space="8"/>
        </w:pBdr>
        <w:spacing w:after="60" w:before="60"/>
        <w:jc w:val="center"/>
      </w:pPr>
      <w:r>
        <w:rPr>
          <w:rFonts w:ascii="Arial" w:cs="Arial" w:eastAsia="Arial" w:hAnsi="Arial"/>
          <w:color w:val="2E5FA3"/>
          <w:sz w:val="36"/>
          <w:szCs w:val="36"/>
        </w:rPr>
        <w:t xml:space="preserve">LLM Output Evaluation Tool</w:t>
      </w:r>
    </w:p>
    <w:p>
      <w:pPr>
        <w:spacing w:after="0" w:before="0"/>
      </w:pPr>
      <w:r>
        <w:rPr>
          <w:sz w:val="24"/>
          <w:szCs w:val="24"/>
        </w:rPr>
        <w:t xml:space="preserve"/>
      </w:r>
    </w:p>
    <w:p>
      <w:pPr>
        <w:jc w:val="center"/>
      </w:pPr>
      <w:r>
        <w:rPr>
          <w:rFonts w:ascii="Arial" w:cs="Arial" w:eastAsia="Arial" w:hAnsi="Arial"/>
          <w:color w:val="595959"/>
          <w:sz w:val="22"/>
          <w:szCs w:val="22"/>
        </w:rPr>
        <w:t xml:space="preserve">Version 1.0  ·  April 2026</w:t>
      </w:r>
    </w:p>
    <w:p>
      <w:pPr>
        <w:jc w:val="center"/>
      </w:pPr>
      <w:r>
        <w:rPr>
          <w:rFonts w:ascii="Arial" w:cs="Arial" w:eastAsia="Arial" w:hAnsi="Arial"/>
          <w:color w:val="595959"/>
          <w:sz w:val="22"/>
          <w:szCs w:val="22"/>
        </w:rPr>
        <w:t xml:space="preserve">Prepared for: CS Senior Capstone</w:t>
      </w:r>
    </w:p>
    <w:p>
      <w:pPr>
        <w:spacing w:after="0" w:before="0"/>
      </w:pPr>
      <w:r>
        <w:rPr>
          <w:sz w:val="24"/>
          <w:szCs w:val="24"/>
        </w:rPr>
        <w:t xml:space="preserve"/>
      </w:r>
    </w:p>
    <w:p>
      <w:pPr>
        <w:jc w:val="center"/>
      </w:pPr>
      <w:r>
        <w:rPr>
          <w:rFonts w:ascii="Arial" w:cs="Arial" w:eastAsia="Arial" w:hAnsi="Arial"/>
          <w:b/>
          <w:bCs/>
          <w:color w:val="C00000"/>
          <w:sz w:val="20"/>
          <w:szCs w:val="20"/>
        </w:rPr>
        <w:t xml:space="preserve">CONFIDENTIAL — DRAFT</w:t>
      </w:r>
    </w:p>
    <w:p>
      <w:pPr>
        <w:spacing w:after="0" w:before="0"/>
      </w:pPr>
      <w:r>
        <w:rPr>
          <w:sz w:val="96"/>
          <w:szCs w:val="96"/>
        </w:rP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1. Introduction</w:t>
      </w:r>
    </w:p>
    <w:p>
      <w:pPr>
        <w:pStyle w:val="Heading2"/>
        <w:spacing w:after="120" w:before="300"/>
      </w:pPr>
      <w:r>
        <w:rPr>
          <w:rFonts w:ascii="Arial" w:cs="Arial" w:eastAsia="Arial" w:hAnsi="Arial"/>
          <w:b/>
          <w:bCs/>
          <w:color w:val="2E5FA3"/>
          <w:sz w:val="26"/>
          <w:szCs w:val="26"/>
        </w:rPr>
        <w:t xml:space="preserve">1.1  Purpose</w:t>
      </w:r>
    </w:p>
    <w:p>
      <w:pPr>
        <w:spacing w:after="100" w:before="60"/>
      </w:pPr>
      <w:r>
        <w:rPr>
          <w:rFonts w:ascii="Arial" w:cs="Arial" w:eastAsia="Arial" w:hAnsi="Arial"/>
          <w:color w:val="2D2D2D"/>
          <w:sz w:val="22"/>
          <w:szCs w:val="22"/>
        </w:rPr>
        <w:t xml:space="preserve">This Software Requirements Specification (SRS) defines the functional and non-functional requirements, system constraints, and acceptance criteria for the LLM Output Evaluation Tool. The document serves as the contractual baseline between stakeholders and the development team for all six phases of the SDLC.</w:t>
      </w:r>
    </w:p>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1.2  Scope</w:t>
      </w:r>
    </w:p>
    <w:p>
      <w:pPr>
        <w:spacing w:after="100" w:before="60"/>
      </w:pPr>
      <w:r>
        <w:rPr>
          <w:rFonts w:ascii="Arial" w:cs="Arial" w:eastAsia="Arial" w:hAnsi="Arial"/>
          <w:color w:val="2D2D2D"/>
          <w:sz w:val="22"/>
          <w:szCs w:val="22"/>
        </w:rPr>
        <w:t xml:space="preserve">The LLM Output Evaluation Tool is a full-stack web application that enables users to submit language model responses for structured rubric-based evaluation. The system scores each response across three dimensions — Correctness, Relevance, and Faithfulness — using Claude as the judge model. Results are stored persistently in SQLite, deduplicated via a hash map cache, and scheduled through a priority queue. A React dashboard surfaces aggregate scoring trends over time.</w:t>
      </w:r>
    </w:p>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SRS</w:t>
            </w:r>
          </w:p>
        </w:tc>
        <w:tc>
          <w:tcPr>
            <w:tcW w:type="dxa" w:w="65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Software Requirements Specification</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LLM</w:t>
            </w:r>
          </w:p>
        </w:tc>
        <w:tc>
          <w:tcPr>
            <w:tcW w:type="dxa" w:w="6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Large Language Model</w:t>
            </w:r>
          </w:p>
        </w:tc>
      </w:tr>
      <w:tr>
        <w:tc>
          <w:tcPr>
            <w:tcW w:type="dxa" w:w="2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Rubric</w:t>
            </w:r>
          </w:p>
        </w:tc>
        <w:tc>
          <w:tcPr>
            <w:tcW w:type="dxa" w:w="65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 structured scoring schema with defined dimensions and weights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Eval job</w:t>
            </w:r>
          </w:p>
        </w:tc>
        <w:tc>
          <w:tcPr>
            <w:tcW w:type="dxa" w:w="6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 single unit of work: one LLM response submitted for evaluation</w:t>
            </w:r>
          </w:p>
        </w:tc>
      </w:tr>
      <w:tr>
        <w:tc>
          <w:tcPr>
            <w:tcW w:type="dxa" w:w="2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Dedup cache</w:t>
            </w:r>
          </w:p>
        </w:tc>
        <w:tc>
          <w:tcPr>
            <w:tcW w:type="dxa" w:w="65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 hash map keyed on SHA-256 of the response text; prevents re-evaluation of identical inputs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Priority queue</w:t>
            </w:r>
          </w:p>
        </w:tc>
        <w:tc>
          <w:tcPr>
            <w:tcW w:type="dxa" w:w="6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 min-heap scheduling structure; jobs with lower priority values execute first</w:t>
            </w:r>
          </w:p>
        </w:tc>
      </w:tr>
      <w:tr>
        <w:tc>
          <w:tcPr>
            <w:tcW w:type="dxa" w:w="2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REST</w:t>
            </w:r>
          </w:p>
        </w:tc>
        <w:tc>
          <w:tcPr>
            <w:tcW w:type="dxa" w:w="65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Representational State Transfer; the architectural style used by the API layer</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JWT</w:t>
            </w:r>
          </w:p>
        </w:tc>
        <w:tc>
          <w:tcPr>
            <w:tcW w:type="dxa" w:w="6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JSON Web Token; used for stateless authentication</w:t>
            </w:r>
          </w:p>
        </w:tc>
      </w:tr>
      <w:tr>
        <w:tc>
          <w:tcPr>
            <w:tcW w:type="dxa" w:w="2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TLS</w:t>
            </w:r>
          </w:p>
        </w:tc>
        <w:tc>
          <w:tcPr>
            <w:tcW w:type="dxa" w:w="65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Transport Layer Security; encrypts traffic between client and server</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WCAG</w:t>
            </w:r>
          </w:p>
        </w:tc>
        <w:tc>
          <w:tcPr>
            <w:tcW w:type="dxa" w:w="6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Web Content Accessibility Guidelines</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1.4  System Overview</w:t>
      </w:r>
    </w:p>
    <w:p>
      <w:pPr>
        <w:spacing w:after="100" w:before="60"/>
      </w:pPr>
      <w:r>
        <w:rPr>
          <w:rFonts w:ascii="Arial" w:cs="Arial" w:eastAsia="Arial" w:hAnsi="Arial"/>
          <w:color w:val="2D2D2D"/>
          <w:sz w:val="22"/>
          <w:szCs w:val="22"/>
        </w:rPr>
        <w:t xml:space="preserve">The system consists of four logical layers:</w:t>
      </w:r>
    </w:p>
    <w:p>
      <w:pPr>
        <w:pStyle w:val="ListParagraph"/>
        <w:numPr>
          <w:ilvl w:val="0"/>
          <w:numId w:val="2"/>
        </w:numPr>
        <w:spacing w:after="60" w:before="40"/>
      </w:pPr>
      <w:r>
        <w:rPr>
          <w:rFonts w:ascii="Arial" w:cs="Arial" w:eastAsia="Arial" w:hAnsi="Arial"/>
          <w:color w:val="2D2D2D"/>
          <w:sz w:val="22"/>
          <w:szCs w:val="22"/>
        </w:rPr>
        <w:t xml:space="preserve">Frontend: React SPA served via a CDN or static host, communicating with the backend over HTTPS.</w:t>
      </w:r>
    </w:p>
    <w:p>
      <w:pPr>
        <w:pStyle w:val="ListParagraph"/>
        <w:numPr>
          <w:ilvl w:val="0"/>
          <w:numId w:val="2"/>
        </w:numPr>
        <w:spacing w:after="60" w:before="40"/>
      </w:pPr>
      <w:r>
        <w:rPr>
          <w:rFonts w:ascii="Arial" w:cs="Arial" w:eastAsia="Arial" w:hAnsi="Arial"/>
          <w:color w:val="2D2D2D"/>
          <w:sz w:val="22"/>
          <w:szCs w:val="22"/>
        </w:rPr>
        <w:t xml:space="preserve">API layer: FastAPI application exposing a versioned REST API at /api/v1/.</w:t>
      </w:r>
    </w:p>
    <w:p>
      <w:pPr>
        <w:pStyle w:val="ListParagraph"/>
        <w:numPr>
          <w:ilvl w:val="0"/>
          <w:numId w:val="2"/>
        </w:numPr>
        <w:spacing w:after="60" w:before="40"/>
      </w:pPr>
      <w:r>
        <w:rPr>
          <w:rFonts w:ascii="Arial" w:cs="Arial" w:eastAsia="Arial" w:hAnsi="Arial"/>
          <w:color w:val="2D2D2D"/>
          <w:sz w:val="22"/>
          <w:szCs w:val="22"/>
        </w:rPr>
        <w:t xml:space="preserve">Core engine: Priority queue worker, SHA-256 dedup cache, and rubric engine (Claude as judge).</w:t>
      </w:r>
    </w:p>
    <w:p>
      <w:pPr>
        <w:pStyle w:val="ListParagraph"/>
        <w:numPr>
          <w:ilvl w:val="0"/>
          <w:numId w:val="2"/>
        </w:numPr>
        <w:spacing w:after="60" w:before="40"/>
      </w:pPr>
      <w:r>
        <w:rPr>
          <w:rFonts w:ascii="Arial" w:cs="Arial" w:eastAsia="Arial" w:hAnsi="Arial"/>
          <w:color w:val="2D2D2D"/>
          <w:sz w:val="22"/>
          <w:szCs w:val="22"/>
        </w:rPr>
        <w:t xml:space="preserve">Persistence layer: SQLite database storing jobs, rubrics, results, and cached hashes.</w:t>
      </w:r>
    </w:p>
    <w:p>
      <w:pPr>
        <w:spacing w:after="0" w:before="0"/>
      </w:pPr>
      <w:r>
        <w:rPr>
          <w:sz w:val="24"/>
          <w:szCs w:val="24"/>
        </w:rP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2. Functional Requirements</w:t>
      </w:r>
    </w:p>
    <w:p>
      <w:pPr>
        <w:spacing w:after="100" w:before="60"/>
      </w:pPr>
      <w:r>
        <w:rPr>
          <w:rFonts w:ascii="Arial" w:cs="Arial" w:eastAsia="Arial" w:hAnsi="Arial"/>
          <w:color w:val="2D2D2D"/>
          <w:sz w:val="22"/>
          <w:szCs w:val="22"/>
        </w:rPr>
        <w:t xml:space="preserve">Functional requirements describe what the system must do. Each requirement is assigned a unique identifier (FR-XXX), a priority (P0 = must-have, P1 = should-have, P2 = nice-to-have), and a status.</w:t>
      </w:r>
    </w:p>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2.1  Job Submission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40"/>
        <w:gridCol w:w="5680"/>
        <w:gridCol w:w="960"/>
        <w:gridCol w:w="96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68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FR-001</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Users shall submit an evaluation job by providing: (a) the original prompt, (b) the LLM response text, and (c) an optional rubric ID. If no rubric is specified, the default three-dimension rubric applies.</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FR-002</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system shall compute a SHA-256 hash of the response text on submission and check the dedup cache before enqueuing the job.</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FR-003</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On a cache hit, the system shall return the previously computed result immediately without re-queuing.</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FR-004</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On a cache miss, the system shall enqueue the job in the priority queue and return a job ID and status of 'queued'.</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FR-005</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Users shall optionally assign a priority level (0 = urgent, 1 = standard, 2 = background) at submission time. Default is 1.</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2.2  Job Scheduling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40"/>
        <w:gridCol w:w="5680"/>
        <w:gridCol w:w="960"/>
        <w:gridCol w:w="96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68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FR-006</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priority queue shall process jobs in ascending priority order (P0 before P1 before P2). Within the same priority level, jobs shall be processed FIFO.</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FR-007</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queue worker shall process jobs concurrently up to a configurable MAX_WORKERS limit (default: 4).</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FR-008</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expose a job status endpoint that returns one of: queued, processing, completed, failed.</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FR-009</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Failed jobs shall be retried up to 3 times with exponential back-off before being marked as permanently failed.</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2.3  Rubric Evaluation Engine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40"/>
        <w:gridCol w:w="5680"/>
        <w:gridCol w:w="960"/>
        <w:gridCol w:w="96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68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FR-010</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evaluate each response on three default dimensions: Correctness, Relevance, and Faithfulness. Each dimension is scored 1–5.</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FR-011</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Each dimension score shall be accompanied by a chain-of-thought rationale generated by the judge model.</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FR-012</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composite score shall be the weighted average of the three dimension scores. Default weights: Correctness 40%, Relevance 30%, Faithfulness 30%.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FR-013</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Users shall be able to create custom rubrics via POST /api/v1/rubrics, specifying dimension names, descriptions, and weights. Weights must sum to 1.0.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FR-014</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Custom rubrics shall be persisted in SQLite and selectable at job submission time.</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2.4  Results and Dashboard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40"/>
        <w:gridCol w:w="5680"/>
        <w:gridCol w:w="960"/>
        <w:gridCol w:w="96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68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FR-015</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expose a paginated results endpoint (GET /api/v1/results) returning job ID, prompt, response, scores, rationale, rubric used, and timestamp.</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FR-016</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dashboard shall display aggregate statistics: mean composite score, score distribution histogram, and per-dimension averages.</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FR-017</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dashboard shall support filtering results by date range, rubric, and minimum/maximum composite score.</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FR-018</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Users shall be able to export results as CSV from the dashboard.</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P2</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FR-019</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Individual result detail views shall display the full rationale for each dimension score.</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P1</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2.5  Authentication and User Management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40"/>
        <w:gridCol w:w="5680"/>
        <w:gridCol w:w="960"/>
        <w:gridCol w:w="96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68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9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FR-020</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support user registration with email and password. Passwords shall be hashed with bcrypt (cost factor &gt;= 12).</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FR-021</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system shall issue JWT access tokens (15-minute expiry) and refresh tokens (7-day expiry) on successful login.</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FR-022</w:t>
            </w:r>
          </w:p>
        </w:tc>
        <w:tc>
          <w:tcPr>
            <w:tcW w:type="dxa" w:w="568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All API endpoints except /auth/register and /auth/login shall require a valid JWT in the Authorization header.</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Open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FR-023</w:t>
            </w:r>
          </w:p>
        </w:tc>
        <w:tc>
          <w:tcPr>
            <w:tcW w:type="dxa" w:w="56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Users shall only be able to view and manage their own jobs and rubrics.</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P0</w:t>
            </w:r>
          </w:p>
        </w:tc>
        <w:tc>
          <w:tcPr>
            <w:tcW w:type="dxa" w:w="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Open</w:t>
            </w:r>
          </w:p>
        </w:tc>
      </w:tr>
    </w:tbl>
    <w:p>
      <w:pPr>
        <w:spacing w:after="0" w:before="0"/>
      </w:pPr>
      <w:r>
        <w:rPr>
          <w:sz w:val="24"/>
          <w:szCs w:val="24"/>
        </w:rP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3. Non-Functional Requirements</w:t>
      </w:r>
    </w:p>
    <w:p>
      <w:pPr>
        <w:spacing w:after="100" w:before="60"/>
      </w:pPr>
      <w:r>
        <w:rPr>
          <w:rFonts w:ascii="Arial" w:cs="Arial" w:eastAsia="Arial" w:hAnsi="Arial"/>
          <w:color w:val="2D2D2D"/>
          <w:sz w:val="22"/>
          <w:szCs w:val="22"/>
        </w:rPr>
        <w:t xml:space="preserve">Non-functional requirements define quality attributes of the system — how well it performs its functions rather than what it does.</w:t>
      </w:r>
    </w:p>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800"/>
        <w:gridCol w:w="2000"/>
        <w:gridCol w:w="25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8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5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NFR-001</w:t>
            </w:r>
          </w:p>
        </w:tc>
        <w:tc>
          <w:tcPr>
            <w:tcW w:type="dxa" w:w="3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API response time for non-eval endpoints (job submission, status check, results fetch)</w:t>
            </w:r>
          </w:p>
        </w:tc>
        <w:tc>
          <w:tcPr>
            <w:tcW w:type="dxa" w:w="2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&lt; 200 ms at p95</w:t>
            </w:r>
          </w:p>
        </w:tc>
        <w:tc>
          <w:tcPr>
            <w:tcW w:type="dxa" w:w="25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Load test with Locust, 50 concurrent users</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NFR-002</w:t>
            </w:r>
          </w:p>
        </w:tc>
        <w:tc>
          <w:tcPr>
            <w:tcW w:type="dxa" w:w="3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Cache hit response time (dedup path)</w:t>
            </w:r>
          </w:p>
        </w:tc>
        <w:tc>
          <w:tcPr>
            <w:tcW w:type="dxa" w:w="2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&lt; 50 ms at p95</w:t>
            </w:r>
          </w:p>
        </w:tc>
        <w:tc>
          <w:tcPr>
            <w:tcW w:type="dxa" w:w="25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Unit benchmark with 1,000 lookups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NFR-003</w:t>
            </w:r>
          </w:p>
        </w:tc>
        <w:tc>
          <w:tcPr>
            <w:tcW w:type="dxa" w:w="3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End-to-end eval latency (queue → judge → result written)</w:t>
            </w:r>
          </w:p>
        </w:tc>
        <w:tc>
          <w:tcPr>
            <w:tcW w:type="dxa" w:w="2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&lt; 10 s for P0 jobs under normal load</w:t>
            </w:r>
          </w:p>
        </w:tc>
        <w:tc>
          <w:tcPr>
            <w:tcW w:type="dxa" w:w="25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Integration test timing</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NFR-004</w:t>
            </w:r>
          </w:p>
        </w:tc>
        <w:tc>
          <w:tcPr>
            <w:tcW w:type="dxa" w:w="3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Dashboard page initial load time</w:t>
            </w:r>
          </w:p>
        </w:tc>
        <w:tc>
          <w:tcPr>
            <w:tcW w:type="dxa" w:w="2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&lt; 2 s on 10 Mbps connection</w:t>
            </w:r>
          </w:p>
        </w:tc>
        <w:tc>
          <w:tcPr>
            <w:tcW w:type="dxa" w:w="25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Lighthouse performance audit</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NFR-005</w:t>
            </w:r>
          </w:p>
        </w:tc>
        <w:tc>
          <w:tcPr>
            <w:tcW w:type="dxa" w:w="38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System shall support at least 100 concurrent evaluation jobs without degradation</w:t>
            </w:r>
          </w:p>
        </w:tc>
        <w:tc>
          <w:tcPr>
            <w:tcW w:type="dxa" w:w="2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Queue depth &lt;= 500, no job loss</w:t>
            </w:r>
          </w:p>
        </w:tc>
        <w:tc>
          <w:tcPr>
            <w:tcW w:type="dxa" w:w="25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Load test</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3.2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5200"/>
        <w:gridCol w:w="31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1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NFR-006</w:t>
            </w:r>
          </w:p>
        </w:tc>
        <w:tc>
          <w:tcPr>
            <w:tcW w:type="dxa" w:w="5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System uptime (excluding scheduled maintenance)</w:t>
            </w:r>
          </w:p>
        </w:tc>
        <w:tc>
          <w:tcPr>
            <w:tcW w:type="dxa" w:w="3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&gt;= 99.5% monthly</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NFR-007</w:t>
            </w:r>
          </w:p>
        </w:tc>
        <w:tc>
          <w:tcPr>
            <w:tcW w:type="dxa" w:w="5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No eval job shall be silently lost. Failed jobs must be retried or flagged.</w:t>
            </w:r>
          </w:p>
        </w:tc>
        <w:tc>
          <w:tcPr>
            <w:tcW w:type="dxa" w:w="3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Zero silent job loss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NFR-008</w:t>
            </w:r>
          </w:p>
        </w:tc>
        <w:tc>
          <w:tcPr>
            <w:tcW w:type="dxa" w:w="5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SQLite WAL mode shall be enabled to prevent database corruption on concurrent writes.</w:t>
            </w:r>
          </w:p>
        </w:tc>
        <w:tc>
          <w:tcPr>
            <w:tcW w:type="dxa" w:w="3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No data corruption under concurrent load</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NFR-009</w:t>
            </w:r>
          </w:p>
        </w:tc>
        <w:tc>
          <w:tcPr>
            <w:tcW w:type="dxa" w:w="5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system shall degrade gracefully if the Anthropic API is unavailable — jobs shall remain queued rather than dropped.</w:t>
            </w:r>
          </w:p>
        </w:tc>
        <w:tc>
          <w:tcPr>
            <w:tcW w:type="dxa" w:w="3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Graceful degradation confirmed</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3.3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000"/>
        <w:gridCol w:w="43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0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3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NFR-010</w:t>
            </w:r>
          </w:p>
        </w:tc>
        <w:tc>
          <w:tcPr>
            <w:tcW w:type="dxa" w:w="4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All traffic between client and server shall be encrypted.</w:t>
            </w:r>
          </w:p>
        </w:tc>
        <w:tc>
          <w:tcPr>
            <w:tcW w:type="dxa" w:w="4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TLS 1.2 minimum via Let's Encrypt certificate</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NFR-011</w:t>
            </w:r>
          </w:p>
        </w:tc>
        <w:tc>
          <w:tcPr>
            <w:tcW w:type="dxa" w:w="4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All database queries shall use parameterized statements.</w:t>
            </w:r>
          </w:p>
        </w:tc>
        <w:tc>
          <w:tcPr>
            <w:tcW w:type="dxa" w:w="43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SQLAlchemy ORM with no raw string interpolation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NFR-012</w:t>
            </w:r>
          </w:p>
        </w:tc>
        <w:tc>
          <w:tcPr>
            <w:tcW w:type="dxa" w:w="4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API shall rate-limit unauthenticated endpoints to 10 req/min per IP.</w:t>
            </w:r>
          </w:p>
        </w:tc>
        <w:tc>
          <w:tcPr>
            <w:tcW w:type="dxa" w:w="4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FastAPI middleware + Redis token bucket (or in-memory fallback)</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NFR-013</w:t>
            </w:r>
          </w:p>
        </w:tc>
        <w:tc>
          <w:tcPr>
            <w:tcW w:type="dxa" w:w="4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Anthropic API key shall never be transmitted to the client.</w:t>
            </w:r>
          </w:p>
        </w:tc>
        <w:tc>
          <w:tcPr>
            <w:tcW w:type="dxa" w:w="43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Stored in server-side environment variable only</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NFR-014</w:t>
            </w:r>
          </w:p>
        </w:tc>
        <w:tc>
          <w:tcPr>
            <w:tcW w:type="dxa" w:w="4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Security headers shall be set on all responses.</w:t>
            </w:r>
          </w:p>
        </w:tc>
        <w:tc>
          <w:tcPr>
            <w:tcW w:type="dxa" w:w="4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HSTS, X-Content-Type-Options, X-Frame-Options, CSP</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NFR-015</w:t>
            </w:r>
          </w:p>
        </w:tc>
        <w:tc>
          <w:tcPr>
            <w:tcW w:type="dxa" w:w="4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Dependency vulnerabilities shall be scanned on every CI build.</w:t>
            </w:r>
          </w:p>
        </w:tc>
        <w:tc>
          <w:tcPr>
            <w:tcW w:type="dxa" w:w="43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pip-audit + npm audit in CI pipeline</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3.4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5000"/>
        <w:gridCol w:w="33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0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3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NFR-016</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Backend code coverage shall meet minimum threshold.</w:t>
            </w:r>
          </w:p>
        </w:tc>
        <w:tc>
          <w:tcPr>
            <w:tcW w:type="dxa" w:w="3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&gt;= 80% line coverage via pytest-cov</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NFR-017</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All API endpoints shall be documented via auto-generated OpenAPI spec.</w:t>
            </w:r>
          </w:p>
        </w:tc>
        <w:tc>
          <w:tcPr>
            <w:tcW w:type="dxa" w:w="33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Accessible at /docs in all environments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NFR-018</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emit structured JSON logs for all eval jobs, errors, and auth events.</w:t>
            </w:r>
          </w:p>
        </w:tc>
        <w:tc>
          <w:tcPr>
            <w:tcW w:type="dxa" w:w="3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Parseable by standard log aggregators</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NFR-019</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 /health endpoint shall return system status including queue depth and DB connectivity.</w:t>
            </w:r>
          </w:p>
        </w:tc>
        <w:tc>
          <w:tcPr>
            <w:tcW w:type="dxa" w:w="33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Used by uptime monitors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NFR-020</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Code shall pass lint checks on every commit.</w:t>
            </w:r>
          </w:p>
        </w:tc>
        <w:tc>
          <w:tcPr>
            <w:tcW w:type="dxa" w:w="3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Ruff (Python), ESLint (TypeScript)</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3.5  Usability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5000"/>
        <w:gridCol w:w="33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0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3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NFR-021</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frontend shall be usable without horizontal scrolling on screens &gt;= 375 px wide.</w:t>
            </w:r>
          </w:p>
        </w:tc>
        <w:tc>
          <w:tcPr>
            <w:tcW w:type="dxa" w:w="3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Responsive design, tested at 375/768/1280 px</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NFR-022</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application shall meet WCAG 2.1 Level AA accessibility guidelines.</w:t>
            </w:r>
          </w:p>
        </w:tc>
        <w:tc>
          <w:tcPr>
            <w:tcW w:type="dxa" w:w="33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Axe-core automated scan + manual keyboard navigation</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NFR-023</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Error messages returned by the API shall be human-readable and actionable.</w:t>
            </w:r>
          </w:p>
        </w:tc>
        <w:tc>
          <w:tcPr>
            <w:tcW w:type="dxa" w:w="33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No raw stack traces exposed to the client</w:t>
            </w:r>
          </w:p>
        </w:tc>
      </w:tr>
    </w:tbl>
    <w:p>
      <w:pPr>
        <w:spacing w:after="0" w:before="0"/>
      </w:pPr>
      <w:r>
        <w:rPr>
          <w:sz w:val="24"/>
          <w:szCs w:val="24"/>
        </w:rP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4. Constraints</w:t>
      </w:r>
    </w:p>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4.1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00"/>
        <w:gridCol w:w="41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41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CON-001</w:t>
            </w:r>
          </w:p>
        </w:tc>
        <w:tc>
          <w:tcPr>
            <w:tcW w:type="dxa" w:w="4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backend shall be implemented in Python 3.11+ using FastAPI.</w:t>
            </w:r>
          </w:p>
        </w:tc>
        <w:tc>
          <w:tcPr>
            <w:tcW w:type="dxa" w:w="4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Team familiarity; async support for queue worker; strong typing with Pydantic.</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CON-002</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frontend shall be implemented in React 18+ with TypeScript.</w:t>
            </w:r>
          </w:p>
        </w:tc>
        <w:tc>
          <w:tcPr>
            <w:tcW w:type="dxa" w:w="4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Type safety; large ecosystem; component reuse.</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CON-003</w:t>
            </w:r>
          </w:p>
        </w:tc>
        <w:tc>
          <w:tcPr>
            <w:tcW w:type="dxa" w:w="4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persistence layer shall use SQLite with SQLAlchemy ORM.</w:t>
            </w:r>
          </w:p>
        </w:tc>
        <w:tc>
          <w:tcPr>
            <w:tcW w:type="dxa" w:w="4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Zero-ops local storage; portable across environments; upgradeable to PostgreSQL later.</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CON-004</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judge model shall be claude-sonnet-4 via the Anthropic API.</w:t>
            </w:r>
          </w:p>
        </w:tc>
        <w:tc>
          <w:tcPr>
            <w:tcW w:type="dxa" w:w="4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Established quality baseline; structured output support; accessible via API key.</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CON-005</w:t>
            </w:r>
          </w:p>
        </w:tc>
        <w:tc>
          <w:tcPr>
            <w:tcW w:type="dxa" w:w="4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not use any database other than SQLite in v1.0.</w:t>
            </w:r>
          </w:p>
        </w:tc>
        <w:tc>
          <w:tcPr>
            <w:tcW w:type="dxa" w:w="4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Simplifies deployment; no external service dependency for MVP.</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CON-006</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dedup cache shall be implemented as an in-process Python dict (or equivalent) with SQLite as the backing store across restarts.</w:t>
            </w:r>
          </w:p>
        </w:tc>
        <w:tc>
          <w:tcPr>
            <w:tcW w:type="dxa" w:w="4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Avoids Redis dependency in v1.0 while surviving process restarts.</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4.2  Operational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00"/>
        <w:gridCol w:w="41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41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CON-007</w:t>
            </w:r>
          </w:p>
        </w:tc>
        <w:tc>
          <w:tcPr>
            <w:tcW w:type="dxa" w:w="4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The system shall run on a single Linux VPS with a minimum spec of 2 vCPU / 2 GB RAM.</w:t>
            </w:r>
          </w:p>
        </w:tc>
        <w:tc>
          <w:tcPr>
            <w:tcW w:type="dxa" w:w="4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Matches target deployment budget; SQLite is single-node by design.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CON-008</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Anthropic API key shall be managed as an environment variable and excluded from version control.</w:t>
            </w:r>
          </w:p>
        </w:tc>
        <w:tc>
          <w:tcPr>
            <w:tcW w:type="dxa" w:w="4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Secret hygiene; prevents accidental exposure in public repos.</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CON-009</w:t>
            </w:r>
          </w:p>
        </w:tc>
        <w:tc>
          <w:tcPr>
            <w:tcW w:type="dxa" w:w="4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TLS certificate shall be obtained and renewed automatically via Certbot + Let's Encrypt.</w:t>
            </w:r>
          </w:p>
        </w:tc>
        <w:tc>
          <w:tcPr>
            <w:tcW w:type="dxa" w:w="41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Zero-cost certificate authority; 90-day renewal automated via cron.</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CON-010</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domain shall be purchased and DNS managed via Cloudflare.</w:t>
            </w:r>
          </w:p>
        </w:tc>
        <w:tc>
          <w:tcPr>
            <w:tcW w:type="dxa" w:w="4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Free DNS management; DDoS protection; easy CNAME/A record configuration.</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4.3  Budget and Timeline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400"/>
        <w:gridCol w:w="4920"/>
      </w:tblGrid>
      <w:tr>
        <w:trPr>
          <w:tblHeader/>
        </w:trPr>
        <w:tc>
          <w:tcPr>
            <w:tcW w:type="dxa" w:w="104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4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Constraint</w:t>
            </w:r>
          </w:p>
        </w:tc>
        <w:tc>
          <w:tcPr>
            <w:tcW w:type="dxa" w:w="492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CON-011</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Total infrastructure cost shall not exceed $20/month.</w:t>
            </w:r>
          </w:p>
        </w:tc>
        <w:tc>
          <w:tcPr>
            <w:tcW w:type="dxa" w:w="49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VPS ~$6/mo, domain ~$1/mo amortized, Cloudflare free tier.</w:t>
            </w:r>
          </w:p>
        </w:tc>
      </w:tr>
      <w:tr>
        <w:tc>
          <w:tcPr>
            <w:tcW w:type="dxa" w:w="10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CON-012</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v1.0 shall be deployable within the six-phase SDLC timeline.</w:t>
            </w:r>
          </w:p>
        </w:tc>
        <w:tc>
          <w:tcPr>
            <w:tcW w:type="dxa" w:w="49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Phases run sequentially; no phase shall begin until the prior phase is signed off.</w:t>
            </w:r>
          </w:p>
        </w:tc>
      </w:tr>
      <w:tr>
        <w:tc>
          <w:tcPr>
            <w:tcW w:type="dxa" w:w="104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CON-013</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All third-party libraries shall be open-source with MIT, Apache 2.0, or BSD licenses.</w:t>
            </w:r>
          </w:p>
        </w:tc>
        <w:tc>
          <w:tcPr>
            <w:tcW w:type="dxa" w:w="492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Avoids GPL licensing complications in a potentially redistributed codebase.</w:t>
            </w:r>
          </w:p>
        </w:tc>
      </w:tr>
    </w:tbl>
    <w:p>
      <w:pPr>
        <w:spacing w:after="0" w:before="0"/>
      </w:pPr>
      <w:r>
        <w:rPr>
          <w:sz w:val="24"/>
          <w:szCs w:val="24"/>
        </w:rP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5. Acceptance Criteria</w:t>
      </w:r>
    </w:p>
    <w:p>
      <w:pPr>
        <w:spacing w:after="100" w:before="60"/>
      </w:pPr>
      <w:r>
        <w:rPr>
          <w:rFonts w:ascii="Arial" w:cs="Arial" w:eastAsia="Arial" w:hAnsi="Arial"/>
          <w:color w:val="2D2D2D"/>
          <w:sz w:val="22"/>
          <w:szCs w:val="22"/>
        </w:rPr>
        <w:t xml:space="preserve">Acceptance criteria define the conditions under which the system is considered to have satisfied each requirement. All P0 criteria must pass before Phase 3 (Development) is signed off. P1 criteria must pass before Phase 5 (Deployment).</w:t>
      </w:r>
    </w:p>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5.1  Core Evaluation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Criterion ID</w:t>
            </w:r>
          </w:p>
        </w:tc>
        <w:tc>
          <w:tcPr>
            <w:tcW w:type="dxa" w:w="34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7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AC-001</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Cache deduplication</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Submitting the same response text twice returns identical scores on the second call in &lt; 50 ms without calling the judge model.</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AC-002</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Rubric scoring completeness</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Every completed eval result contains a score (1–5) and rationale for all three default dimensions.</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AC-003</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Composite score calculation</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Composite score equals Correctness × 0.4 + Relevance × 0.3 + Faithfulness × 0.3, verified against 20 hand-scored examples.</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AC-004</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Priority queue ordering</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 P0 job submitted while P1 jobs are queued is processed before those P1 jobs. Verified by integration test.</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AC-005</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Job retry on failure</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 job whose judge API call fails transiently is retried up to 3 times before being marked 'failed'. Verified by mocking the Anthropic API.</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5.2  API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Criterion ID</w:t>
            </w:r>
          </w:p>
        </w:tc>
        <w:tc>
          <w:tcPr>
            <w:tcW w:type="dxa" w:w="34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7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AC-006</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Job submission endpoint</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POST /api/v1/jobs with valid payload returns HTTP 201 and a job object with id and status: queued.</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AC-007</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Status polling endpoint</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GET /api/v1/jobs/{id} returns correct status transitions: queued → processing → completed.</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AC-008</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Results pagination</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GET /api/v1/results with ?page=2&amp;page_size=10 returns the correct slice and total_count.</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AC-009</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Custom rubric creation</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POST /api/v1/rubrics with weights not summing to 1.0 returns HTTP 422 with a descriptive error message.</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AC-010</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Auth enforcement</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GET /api/v1/results without Authorization header returns HTTP 401. With an expired token returns HTTP 401.</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5.3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Criterion ID</w:t>
            </w:r>
          </w:p>
        </w:tc>
        <w:tc>
          <w:tcPr>
            <w:tcW w:type="dxa" w:w="34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7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AC-011</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Job submission flow</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User submits a job via the form; status badge updates to 'processing' then 'completed' without page refresh.</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AC-012</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Score display</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Completed job detail view displays per-dimension scores, rationale text, and composite score correctly.</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AC-013</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Dashboard aggregation</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Dashboard histogram reflects score distribution across all completed jobs for the authenticated user.</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AC-014</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Responsive layout</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No horizontal overflow at 375 px viewport width on Chrome Mobile emulator.</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AC-015</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CSV export</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Clicking 'Export CSV' on the results page triggers a file download containing all visible result rows.</w:t>
            </w:r>
          </w:p>
        </w:tc>
      </w:tr>
    </w:tbl>
    <w:p>
      <w:pPr>
        <w:spacing w:after="0" w:before="0"/>
      </w:pPr>
      <w:r>
        <w:rPr>
          <w:sz w:val="12"/>
          <w:szCs w:val="12"/>
        </w:rPr>
        <w:t xml:space="preserve"/>
      </w:r>
    </w:p>
    <w:p>
      <w:pPr>
        <w:pStyle w:val="Heading2"/>
        <w:spacing w:after="120" w:before="300"/>
      </w:pPr>
      <w:r>
        <w:rPr>
          <w:rFonts w:ascii="Arial" w:cs="Arial" w:eastAsia="Arial" w:hAnsi="Arial"/>
          <w:b/>
          <w:bCs/>
          <w:color w:val="2E5FA3"/>
          <w:sz w:val="26"/>
          <w:szCs w:val="26"/>
        </w:rPr>
        <w:t xml:space="preserve">5.4  Security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Criterion ID</w:t>
            </w:r>
          </w:p>
        </w:tc>
        <w:tc>
          <w:tcPr>
            <w:tcW w:type="dxa" w:w="34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7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AC-016</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SQL injection resistance</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Automated sqlmap scan against all POST endpoints returns no injectable parameters.</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AC-017</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TLS enforcement</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HTTP requests to the domain are redirected to HTTPS. SSL Labs scan returns grade A or higher.</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AC-018</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Rate limiting</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More than 10 unauthenticated requests per minute from a single IP returns HTTP 429 on the 11th request.</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AC-019</w:t>
            </w:r>
          </w:p>
        </w:tc>
        <w:tc>
          <w:tcPr>
            <w:tcW w:type="dxa" w:w="3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No silent job loss</w:t>
            </w:r>
          </w:p>
        </w:tc>
        <w:tc>
          <w:tcPr>
            <w:tcW w:type="dxa" w:w="4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Load test of 200 concurrent job submissions results in 200 completed or failed records in the database. Zero missing.</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AC-020</w:t>
            </w:r>
          </w:p>
        </w:tc>
        <w:tc>
          <w:tcPr>
            <w:tcW w:type="dxa" w:w="34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Health endpoint</w:t>
            </w:r>
          </w:p>
        </w:tc>
        <w:tc>
          <w:tcPr>
            <w:tcW w:type="dxa" w:w="47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GET /health returns HTTP 200 with queue_depth and db_status fields within 100 ms.</w:t>
            </w:r>
          </w:p>
        </w:tc>
      </w:tr>
    </w:tbl>
    <w:p>
      <w:pPr>
        <w:spacing w:after="0" w:before="0"/>
      </w:pPr>
      <w:r>
        <w:rPr>
          <w:sz w:val="24"/>
          <w:szCs w:val="24"/>
        </w:rP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6. Appendix — Requirement Traceability Matrix</w:t>
      </w:r>
    </w:p>
    <w:p>
      <w:pPr>
        <w:spacing w:after="100" w:before="60"/>
      </w:pPr>
      <w:r>
        <w:rPr>
          <w:rFonts w:ascii="Arial" w:cs="Arial" w:eastAsia="Arial" w:hAnsi="Arial"/>
          <w:color w:val="2D2D2D"/>
          <w:sz w:val="22"/>
          <w:szCs w:val="22"/>
        </w:rPr>
        <w:t xml:space="preserve">Each functional requirement maps to at least one acceptance criterion. This matrix ensures full coverage.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FR ID</w:t>
            </w:r>
          </w:p>
        </w:tc>
        <w:tc>
          <w:tcPr>
            <w:tcW w:type="dxa" w:w="500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Requirement Summary</w:t>
            </w:r>
          </w:p>
        </w:tc>
        <w:tc>
          <w:tcPr>
            <w:tcW w:type="dxa" w:w="3160"/>
            <w:tcBorders>
              <w:top w:val="single" w:color="BFCFE8" w:sz="1"/>
              <w:left w:val="single" w:color="BFCFE8" w:sz="1"/>
              <w:bottom w:val="single" w:color="BFCFE8" w:sz="1"/>
              <w:right w:val="single" w:color="BFCFE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Acceptance Criterion(s)</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FR-001</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Job submission with prompt + response + rubric</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AC-006</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FR-002–003</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SHA-256 dedup cache lookup</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AC-001</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FR-004</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Enqueue on cache miss</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AC-006, AC-007</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FR-005</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Priority level at submission</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AC-004</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FR-006–007</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Priority queue ordering and concurrency</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AC-004</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FR-008</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Job status endpoint</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AC-007</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FR-009</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Retry on failure</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AC-005</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FR-010–012</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Default rubric, scoring, composite</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AC-002, AC-003</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FR-013–014</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Custom rubric creation</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AC-009</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FR-015</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Results endpoint with pagination</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AC-008</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FR-016–017</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Dashboard with aggregates and filters</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AC-013</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FR-018</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CSV export</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AC-015</w:t>
            </w:r>
          </w:p>
        </w:tc>
      </w:tr>
      <w:tr>
        <w:tc>
          <w:tcPr>
            <w:tcW w:type="dxa" w:w="12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FR-019</w:t>
            </w:r>
          </w:p>
        </w:tc>
        <w:tc>
          <w:tcPr>
            <w:tcW w:type="dxa" w:w="500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Result detail view</w:t>
            </w:r>
          </w:p>
        </w:tc>
        <w:tc>
          <w:tcPr>
            <w:tcW w:type="dxa" w:w="3160"/>
            <w:tcBorders>
              <w:top w:val="single" w:color="BFCFE8" w:sz="1"/>
              <w:left w:val="single" w:color="BFCFE8" w:sz="1"/>
              <w:bottom w:val="single" w:color="BFCFE8" w:sz="1"/>
              <w:right w:val="single" w:color="BFCFE8" w:sz="1"/>
            </w:tcBorders>
            <w:shd w:fill="F5F8FD" w:val="clear"/>
            <w:tcMar>
              <w:top w:type="dxa" w:w="80"/>
              <w:left w:type="dxa" w:w="140"/>
              <w:bottom w:type="dxa" w:w="80"/>
              <w:right w:type="dxa" w:w="140"/>
            </w:tcMar>
          </w:tcPr>
          <w:p>
            <w:r>
              <w:rPr>
                <w:rFonts w:ascii="Arial" w:cs="Arial" w:eastAsia="Arial" w:hAnsi="Arial"/>
                <w:color w:val="2D2D2D"/>
                <w:sz w:val="20"/>
                <w:szCs w:val="20"/>
              </w:rPr>
              <w:t xml:space="preserve">AC-012</w:t>
            </w:r>
          </w:p>
        </w:tc>
      </w:tr>
      <w:tr>
        <w:tc>
          <w:tcPr>
            <w:tcW w:type="dxa" w:w="1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FR-020–023</w:t>
            </w:r>
          </w:p>
        </w:tc>
        <w:tc>
          <w:tcPr>
            <w:tcW w:type="dxa" w:w="5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Auth: registration, JWT, enforcement, isolation</w:t>
            </w:r>
          </w:p>
        </w:tc>
        <w:tc>
          <w:tcPr>
            <w:tcW w:type="dxa" w:w="31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AC-010</w:t>
            </w:r>
          </w:p>
        </w:tc>
      </w:tr>
    </w:tbl>
    <w:p>
      <w:pPr>
        <w:spacing w:after="0" w:before="0"/>
      </w:pPr>
      <w:r>
        <w:rPr>
          <w:sz w:val="24"/>
          <w:szCs w:val="24"/>
        </w:rPr>
        <w:t xml:space="preserve"/>
      </w:r>
    </w:p>
    <w:p>
      <w:pPr>
        <w:spacing w:before="400"/>
        <w:jc w:val="center"/>
      </w:pPr>
      <w:r>
        <w:rPr>
          <w:rFonts w:ascii="Arial" w:cs="Arial" w:eastAsia="Arial" w:hAnsi="Arial"/>
          <w:i/>
          <w:iCs/>
          <w:color w:val="59595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2026-04-10T03:32:19.201Z</dcterms:created>
  <dcterms:modified xsi:type="dcterms:W3CDTF">2026-04-10T03:32:19.201Z</dcterms:modified>
</cp:coreProperties>
</file>

<file path=docProps/custom.xml><?xml version="1.0" encoding="utf-8"?>
<Properties xmlns="http://schemas.openxmlformats.org/officeDocument/2006/custom-properties" xmlns:vt="http://schemas.openxmlformats.org/officeDocument/2006/docPropsVTypes"/>
</file>