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Georgia" w:cs="Georgia" w:eastAsia="Georgia" w:hAnsi="Georgia"/>
          <w:b/>
          <w:bCs/>
          <w:color w:val="1A2B45"/>
          <w:sz w:val="64"/>
          <w:szCs w:val="64"/>
        </w:rPr>
        <w:t xml:space="preserve">Nautical Dusk</w:t>
      </w:r>
    </w:p>
    <w:p>
      <w:pPr>
        <w:spacing w:before="0" w:after="60"/>
      </w:pPr>
      <w:r>
        <w:rPr>
          <w:rFonts w:ascii="Calibri" w:cs="Calibri" w:eastAsia="Calibri" w:hAnsi="Calibri"/>
          <w:color w:val="4A5568"/>
          <w:sz w:val="28"/>
          <w:szCs w:val="28"/>
        </w:rPr>
        <w:t xml:space="preserve">Website Design System</w:t>
      </w:r>
    </w:p>
    <w:p>
      <w:pPr>
        <w:spacing w:before="0" w:after="40"/>
      </w:pPr>
      <w:r>
        <w:rPr>
          <w:rFonts w:ascii="Calibri" w:cs="Calibri" w:eastAsia="Calibri" w:hAnsi="Calibri"/>
          <w:color w:val="4A5568"/>
          <w:sz w:val="20"/>
          <w:szCs w:val="20"/>
        </w:rPr>
        <w:t xml:space="preserve">Version 1.0  ·  February 2026</w:t>
      </w:r>
    </w:p>
    <w:p>
      <w:pPr>
        <w:pBdr>
          <w:bottom w:val="single" w:color="E8713A" w:sz="6" w:space="1"/>
        </w:pBdr>
        <w:spacing w:before="0" w:after="480"/>
      </w:pPr>
      <w:r>
        <w:t xml:space="preserve"/>
      </w:r>
    </w:p>
    <w:p>
      <w:pPr>
        <w:pStyle w:val="Heading1"/>
        <w:spacing w:before="480" w:after="120"/>
      </w:pPr>
      <w:r>
        <w:rPr>
          <w:rFonts w:ascii="Georgia" w:cs="Georgia" w:eastAsia="Georgia" w:hAnsi="Georgia"/>
          <w:b/>
          <w:bCs/>
          <w:color w:val="1A2B45"/>
          <w:sz w:val="36"/>
          <w:szCs w:val="36"/>
        </w:rPr>
        <w:t xml:space="preserve">1. Design Direction</w:t>
      </w:r>
    </w:p>
    <w:p>
      <w:pPr>
        <w:spacing w:before="0" w:after="120"/>
      </w:pPr>
      <w:r>
        <w:rPr>
          <w:rFonts w:ascii="Calibri" w:cs="Calibri" w:eastAsia="Calibri" w:hAnsi="Calibri"/>
          <w:color w:val="2D2D2D"/>
          <w:sz w:val="22"/>
          <w:szCs w:val="22"/>
        </w:rPr>
        <w:t xml:space="preserve">Nautical Dusk is a professional website design system anchored by a single governing image: a still albatross held motionless against an atmosphere in motion. Dusk light, heavy ocean grain, and the tension between calm and chaos are the emotional foundation of every visual decision made in this document.</w:t>
      </w:r>
    </w:p>
    <w:p>
      <w:pPr>
        <w:spacing w:before="0" w:after="160"/>
      </w:pPr>
      <w:r>
        <w:t xml:space="preserve"/>
      </w:r>
    </w:p>
    <w:p>
      <w:pPr>
        <w:spacing w:before="0" w:after="120"/>
      </w:pPr>
      <w:r>
        <w:rPr>
          <w:rFonts w:ascii="Calibri" w:cs="Calibri" w:eastAsia="Calibri" w:hAnsi="Calibri"/>
          <w:color w:val="2D2D2D"/>
          <w:sz w:val="22"/>
          <w:szCs w:val="22"/>
        </w:rPr>
        <w:t xml:space="preserve">The design is intended for professional use — consultancy, creative practice, or portfolio — where credibility and distinctiveness must coexist. It is not minimal for minimalism's sake, nor ornate for ornament's sake. Every element earns its place.</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Design Principles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C9C0" w:sz="1"/>
              <w:left w:val="single" w:color="D1C9C0" w:sz="1"/>
              <w:bottom w:val="single" w:color="D1C9C0" w:sz="1"/>
              <w:right w:val="single" w:color="D1C9C0" w:sz="1"/>
            </w:tcBorders>
            <w:shd w:fill="1A2B45" w:val="clear"/>
            <w:tcMar>
              <w:top w:type="dxa" w:w="100"/>
              <w:left w:type="dxa" w:w="160"/>
              <w:bottom w:type="dxa" w:w="100"/>
              <w:right w:type="dxa" w:w="160"/>
            </w:tcMar>
          </w:tcPr>
          <w:p>
            <w:r>
              <w:rPr>
                <w:rFonts w:ascii="Georgia" w:cs="Georgia" w:eastAsia="Georgia" w:hAnsi="Georgia"/>
                <w:b/>
                <w:bCs/>
                <w:color w:val="FFFFFF"/>
                <w:sz w:val="20"/>
                <w:szCs w:val="20"/>
              </w:rPr>
              <w:t xml:space="preserve">Stillness in Motion</w:t>
            </w:r>
          </w:p>
        </w:tc>
        <w:tc>
          <w:tcPr>
            <w:tcW w:type="dxa" w:w="6960"/>
            <w:tcBorders>
              <w:top w:val="single" w:color="D1C9C0" w:sz="1"/>
              <w:left w:val="single" w:color="D1C9C0" w:sz="1"/>
              <w:bottom w:val="single" w:color="D1C9C0" w:sz="1"/>
              <w:right w:val="single" w:color="D1C9C0" w:sz="1"/>
            </w:tcBorders>
            <w:tcMar>
              <w:top w:type="dxa" w:w="100"/>
              <w:left w:type="dxa" w:w="200"/>
              <w:bottom w:type="dxa" w:w="100"/>
              <w:right w:type="dxa" w:w="160"/>
            </w:tcMar>
          </w:tcPr>
          <w:p>
            <w:r>
              <w:rPr>
                <w:rFonts w:ascii="Calibri" w:cs="Calibri" w:eastAsia="Calibri" w:hAnsi="Calibri"/>
                <w:color w:val="2D2D2D"/>
                <w:sz w:val="20"/>
                <w:szCs w:val="20"/>
              </w:rPr>
              <w:t xml:space="preserve">The bird is the only precise, clean element in a textured scene. Crisp, intentional UI components sit against rich, layered backgrounds — never the reverse.</w:t>
            </w:r>
          </w:p>
        </w:tc>
      </w:tr>
      <w:tr>
        <w:tc>
          <w:tcPr>
            <w:tcW w:type="dxa" w:w="2400"/>
            <w:tcBorders>
              <w:top w:val="single" w:color="D1C9C0" w:sz="1"/>
              <w:left w:val="single" w:color="D1C9C0" w:sz="1"/>
              <w:bottom w:val="single" w:color="D1C9C0" w:sz="1"/>
              <w:right w:val="single" w:color="D1C9C0" w:sz="1"/>
            </w:tcBorders>
            <w:shd w:fill="1A2B45" w:val="clear"/>
            <w:tcMar>
              <w:top w:type="dxa" w:w="100"/>
              <w:left w:type="dxa" w:w="160"/>
              <w:bottom w:type="dxa" w:w="100"/>
              <w:right w:type="dxa" w:w="160"/>
            </w:tcMar>
          </w:tcPr>
          <w:p>
            <w:r>
              <w:rPr>
                <w:rFonts w:ascii="Georgia" w:cs="Georgia" w:eastAsia="Georgia" w:hAnsi="Georgia"/>
                <w:b/>
                <w:bCs/>
                <w:color w:val="FFFFFF"/>
                <w:sz w:val="20"/>
                <w:szCs w:val="20"/>
              </w:rPr>
              <w:t xml:space="preserve">Earned Texture</w:t>
            </w:r>
          </w:p>
        </w:tc>
        <w:tc>
          <w:tcPr>
            <w:tcW w:type="dxa" w:w="6960"/>
            <w:tcBorders>
              <w:top w:val="single" w:color="D1C9C0" w:sz="1"/>
              <w:left w:val="single" w:color="D1C9C0" w:sz="1"/>
              <w:bottom w:val="single" w:color="D1C9C0" w:sz="1"/>
              <w:right w:val="single" w:color="D1C9C0" w:sz="1"/>
            </w:tcBorders>
            <w:tcMar>
              <w:top w:type="dxa" w:w="100"/>
              <w:left w:type="dxa" w:w="200"/>
              <w:bottom w:type="dxa" w:w="100"/>
              <w:right w:type="dxa" w:w="160"/>
            </w:tcMar>
          </w:tcPr>
          <w:p>
            <w:r>
              <w:rPr>
                <w:rFonts w:ascii="Calibri" w:cs="Calibri" w:eastAsia="Calibri" w:hAnsi="Calibri"/>
                <w:color w:val="2D2D2D"/>
                <w:sz w:val="20"/>
                <w:szCs w:val="20"/>
              </w:rPr>
              <w:t xml:space="preserve">Grain, noise, and layering are used purposefully — as atmosphere — never as decoration. Clean sections are permitted and are the visual relief that makes texture meaningful.</w:t>
            </w:r>
          </w:p>
        </w:tc>
      </w:tr>
      <w:tr>
        <w:tc>
          <w:tcPr>
            <w:tcW w:type="dxa" w:w="2400"/>
            <w:tcBorders>
              <w:top w:val="single" w:color="D1C9C0" w:sz="1"/>
              <w:left w:val="single" w:color="D1C9C0" w:sz="1"/>
              <w:bottom w:val="single" w:color="D1C9C0" w:sz="1"/>
              <w:right w:val="single" w:color="D1C9C0" w:sz="1"/>
            </w:tcBorders>
            <w:shd w:fill="1A2B45" w:val="clear"/>
            <w:tcMar>
              <w:top w:type="dxa" w:w="100"/>
              <w:left w:type="dxa" w:w="160"/>
              <w:bottom w:type="dxa" w:w="100"/>
              <w:right w:type="dxa" w:w="160"/>
            </w:tcMar>
          </w:tcPr>
          <w:p>
            <w:r>
              <w:rPr>
                <w:rFonts w:ascii="Georgia" w:cs="Georgia" w:eastAsia="Georgia" w:hAnsi="Georgia"/>
                <w:b/>
                <w:bCs/>
                <w:color w:val="FFFFFF"/>
                <w:sz w:val="20"/>
                <w:szCs w:val="20"/>
              </w:rPr>
              <w:t xml:space="preserve">Professional Weight</w:t>
            </w:r>
          </w:p>
        </w:tc>
        <w:tc>
          <w:tcPr>
            <w:tcW w:type="dxa" w:w="6960"/>
            <w:tcBorders>
              <w:top w:val="single" w:color="D1C9C0" w:sz="1"/>
              <w:left w:val="single" w:color="D1C9C0" w:sz="1"/>
              <w:bottom w:val="single" w:color="D1C9C0" w:sz="1"/>
              <w:right w:val="single" w:color="D1C9C0" w:sz="1"/>
            </w:tcBorders>
            <w:tcMar>
              <w:top w:type="dxa" w:w="100"/>
              <w:left w:type="dxa" w:w="200"/>
              <w:bottom w:type="dxa" w:w="100"/>
              <w:right w:type="dxa" w:w="160"/>
            </w:tcMar>
          </w:tcPr>
          <w:p>
            <w:r>
              <w:rPr>
                <w:rFonts w:ascii="Calibri" w:cs="Calibri" w:eastAsia="Calibri" w:hAnsi="Calibri"/>
                <w:color w:val="2D2D2D"/>
                <w:sz w:val="20"/>
                <w:szCs w:val="20"/>
              </w:rPr>
              <w:t xml:space="preserve">Orange and pink are accents, not themes. They appear in measured doses — a horizon line, a pull quote mark, a hover state — never as background fills across large sections.</w:t>
            </w:r>
          </w:p>
        </w:tc>
      </w:tr>
      <w:tr>
        <w:tc>
          <w:tcPr>
            <w:tcW w:type="dxa" w:w="2400"/>
            <w:tcBorders>
              <w:top w:val="single" w:color="D1C9C0" w:sz="1"/>
              <w:left w:val="single" w:color="D1C9C0" w:sz="1"/>
              <w:bottom w:val="single" w:color="D1C9C0" w:sz="1"/>
              <w:right w:val="single" w:color="D1C9C0" w:sz="1"/>
            </w:tcBorders>
            <w:shd w:fill="1A2B45" w:val="clear"/>
            <w:tcMar>
              <w:top w:type="dxa" w:w="100"/>
              <w:left w:type="dxa" w:w="160"/>
              <w:bottom w:type="dxa" w:w="100"/>
              <w:right w:type="dxa" w:w="160"/>
            </w:tcMar>
          </w:tcPr>
          <w:p>
            <w:r>
              <w:rPr>
                <w:rFonts w:ascii="Georgia" w:cs="Georgia" w:eastAsia="Georgia" w:hAnsi="Georgia"/>
                <w:b/>
                <w:bCs/>
                <w:color w:val="FFFFFF"/>
                <w:sz w:val="20"/>
                <w:szCs w:val="20"/>
              </w:rPr>
              <w:t xml:space="preserve">Typographic Contrast</w:t>
            </w:r>
          </w:p>
        </w:tc>
        <w:tc>
          <w:tcPr>
            <w:tcW w:type="dxa" w:w="6960"/>
            <w:tcBorders>
              <w:top w:val="single" w:color="D1C9C0" w:sz="1"/>
              <w:left w:val="single" w:color="D1C9C0" w:sz="1"/>
              <w:bottom w:val="single" w:color="D1C9C0" w:sz="1"/>
              <w:right w:val="single" w:color="D1C9C0" w:sz="1"/>
            </w:tcBorders>
            <w:tcMar>
              <w:top w:type="dxa" w:w="100"/>
              <w:left w:type="dxa" w:w="200"/>
              <w:bottom w:type="dxa" w:w="100"/>
              <w:right w:type="dxa" w:w="160"/>
            </w:tcMar>
          </w:tcPr>
          <w:p>
            <w:r>
              <w:rPr>
                <w:rFonts w:ascii="Calibri" w:cs="Calibri" w:eastAsia="Calibri" w:hAnsi="Calibri"/>
                <w:color w:val="2D2D2D"/>
                <w:sz w:val="20"/>
                <w:szCs w:val="20"/>
              </w:rPr>
              <w:t xml:space="preserve">Serif headers carry the editorial, maritime tone. Sans-serif body text ensures readability and signals professionalism. The contrast is intentional and should never be blurred.</w:t>
            </w:r>
          </w:p>
        </w:tc>
      </w:tr>
    </w:tbl>
    <w:p>
      <w:pPr>
        <w:spacing w:before="0" w:after="160"/>
      </w:pPr>
      <w:r>
        <w:t xml:space="preserve"/>
      </w:r>
    </w:p>
    <w:p>
      <w:r>
        <w:br w:type="page"/>
      </w:r>
    </w:p>
    <w:p>
      <w:pPr>
        <w:pStyle w:val="Heading1"/>
        <w:spacing w:before="480" w:after="120"/>
      </w:pPr>
      <w:r>
        <w:rPr>
          <w:rFonts w:ascii="Georgia" w:cs="Georgia" w:eastAsia="Georgia" w:hAnsi="Georgia"/>
          <w:b/>
          <w:bCs/>
          <w:color w:val="1A2B45"/>
          <w:sz w:val="36"/>
          <w:szCs w:val="36"/>
        </w:rPr>
        <w:t xml:space="preserve">2. Color System</w:t>
      </w:r>
    </w:p>
    <w:p>
      <w:pPr>
        <w:spacing w:before="0" w:after="120"/>
      </w:pPr>
      <w:r>
        <w:rPr>
          <w:rFonts w:ascii="Calibri" w:cs="Calibri" w:eastAsia="Calibri" w:hAnsi="Calibri"/>
          <w:color w:val="2D2D2D"/>
          <w:sz w:val="22"/>
          <w:szCs w:val="22"/>
        </w:rPr>
        <w:t xml:space="preserve">The palette is drawn directly from a risograph-printed dusk scene. All colors are named after their atmospheric source. Orange and pink exist only as accents — they are the light, not the sky.</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Primary Palette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2160"/>
      </w:tblGrid>
      <w:tr>
        <w:tc>
          <w:tcPr>
            <w:tcW w:type="dxa" w:w="1200"/>
            <w:tcBorders>
              <w:top w:val="single" w:color="D1C9C0" w:sz="1"/>
              <w:left w:val="single" w:color="D1C9C0" w:sz="1"/>
              <w:bottom w:val="single" w:color="D1C9C0" w:sz="1"/>
              <w:right w:val="single" w:color="D1C9C0" w:sz="1"/>
            </w:tcBorders>
            <w:shd w:fill="D1C9C0" w:val="clear"/>
            <w:tcMar>
              <w:top w:type="dxa" w:w="40"/>
              <w:left w:type="dxa" w:w="0"/>
              <w:bottom w:type="dxa" w:w="40"/>
              <w:right w:type="dxa" w:w="0"/>
            </w:tcMar>
          </w:tcPr>
          <w:p>
            <w:r>
              <w:rPr>
                <w:rFonts w:ascii="Calibri" w:cs="Calibri" w:eastAsia="Calibri" w:hAnsi="Calibri"/>
                <w:b/>
                <w:bCs/>
                <w:caps/>
                <w:color w:val="4A5568"/>
                <w:sz w:val="16"/>
                <w:szCs w:val="16"/>
              </w:rPr>
              <w:t xml:space="preserve">SWATCH</w:t>
            </w:r>
          </w:p>
        </w:tc>
        <w:tc>
          <w:tcPr>
            <w:tcW w:type="dxa" w:w="4000"/>
            <w:tcBorders>
              <w:top w:val="single" w:color="D1C9C0" w:sz="1"/>
              <w:left w:val="single" w:color="D1C9C0" w:sz="1"/>
              <w:bottom w:val="single" w:color="D1C9C0" w:sz="1"/>
              <w:right w:val="single" w:color="D1C9C0" w:sz="1"/>
            </w:tcBorders>
            <w:shd w:fill="D1C9C0" w:val="clear"/>
            <w:tcMar>
              <w:top w:type="dxa" w:w="40"/>
              <w:left w:type="dxa" w:w="200"/>
              <w:bottom w:type="dxa" w:w="40"/>
              <w:right w:type="dxa" w:w="0"/>
            </w:tcMar>
          </w:tcPr>
          <w:p>
            <w:r>
              <w:rPr>
                <w:rFonts w:ascii="Calibri" w:cs="Calibri" w:eastAsia="Calibri" w:hAnsi="Calibri"/>
                <w:b/>
                <w:bCs/>
                <w:caps/>
                <w:color w:val="4A5568"/>
                <w:sz w:val="16"/>
                <w:szCs w:val="16"/>
              </w:rPr>
              <w:t xml:space="preserve">NAME / ROLE</w:t>
            </w:r>
          </w:p>
        </w:tc>
        <w:tc>
          <w:tcPr>
            <w:tcW w:type="dxa" w:w="200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HEX</w:t>
            </w:r>
          </w:p>
        </w:tc>
        <w:tc>
          <w:tcPr>
            <w:tcW w:type="dxa" w:w="216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USAGE</w:t>
            </w:r>
          </w:p>
        </w:tc>
      </w:tr>
      <w:tr>
        <w:tc>
          <w:tcPr>
            <w:tcW w:type="dxa" w:w="1200"/>
            <w:tcBorders>
              <w:top w:val="single" w:color="D1C9C0" w:sz="1"/>
              <w:left w:val="single" w:color="D1C9C0" w:sz="1"/>
              <w:bottom w:val="single" w:color="D1C9C0" w:sz="1"/>
              <w:right w:val="single" w:color="D1C9C0" w:sz="1"/>
            </w:tcBorders>
            <w:shd w:fill="1A2B45"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Night Water  —  Primary Dark</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#1A2B45</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r>
        <w:tc>
          <w:tcPr>
            <w:tcW w:type="dxa" w:w="1200"/>
            <w:tcBorders>
              <w:top w:val="single" w:color="D1C9C0" w:sz="1"/>
              <w:left w:val="single" w:color="D1C9C0" w:sz="1"/>
              <w:bottom w:val="single" w:color="D1C9C0" w:sz="1"/>
              <w:right w:val="single" w:color="D1C9C0" w:sz="1"/>
            </w:tcBorders>
            <w:shd w:fill="2E4A72"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Open Ocean  —  Secondary Dark</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#2E4A72</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r>
        <w:tc>
          <w:tcPr>
            <w:tcW w:type="dxa" w:w="1200"/>
            <w:tcBorders>
              <w:top w:val="single" w:color="D1C9C0" w:sz="1"/>
              <w:left w:val="single" w:color="D1C9C0" w:sz="1"/>
              <w:bottom w:val="single" w:color="D1C9C0" w:sz="1"/>
              <w:right w:val="single" w:color="D1C9C0" w:sz="1"/>
            </w:tcBorders>
            <w:shd w:fill="E8713A"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Horizon Glow  —  Accent Primary</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#E8713A</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r>
        <w:tc>
          <w:tcPr>
            <w:tcW w:type="dxa" w:w="1200"/>
            <w:tcBorders>
              <w:top w:val="single" w:color="D1C9C0" w:sz="1"/>
              <w:left w:val="single" w:color="D1C9C0" w:sz="1"/>
              <w:bottom w:val="single" w:color="D1C9C0" w:sz="1"/>
              <w:right w:val="single" w:color="D1C9C0" w:sz="1"/>
            </w:tcBorders>
            <w:shd w:fill="E8A0A8"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Dusk Bloom  —  Accent Secondary</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#E8A0A8</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r>
        <w:tc>
          <w:tcPr>
            <w:tcW w:type="dxa" w:w="1200"/>
            <w:tcBorders>
              <w:top w:val="single" w:color="D1C9C0" w:sz="1"/>
              <w:left w:val="single" w:color="D1C9C0" w:sz="1"/>
              <w:bottom w:val="single" w:color="D1C9C0" w:sz="1"/>
              <w:right w:val="single" w:color="D1C9C0" w:sz="1"/>
            </w:tcBorders>
            <w:shd w:fill="4A5568"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Storm Slate  —  Neutral Mid</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#4A5568</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r>
        <w:tc>
          <w:tcPr>
            <w:tcW w:type="dxa" w:w="1200"/>
            <w:tcBorders>
              <w:top w:val="single" w:color="D1C9C0" w:sz="1"/>
              <w:left w:val="single" w:color="D1C9C0" w:sz="1"/>
              <w:bottom w:val="single" w:color="D1C9C0" w:sz="1"/>
              <w:right w:val="single" w:color="D1C9C0" w:sz="1"/>
            </w:tcBorders>
            <w:shd w:fill="F7F5F2"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Sea Foam  —  Neutral Light</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#F7F5F2</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r>
        <w:tc>
          <w:tcPr>
            <w:tcW w:type="dxa" w:w="1200"/>
            <w:tcBorders>
              <w:top w:val="single" w:color="D1C9C0" w:sz="1"/>
              <w:left w:val="single" w:color="D1C9C0" w:sz="1"/>
              <w:bottom w:val="single" w:color="D1C9C0" w:sz="1"/>
              <w:right w:val="single" w:color="D1C9C0" w:sz="1"/>
            </w:tcBorders>
            <w:shd w:fill="FFFFFF" w:val="clear"/>
            <w:tcMar>
              <w:top w:type="dxa" w:w="200"/>
              <w:left w:type="dxa" w:w="120"/>
              <w:bottom w:type="dxa" w:w="200"/>
              <w:right w:type="dxa" w:w="120"/>
            </w:tcMar>
          </w:tcPr>
          <w:p>
            <w:r>
              <w:t xml:space="preserve"/>
            </w:r>
          </w:p>
        </w:tc>
        <w:tc>
          <w:tcPr>
            <w:tcW w:type="dxa" w:w="4000"/>
            <w:tcBorders>
              <w:top w:val="single" w:color="D1C9C0" w:sz="1"/>
              <w:left w:val="single" w:color="D1C9C0" w:sz="1"/>
              <w:bottom w:val="single" w:color="D1C9C0" w:sz="1"/>
              <w:right w:val="single" w:color="D1C9C0" w:sz="1"/>
            </w:tcBorders>
            <w:tcMar>
              <w:top w:type="dxa" w:w="80"/>
              <w:left w:type="dxa" w:w="200"/>
              <w:bottom w:type="dxa" w:w="80"/>
              <w:right w:type="dxa" w:w="120"/>
            </w:tcMar>
          </w:tcPr>
          <w:p>
            <w:r>
              <w:rPr>
                <w:rFonts w:ascii="Calibri" w:cs="Calibri" w:eastAsia="Calibri" w:hAnsi="Calibri"/>
                <w:b/>
                <w:bCs/>
                <w:color w:val="2D2D2D"/>
                <w:sz w:val="22"/>
                <w:szCs w:val="22"/>
              </w:rPr>
              <w:t xml:space="preserve">Salt  —  White</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ourier New" w:cs="Courier New" w:eastAsia="Courier New" w:hAnsi="Courier New"/>
                <w:color w:val="4A5568"/>
                <w:sz w:val="20"/>
                <w:szCs w:val="20"/>
              </w:rPr>
              <w:t xml:space="preserve">#FFFFFF</w:t>
            </w:r>
          </w:p>
        </w:tc>
        <w:tc>
          <w:tcPr>
            <w:tcW w:type="dxa" w:w="31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
            </w:r>
          </w:p>
        </w:tc>
      </w:tr>
    </w:tbl>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Color Usage Rules</w:t>
      </w:r>
    </w:p>
    <w:p>
      <w:pPr>
        <w:spacing w:before="0" w:after="120"/>
      </w:pPr>
      <w:r>
        <w:rPr>
          <w:rFonts w:ascii="Calibri" w:cs="Calibri" w:eastAsia="Calibri" w:hAnsi="Calibri"/>
          <w:color w:val="2D2D2D"/>
          <w:sz w:val="22"/>
          <w:szCs w:val="22"/>
        </w:rPr>
        <w:t xml:space="preserve">Night Water (#1A2B45) is the dominant surface for hero sections, navigation, and footer. It should never feel like a UI color — it is the ocean at dusk, and everything else sits on top of it.</w:t>
      </w:r>
    </w:p>
    <w:p>
      <w:pPr>
        <w:spacing w:before="0" w:after="160"/>
      </w:pPr>
      <w:r>
        <w:t xml:space="preserve"/>
      </w:r>
    </w:p>
    <w:p>
      <w:pPr>
        <w:spacing w:before="0" w:after="120"/>
      </w:pPr>
      <w:r>
        <w:rPr>
          <w:rFonts w:ascii="Calibri" w:cs="Calibri" w:eastAsia="Calibri" w:hAnsi="Calibri"/>
          <w:color w:val="2D2D2D"/>
          <w:sz w:val="22"/>
          <w:szCs w:val="22"/>
        </w:rPr>
        <w:t xml:space="preserve">Horizon Glow (#E8713A) is used for calls to action, active states, and single-line decorative rules. It is the most concentrated use of energy in the palette. It does not fill backgrounds. It does not appear in large masses.</w:t>
      </w:r>
    </w:p>
    <w:p>
      <w:pPr>
        <w:spacing w:before="0" w:after="160"/>
      </w:pPr>
      <w:r>
        <w:t xml:space="preserve"/>
      </w:r>
    </w:p>
    <w:p>
      <w:pPr>
        <w:spacing w:before="0" w:after="120"/>
      </w:pPr>
      <w:r>
        <w:rPr>
          <w:rFonts w:ascii="Calibri" w:cs="Calibri" w:eastAsia="Calibri" w:hAnsi="Calibri"/>
          <w:color w:val="2D2D2D"/>
          <w:sz w:val="22"/>
          <w:szCs w:val="22"/>
        </w:rPr>
        <w:t xml:space="preserve">Dusk Bloom (#E8A0A8) is softer and rarer. Reserve it for pull quote marks, tag backgrounds, and inline highlights on dark surfaces. On light backgrounds it reads as a blush — on dark surfaces it reads as warmth.</w:t>
      </w:r>
    </w:p>
    <w:p>
      <w:pPr>
        <w:spacing w:before="0" w:after="160"/>
      </w:pPr>
      <w:r>
        <w:t xml:space="preserve"/>
      </w:r>
    </w:p>
    <w:p>
      <w:pPr>
        <w:spacing w:before="0" w:after="120"/>
      </w:pPr>
      <w:r>
        <w:rPr>
          <w:rFonts w:ascii="Calibri" w:cs="Calibri" w:eastAsia="Calibri" w:hAnsi="Calibri"/>
          <w:color w:val="2D2D2D"/>
          <w:sz w:val="22"/>
          <w:szCs w:val="22"/>
        </w:rPr>
        <w:t xml:space="preserve">Sea Foam (#F7F5F2) replaces white as the light background. Pure white is reserved for text on dark backgrounds only. The off-white keeps the light sections from feeling clinical.</w:t>
      </w:r>
    </w:p>
    <w:p>
      <w:pPr>
        <w:spacing w:before="0" w:after="160"/>
      </w:pPr>
      <w:r>
        <w:t xml:space="preserve"/>
      </w:r>
    </w:p>
    <w:p>
      <w:r>
        <w:br w:type="page"/>
      </w:r>
    </w:p>
    <w:p>
      <w:pPr>
        <w:pStyle w:val="Heading1"/>
        <w:spacing w:before="480" w:after="120"/>
      </w:pPr>
      <w:r>
        <w:rPr>
          <w:rFonts w:ascii="Georgia" w:cs="Georgia" w:eastAsia="Georgia" w:hAnsi="Georgia"/>
          <w:b/>
          <w:bCs/>
          <w:color w:val="1A2B45"/>
          <w:sz w:val="36"/>
          <w:szCs w:val="36"/>
        </w:rPr>
        <w:t xml:space="preserve">3. Typography</w:t>
      </w:r>
    </w:p>
    <w:p>
      <w:pPr>
        <w:spacing w:before="0" w:after="120"/>
      </w:pPr>
      <w:r>
        <w:rPr>
          <w:rFonts w:ascii="Calibri" w:cs="Calibri" w:eastAsia="Calibri" w:hAnsi="Calibri"/>
          <w:color w:val="2D2D2D"/>
          <w:sz w:val="22"/>
          <w:szCs w:val="22"/>
        </w:rPr>
        <w:t xml:space="preserve">The type system is built on contrast. Serif headers carry the editorial weight — the sense of old maritime charts and ship logs. Sans-serif body text ensures clarity and signals professionalism. The two should never be swapped.</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Type Scale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TYPEFACE</w:t>
            </w:r>
          </w:p>
        </w:tc>
        <w:tc>
          <w:tcPr>
            <w:tcW w:type="dxa" w:w="200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ROLE</w:t>
            </w:r>
          </w:p>
        </w:tc>
        <w:tc>
          <w:tcPr>
            <w:tcW w:type="dxa" w:w="236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SAMPLE</w:t>
            </w:r>
          </w:p>
        </w:tc>
        <w:tc>
          <w:tcPr>
            <w:tcW w:type="dxa" w:w="300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NOTES</w:t>
            </w:r>
          </w:p>
        </w:tc>
      </w:tr>
      <w:tr>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2D2D2D"/>
                <w:sz w:val="20"/>
                <w:szCs w:val="20"/>
              </w:rPr>
              <w:t xml:space="preserve">Cormorant Garamond</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H1 — Hero Header</w:t>
            </w:r>
          </w:p>
        </w:tc>
        <w:tc>
          <w:tcPr>
            <w:tcW w:type="dxa" w:w="23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Georgia" w:cs="Georgia" w:eastAsia="Georgia" w:hAnsi="Georgia"/>
                <w:i/>
                <w:iCs/>
                <w:color w:val="1A2B45"/>
                <w:sz w:val="20"/>
                <w:szCs w:val="20"/>
              </w:rPr>
              <w:t xml:space="preserve">Open Water</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18"/>
                <w:szCs w:val="18"/>
              </w:rPr>
              <w:t xml:space="preserve"/>
            </w:r>
          </w:p>
        </w:tc>
      </w:tr>
      <w:tr>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2D2D2D"/>
                <w:sz w:val="20"/>
                <w:szCs w:val="20"/>
              </w:rPr>
              <w:t xml:space="preserve">Cormorant Garamond</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H2 — Section Header</w:t>
            </w:r>
          </w:p>
        </w:tc>
        <w:tc>
          <w:tcPr>
            <w:tcW w:type="dxa" w:w="23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Georgia" w:cs="Georgia" w:eastAsia="Georgia" w:hAnsi="Georgia"/>
                <w:i/>
                <w:iCs/>
                <w:color w:val="1A2B45"/>
                <w:sz w:val="20"/>
                <w:szCs w:val="20"/>
              </w:rPr>
              <w:t xml:space="preserve">The Wanderer</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18"/>
                <w:szCs w:val="18"/>
              </w:rPr>
              <w:t xml:space="preserve"/>
            </w:r>
          </w:p>
        </w:tc>
      </w:tr>
      <w:tr>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2D2D2D"/>
                <w:sz w:val="20"/>
                <w:szCs w:val="20"/>
              </w:rPr>
              <w:t xml:space="preserve">Cormorant Garamond</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H3 — Sub-header</w:t>
            </w:r>
          </w:p>
        </w:tc>
        <w:tc>
          <w:tcPr>
            <w:tcW w:type="dxa" w:w="23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Georgia" w:cs="Georgia" w:eastAsia="Georgia" w:hAnsi="Georgia"/>
                <w:i/>
                <w:iCs/>
                <w:color w:val="1A2B45"/>
                <w:sz w:val="20"/>
                <w:szCs w:val="20"/>
              </w:rPr>
              <w:t xml:space="preserve">Storm Reading</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18"/>
                <w:szCs w:val="18"/>
              </w:rPr>
              <w:t xml:space="preserve"/>
            </w:r>
          </w:p>
        </w:tc>
      </w:tr>
      <w:tr>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2D2D2D"/>
                <w:sz w:val="20"/>
                <w:szCs w:val="20"/>
              </w:rPr>
              <w:t xml:space="preserve">Inter</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Body — Paragraph</w:t>
            </w:r>
          </w:p>
        </w:tc>
        <w:tc>
          <w:tcPr>
            <w:tcW w:type="dxa" w:w="23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i w:val="false"/>
                <w:iCs w:val="false"/>
                <w:color w:val="1A2B45"/>
                <w:sz w:val="20"/>
                <w:szCs w:val="20"/>
              </w:rPr>
              <w:t xml:space="preserve">Body text</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18"/>
                <w:szCs w:val="18"/>
              </w:rPr>
              <w:t xml:space="preserve"/>
            </w:r>
          </w:p>
        </w:tc>
      </w:tr>
      <w:tr>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2D2D2D"/>
                <w:sz w:val="20"/>
                <w:szCs w:val="20"/>
              </w:rPr>
              <w:t xml:space="preserve">Inter</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UI — Labels / Nav</w:t>
            </w:r>
          </w:p>
        </w:tc>
        <w:tc>
          <w:tcPr>
            <w:tcW w:type="dxa" w:w="23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i w:val="false"/>
                <w:iCs w:val="false"/>
                <w:color w:val="1A2B45"/>
                <w:sz w:val="20"/>
                <w:szCs w:val="20"/>
              </w:rPr>
              <w:t xml:space="preserve">Navigation</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18"/>
                <w:szCs w:val="18"/>
              </w:rPr>
              <w:t xml:space="preserve"/>
            </w:r>
          </w:p>
        </w:tc>
      </w:tr>
      <w:tr>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2D2D2D"/>
                <w:sz w:val="20"/>
                <w:szCs w:val="20"/>
              </w:rPr>
              <w:t xml:space="preserve">Inter</w:t>
            </w:r>
          </w:p>
        </w:tc>
        <w:tc>
          <w:tcPr>
            <w:tcW w:type="dxa" w:w="2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Caption / Metadata</w:t>
            </w:r>
          </w:p>
        </w:tc>
        <w:tc>
          <w:tcPr>
            <w:tcW w:type="dxa" w:w="23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i w:val="false"/>
                <w:iCs w:val="false"/>
                <w:color w:val="1A2B45"/>
                <w:sz w:val="20"/>
                <w:szCs w:val="20"/>
              </w:rPr>
              <w:t xml:space="preserve">12px / 400</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18"/>
                <w:szCs w:val="18"/>
              </w:rPr>
              <w:t xml:space="preserve"/>
            </w:r>
          </w:p>
        </w:tc>
      </w:tr>
    </w:tbl>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Font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H1 Size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52–72px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Fluid, clamp-based on viewport</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H2 Size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36–44px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Section openers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H3 Size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22–26px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Italics only on dark backgrounds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Body Size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16–18px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Line height 1.7</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Weight — H</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300 Light</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Cormorant reads heavy at 300</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Weight — Body</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400 Regular</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500 for labels and nav</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Letter-space</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+0.02em on H1</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Loose headers, normal body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Max Width</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680px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Applies to body text columns</w:t>
            </w:r>
          </w:p>
        </w:tc>
      </w:tr>
    </w:tbl>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Typographic Rules</w:t>
      </w:r>
    </w:p>
    <w:p>
      <w:pPr>
        <w:spacing w:before="0" w:after="120"/>
      </w:pPr>
      <w:r>
        <w:rPr>
          <w:rFonts w:ascii="Calibri" w:cs="Calibri" w:eastAsia="Calibri" w:hAnsi="Calibri"/>
          <w:color w:val="2D2D2D"/>
          <w:sz w:val="22"/>
          <w:szCs w:val="22"/>
        </w:rPr>
        <w:t xml:space="preserve">Cormorant Garamond is used at light (300) weight for headers. At this weight, the typeface achieves its full maritime quality — thin strokes that feel like tide lines, not like decorative font choices. Do not use it at bold or medium.</w:t>
      </w:r>
    </w:p>
    <w:p>
      <w:pPr>
        <w:spacing w:before="0" w:after="160"/>
      </w:pPr>
      <w:r>
        <w:t xml:space="preserve"/>
      </w:r>
    </w:p>
    <w:p>
      <w:pPr>
        <w:spacing w:before="0" w:after="120"/>
      </w:pPr>
      <w:r>
        <w:rPr>
          <w:rFonts w:ascii="Calibri" w:cs="Calibri" w:eastAsia="Calibri" w:hAnsi="Calibri"/>
          <w:color w:val="2D2D2D"/>
          <w:sz w:val="22"/>
          <w:szCs w:val="22"/>
        </w:rPr>
        <w:t xml:space="preserve">Pull quotes use Cormorant Garamond at a larger size (28–32px) with the Dusk Bloom pink applied as the opening quotation mark only. The quote text remains in Night Water or white.</w:t>
      </w:r>
    </w:p>
    <w:p>
      <w:pPr>
        <w:spacing w:before="0" w:after="160"/>
      </w:pPr>
      <w:r>
        <w:t xml:space="preserve"/>
      </w:r>
    </w:p>
    <w:p>
      <w:pPr>
        <w:spacing w:before="0" w:after="120"/>
      </w:pPr>
      <w:r>
        <w:rPr>
          <w:rFonts w:ascii="Calibri" w:cs="Calibri" w:eastAsia="Calibri" w:hAnsi="Calibri"/>
          <w:color w:val="2D2D2D"/>
          <w:sz w:val="22"/>
          <w:szCs w:val="22"/>
        </w:rPr>
        <w:t xml:space="preserve">Never use a serif typeface for body copy, navigation, labels, form inputs, or button text. The serif-sans division is structural.</w:t>
      </w:r>
    </w:p>
    <w:p>
      <w:pPr>
        <w:spacing w:before="0" w:after="160"/>
      </w:pPr>
      <w:r>
        <w:t xml:space="preserve"/>
      </w:r>
    </w:p>
    <w:p>
      <w:r>
        <w:br w:type="page"/>
      </w:r>
    </w:p>
    <w:p>
      <w:pPr>
        <w:pStyle w:val="Heading1"/>
        <w:spacing w:before="480" w:after="120"/>
      </w:pPr>
      <w:r>
        <w:rPr>
          <w:rFonts w:ascii="Georgia" w:cs="Georgia" w:eastAsia="Georgia" w:hAnsi="Georgia"/>
          <w:b/>
          <w:bCs/>
          <w:color w:val="1A2B45"/>
          <w:sz w:val="36"/>
          <w:szCs w:val="36"/>
        </w:rPr>
        <w:t xml:space="preserve">4. Imagery &amp; Texture</w:t>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The Albatross Rule</w:t>
      </w:r>
    </w:p>
    <w:p>
      <w:pPr>
        <w:spacing w:before="0" w:after="120"/>
      </w:pPr>
      <w:r>
        <w:rPr>
          <w:rFonts w:ascii="Calibri" w:cs="Calibri" w:eastAsia="Calibri" w:hAnsi="Calibri"/>
          <w:color w:val="2D2D2D"/>
          <w:sz w:val="22"/>
          <w:szCs w:val="22"/>
        </w:rPr>
        <w:t xml:space="preserve">The albatross is the organizing image of the entire system. It must always appear as the single clean, vector element against a textured or atmospheric background. It is never the busy thing. If background complexity decreases, the bird loses its meaning.</w:t>
      </w:r>
    </w:p>
    <w:p>
      <w:pPr>
        <w:spacing w:before="0" w:after="160"/>
      </w:pPr>
      <w:r>
        <w:t xml:space="preserve"/>
      </w:r>
    </w:p>
    <w:p>
      <w:pPr>
        <w:spacing w:before="0" w:after="120"/>
      </w:pPr>
      <w:r>
        <w:rPr>
          <w:rFonts w:ascii="Calibri" w:cs="Calibri" w:eastAsia="Calibri" w:hAnsi="Calibri"/>
          <w:color w:val="2D2D2D"/>
          <w:sz w:val="22"/>
          <w:szCs w:val="22"/>
        </w:rPr>
        <w:t xml:space="preserve">The bird should appear as a flat, single-color silhouette — typically in Salt white or Sea Foam — set against the hero background. No gradients on the bird itself. No drop shadows. Its stillness is its quality.</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Texture Treatment</w:t>
      </w:r>
    </w:p>
    <w:p>
      <w:pPr>
        <w:spacing w:before="0" w:after="120"/>
      </w:pPr>
      <w:r>
        <w:rPr>
          <w:rFonts w:ascii="Calibri" w:cs="Calibri" w:eastAsia="Calibri" w:hAnsi="Calibri"/>
          <w:color w:val="2D2D2D"/>
          <w:sz w:val="22"/>
          <w:szCs w:val="22"/>
        </w:rPr>
        <w:t xml:space="preserve">All background photography and illustrations should be processed with a visible film grain overlay. The grain density is medium — enough to read clearly at full resolution, slightly softened on mobile. Grain sits above the image layer and below all text and UI elements.</w:t>
      </w:r>
    </w:p>
    <w:p>
      <w:pPr>
        <w:spacing w:before="0" w:after="160"/>
      </w:pPr>
      <w:r>
        <w:t xml:space="preserve"/>
      </w:r>
    </w:p>
    <w:p>
      <w:pPr>
        <w:spacing w:before="0" w:after="120"/>
      </w:pPr>
      <w:r>
        <w:rPr>
          <w:rFonts w:ascii="Calibri" w:cs="Calibri" w:eastAsia="Calibri" w:hAnsi="Calibri"/>
          <w:color w:val="2D2D2D"/>
          <w:sz w:val="22"/>
          <w:szCs w:val="22"/>
        </w:rPr>
        <w:t xml:space="preserve">The risograph aesthetic is achieved through color banding rather than photographic realism. Ocean tones should be reduced to 4–6 distinct horizontal bands, not a continuous gradient. This creates the printed, layered quality that distinguishes the system from generic photography-based designs.</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Photography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C9C0" w:sz="1"/>
              <w:left w:val="single" w:color="D1C9C0" w:sz="1"/>
              <w:bottom w:val="single" w:color="D1C9C0" w:sz="1"/>
              <w:right w:val="single" w:color="D1C9C0" w:sz="1"/>
            </w:tcBorders>
            <w:shd w:fill="1A2B45" w:val="clear"/>
            <w:tcMar>
              <w:top w:type="dxa" w:w="80"/>
              <w:left w:type="dxa" w:w="160"/>
              <w:bottom w:type="dxa" w:w="80"/>
              <w:right w:type="dxa" w:w="160"/>
            </w:tcMar>
          </w:tcPr>
          <w:p>
            <w:r>
              <w:rPr>
                <w:rFonts w:ascii="Georgia" w:cs="Georgia" w:eastAsia="Georgia" w:hAnsi="Georgia"/>
                <w:b/>
                <w:bCs/>
                <w:color w:val="FFFFFF"/>
                <w:sz w:val="20"/>
                <w:szCs w:val="20"/>
              </w:rPr>
              <w:t xml:space="preserve">Use</w:t>
            </w:r>
          </w:p>
        </w:tc>
        <w:tc>
          <w:tcPr>
            <w:tcW w:type="dxa" w:w="3000"/>
            <w:tcBorders>
              <w:top w:val="single" w:color="D1C9C0" w:sz="1"/>
              <w:left w:val="single" w:color="D1C9C0" w:sz="1"/>
              <w:bottom w:val="single" w:color="D1C9C0" w:sz="1"/>
              <w:right w:val="single" w:color="D1C9C0" w:sz="1"/>
            </w:tcBorders>
            <w:shd w:fill="1A2B45" w:val="clear"/>
            <w:tcMar>
              <w:top w:type="dxa" w:w="80"/>
              <w:left w:type="dxa" w:w="160"/>
              <w:bottom w:type="dxa" w:w="80"/>
              <w:right w:type="dxa" w:w="160"/>
            </w:tcMar>
          </w:tcPr>
          <w:p>
            <w:r>
              <w:rPr>
                <w:rFonts w:ascii="Georgia" w:cs="Georgia" w:eastAsia="Georgia" w:hAnsi="Georgia"/>
                <w:b/>
                <w:bCs/>
                <w:color w:val="FFFFFF"/>
                <w:sz w:val="20"/>
                <w:szCs w:val="20"/>
              </w:rPr>
              <w:t xml:space="preserve">Avoid</w:t>
            </w:r>
          </w:p>
        </w:tc>
        <w:tc>
          <w:tcPr>
            <w:tcW w:type="dxa" w:w="3360"/>
            <w:tcBorders>
              <w:top w:val="single" w:color="D1C9C0" w:sz="1"/>
              <w:left w:val="single" w:color="D1C9C0" w:sz="1"/>
              <w:bottom w:val="single" w:color="D1C9C0" w:sz="1"/>
              <w:right w:val="single" w:color="D1C9C0" w:sz="1"/>
            </w:tcBorders>
            <w:shd w:fill="1A2B45" w:val="clear"/>
            <w:tcMar>
              <w:top w:type="dxa" w:w="80"/>
              <w:left w:type="dxa" w:w="160"/>
              <w:bottom w:type="dxa" w:w="80"/>
              <w:right w:type="dxa" w:w="160"/>
            </w:tcMar>
          </w:tcPr>
          <w:p>
            <w:r>
              <w:rPr>
                <w:rFonts w:ascii="Georgia" w:cs="Georgia" w:eastAsia="Georgia" w:hAnsi="Georgia"/>
                <w:b/>
                <w:bCs/>
                <w:color w:val="FFFFFF"/>
                <w:sz w:val="20"/>
                <w:szCs w:val="20"/>
              </w:rPr>
              <w:t xml:space="preserve">Reason</w:t>
            </w:r>
          </w:p>
        </w:tc>
      </w:tr>
      <w:tr>
        <w:tc>
          <w:tcPr>
            <w:tcW w:type="dxa" w:w="300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color w:val="2D2D2D"/>
                <w:sz w:val="20"/>
                <w:szCs w:val="20"/>
              </w:rPr>
              <w:t xml:space="preserve">Wide ocean horizons, low angle</w:t>
            </w:r>
          </w:p>
        </w:tc>
        <w:tc>
          <w:tcPr>
            <w:tcW w:type="dxa" w:w="300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color w:val="2D2D2D"/>
                <w:sz w:val="20"/>
                <w:szCs w:val="20"/>
              </w:rPr>
              <w:t xml:space="preserve">Busy, high-contrast photojournalism</w:t>
            </w:r>
          </w:p>
        </w:tc>
        <w:tc>
          <w:tcPr>
            <w:tcW w:type="dxa" w:w="336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i/>
                <w:iCs/>
                <w:color w:val="4A5568"/>
                <w:sz w:val="20"/>
                <w:szCs w:val="20"/>
              </w:rPr>
              <w:t xml:space="preserve">Texture competes with content</w:t>
            </w:r>
          </w:p>
        </w:tc>
      </w:tr>
      <w:tr>
        <w:tc>
          <w:tcPr>
            <w:tcW w:type="dxa" w:w="300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color w:val="2D2D2D"/>
                <w:sz w:val="20"/>
                <w:szCs w:val="20"/>
              </w:rPr>
              <w:t xml:space="preserve">Desaturated, duotone processing</w:t>
            </w:r>
          </w:p>
        </w:tc>
        <w:tc>
          <w:tcPr>
            <w:tcW w:type="dxa" w:w="300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color w:val="2D2D2D"/>
                <w:sz w:val="20"/>
                <w:szCs w:val="20"/>
              </w:rPr>
              <w:t xml:space="preserve">Full color, vivid photography</w:t>
            </w:r>
          </w:p>
        </w:tc>
        <w:tc>
          <w:tcPr>
            <w:tcW w:type="dxa" w:w="336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i/>
                <w:iCs/>
                <w:color w:val="4A5568"/>
                <w:sz w:val="20"/>
                <w:szCs w:val="20"/>
              </w:rPr>
              <w:t xml:space="preserve">Palette coherence breaks down</w:t>
            </w:r>
          </w:p>
        </w:tc>
      </w:tr>
      <w:tr>
        <w:tc>
          <w:tcPr>
            <w:tcW w:type="dxa" w:w="300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color w:val="2D2D2D"/>
                <w:sz w:val="20"/>
                <w:szCs w:val="20"/>
              </w:rPr>
              <w:t xml:space="preserve">Horizontal subject lines, calm energy</w:t>
            </w:r>
          </w:p>
        </w:tc>
        <w:tc>
          <w:tcPr>
            <w:tcW w:type="dxa" w:w="300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color w:val="2D2D2D"/>
                <w:sz w:val="20"/>
                <w:szCs w:val="20"/>
              </w:rPr>
              <w:t xml:space="preserve">Tight crops, portrait orientation</w:t>
            </w:r>
          </w:p>
        </w:tc>
        <w:tc>
          <w:tcPr>
            <w:tcW w:type="dxa" w:w="3360"/>
            <w:tcBorders>
              <w:top w:val="single" w:color="D1C9C0" w:sz="1"/>
              <w:left w:val="single" w:color="D1C9C0" w:sz="1"/>
              <w:bottom w:val="single" w:color="D1C9C0" w:sz="1"/>
              <w:right w:val="single" w:color="D1C9C0" w:sz="1"/>
            </w:tcBorders>
            <w:tcMar>
              <w:top w:type="dxa" w:w="80"/>
              <w:left w:type="dxa" w:w="160"/>
              <w:bottom w:type="dxa" w:w="80"/>
              <w:right w:type="dxa" w:w="160"/>
            </w:tcMar>
          </w:tcPr>
          <w:p>
            <w:r>
              <w:rPr>
                <w:rFonts w:ascii="Calibri" w:cs="Calibri" w:eastAsia="Calibri" w:hAnsi="Calibri"/>
                <w:i/>
                <w:iCs/>
                <w:color w:val="4A5568"/>
                <w:sz w:val="20"/>
                <w:szCs w:val="20"/>
              </w:rPr>
              <w:t xml:space="preserve">Stillness is the visual theme</w:t>
            </w:r>
          </w:p>
        </w:tc>
      </w:tr>
    </w:tbl>
    <w:p>
      <w:pPr>
        <w:spacing w:before="0" w:after="160"/>
      </w:pPr>
      <w:r>
        <w:t xml:space="preserve"/>
      </w:r>
    </w:p>
    <w:p>
      <w:r>
        <w:br w:type="page"/>
      </w:r>
    </w:p>
    <w:p>
      <w:pPr>
        <w:pStyle w:val="Heading1"/>
        <w:spacing w:before="480" w:after="120"/>
      </w:pPr>
      <w:r>
        <w:rPr>
          <w:rFonts w:ascii="Georgia" w:cs="Georgia" w:eastAsia="Georgia" w:hAnsi="Georgia"/>
          <w:b/>
          <w:bCs/>
          <w:color w:val="1A2B45"/>
          <w:sz w:val="36"/>
          <w:szCs w:val="36"/>
        </w:rPr>
        <w:t xml:space="preserve">5. UI Components</w:t>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Navigation</w:t>
      </w:r>
    </w:p>
    <w:p>
      <w:pPr>
        <w:spacing w:before="0" w:after="120"/>
      </w:pPr>
      <w:r>
        <w:rPr>
          <w:rFonts w:ascii="Calibri" w:cs="Calibri" w:eastAsia="Calibri" w:hAnsi="Calibri"/>
          <w:color w:val="2D2D2D"/>
          <w:sz w:val="22"/>
          <w:szCs w:val="22"/>
        </w:rPr>
        <w:t xml:space="preserve">The navigation bar sits on a Night Water background. The logo — or site name — uses Cormorant Garamond. Navigation links use Inter at 500 weight, all caps, with 0.08em letter-spacing. The active link is underlined with a 2px Horizon Glow orange rule beneath it, not a color change.</w:t>
      </w:r>
    </w:p>
    <w:p>
      <w:pPr>
        <w:spacing w:before="0" w:after="160"/>
      </w:pPr>
      <w:r>
        <w:t xml:space="preserve"/>
      </w:r>
    </w:p>
    <w:p>
      <w:pPr>
        <w:spacing w:before="0" w:after="120"/>
      </w:pPr>
      <w:r>
        <w:rPr>
          <w:rFonts w:ascii="Calibri" w:cs="Calibri" w:eastAsia="Calibri" w:hAnsi="Calibri"/>
          <w:color w:val="2D2D2D"/>
          <w:sz w:val="22"/>
          <w:szCs w:val="22"/>
        </w:rPr>
        <w:t xml:space="preserve">On scroll, the navigation picks up a subtle dark overlay with a thin Horizon Glow border at the bottom. No blur effects. No glass morphism. The navigation should feel solid, not frosted.</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Hero Section</w:t>
      </w:r>
    </w:p>
    <w:p>
      <w:pPr>
        <w:spacing w:before="0" w:after="120"/>
      </w:pPr>
      <w:r>
        <w:rPr>
          <w:rFonts w:ascii="Calibri" w:cs="Calibri" w:eastAsia="Calibri" w:hAnsi="Calibri"/>
          <w:color w:val="2D2D2D"/>
          <w:sz w:val="22"/>
          <w:szCs w:val="22"/>
        </w:rPr>
        <w:t xml:space="preserve">The hero is the fullest expression of the system. It occupies 100vh. The albatross silhouette sits centered or slightly right-weighted. Behind it, the ocean background is layered: a deep navy base, 4–6 blue-tone bands, a fat orange sun or gradient near the horizon, and pink-toned cloud scatter in the upper quarter. Film grain sits above all layers.</w:t>
      </w:r>
    </w:p>
    <w:p>
      <w:pPr>
        <w:spacing w:before="0" w:after="160"/>
      </w:pPr>
      <w:r>
        <w:t xml:space="preserve"/>
      </w:r>
    </w:p>
    <w:p>
      <w:pPr>
        <w:spacing w:before="0" w:after="120"/>
      </w:pPr>
      <w:r>
        <w:rPr>
          <w:rFonts w:ascii="Calibri" w:cs="Calibri" w:eastAsia="Calibri" w:hAnsi="Calibri"/>
          <w:color w:val="2D2D2D"/>
          <w:sz w:val="22"/>
          <w:szCs w:val="22"/>
        </w:rPr>
        <w:t xml:space="preserve">The hero headline uses Cormorant Garamond at the maximum scale. A thin Horizon Glow horizontal rule sits beneath the subtitle. No hero buttons use filled backgrounds — use ghost buttons with a white or orange border and white text only.</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VARIANT</w:t>
            </w:r>
          </w:p>
        </w:tc>
        <w:tc>
          <w:tcPr>
            <w:tcW w:type="dxa" w:w="300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STYLE</w:t>
            </w:r>
          </w:p>
        </w:tc>
        <w:tc>
          <w:tcPr>
            <w:tcW w:type="dxa" w:w="3960"/>
            <w:tcBorders>
              <w:top w:val="single" w:color="D1C9C0" w:sz="1"/>
              <w:left w:val="single" w:color="D1C9C0" w:sz="1"/>
              <w:bottom w:val="single" w:color="D1C9C0" w:sz="1"/>
              <w:right w:val="single" w:color="D1C9C0" w:sz="1"/>
            </w:tcBorders>
            <w:shd w:fill="D1C9C0" w:val="clear"/>
            <w:tcMar>
              <w:top w:type="dxa" w:w="40"/>
              <w:left w:type="dxa" w:w="120"/>
              <w:bottom w:type="dxa" w:w="40"/>
              <w:right w:type="dxa" w:w="0"/>
            </w:tcMar>
          </w:tcPr>
          <w:p>
            <w:r>
              <w:rPr>
                <w:rFonts w:ascii="Calibri" w:cs="Calibri" w:eastAsia="Calibri" w:hAnsi="Calibri"/>
                <w:b/>
                <w:bCs/>
                <w:caps/>
                <w:color w:val="4A5568"/>
                <w:sz w:val="16"/>
                <w:szCs w:val="16"/>
              </w:rPr>
              <w:t xml:space="preserve">USE CASE</w:t>
            </w:r>
          </w:p>
        </w:tc>
      </w:tr>
      <w:tr>
        <w:tc>
          <w:tcPr>
            <w:tcW w:type="dxa" w:w="24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1A2B45"/>
                <w:sz w:val="20"/>
                <w:szCs w:val="20"/>
              </w:rPr>
              <w:t xml:space="preserve">Primary</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2D2D2D"/>
                <w:sz w:val="20"/>
                <w:szCs w:val="20"/>
              </w:rPr>
              <w:t xml:space="preserve">Fill: Horizon Glow · Text: White · No radius</w:t>
            </w:r>
          </w:p>
        </w:tc>
        <w:tc>
          <w:tcPr>
            <w:tcW w:type="dxa" w:w="39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Main CTAs on light backgrounds</w:t>
            </w:r>
          </w:p>
        </w:tc>
      </w:tr>
      <w:tr>
        <w:tc>
          <w:tcPr>
            <w:tcW w:type="dxa" w:w="24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1A2B45"/>
                <w:sz w:val="20"/>
                <w:szCs w:val="20"/>
              </w:rPr>
              <w:t xml:space="preserve">Ghost</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2D2D2D"/>
                <w:sz w:val="20"/>
                <w:szCs w:val="20"/>
              </w:rPr>
              <w:t xml:space="preserve">Border: White 1.5px · Text: White · Transparent</w:t>
            </w:r>
          </w:p>
        </w:tc>
        <w:tc>
          <w:tcPr>
            <w:tcW w:type="dxa" w:w="39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Hero, dark background sections</w:t>
            </w:r>
          </w:p>
        </w:tc>
      </w:tr>
      <w:tr>
        <w:tc>
          <w:tcPr>
            <w:tcW w:type="dxa" w:w="24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b/>
                <w:bCs/>
                <w:color w:val="1A2B45"/>
                <w:sz w:val="20"/>
                <w:szCs w:val="20"/>
              </w:rPr>
              <w:t xml:space="preserve">Text Link</w:t>
            </w:r>
          </w:p>
        </w:tc>
        <w:tc>
          <w:tcPr>
            <w:tcW w:type="dxa" w:w="300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2D2D2D"/>
                <w:sz w:val="20"/>
                <w:szCs w:val="20"/>
              </w:rPr>
              <w:t xml:space="preserve">Color: Horizon Glow · Underline on hover</w:t>
            </w:r>
          </w:p>
        </w:tc>
        <w:tc>
          <w:tcPr>
            <w:tcW w:type="dxa" w:w="3960"/>
            <w:tcBorders>
              <w:top w:val="single" w:color="D1C9C0" w:sz="1"/>
              <w:left w:val="single" w:color="D1C9C0" w:sz="1"/>
              <w:bottom w:val="single" w:color="D1C9C0" w:sz="1"/>
              <w:right w:val="single" w:color="D1C9C0" w:sz="1"/>
            </w:tcBorders>
            <w:tcMar>
              <w:top w:type="dxa" w:w="80"/>
              <w:left w:type="dxa" w:w="120"/>
              <w:bottom w:type="dxa" w:w="80"/>
              <w:right w:type="dxa" w:w="120"/>
            </w:tcMar>
          </w:tcPr>
          <w:p>
            <w:r>
              <w:rPr>
                <w:rFonts w:ascii="Calibri" w:cs="Calibri" w:eastAsia="Calibri" w:hAnsi="Calibri"/>
                <w:color w:val="4A5568"/>
                <w:sz w:val="20"/>
                <w:szCs w:val="20"/>
              </w:rPr>
              <w:t xml:space="preserve">In-body links, navigation secondary actions</w:t>
            </w:r>
          </w:p>
        </w:tc>
      </w:tr>
    </w:tbl>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Cards &amp; Content Sections</w:t>
      </w:r>
    </w:p>
    <w:p>
      <w:pPr>
        <w:spacing w:before="0" w:after="120"/>
      </w:pPr>
      <w:r>
        <w:rPr>
          <w:rFonts w:ascii="Calibri" w:cs="Calibri" w:eastAsia="Calibri" w:hAnsi="Calibri"/>
          <w:color w:val="2D2D2D"/>
          <w:sz w:val="22"/>
          <w:szCs w:val="22"/>
        </w:rPr>
        <w:t xml:space="preserve">Cards sit on the Ocean (#2E4A72) surface when placed against the Night Water background. On Sea Foam background sections, cards use white with a 1px Night Water border and a thin left-border rule in Horizon Glow. Cards never use drop shadows — use border thickness instead.</w:t>
      </w:r>
    </w:p>
    <w:p>
      <w:pPr>
        <w:spacing w:before="0" w:after="160"/>
      </w:pPr>
      <w:r>
        <w:t xml:space="preserve"/>
      </w:r>
    </w:p>
    <w:p>
      <w:pPr>
        <w:spacing w:before="0" w:after="120"/>
      </w:pPr>
      <w:r>
        <w:rPr>
          <w:rFonts w:ascii="Calibri" w:cs="Calibri" w:eastAsia="Calibri" w:hAnsi="Calibri"/>
          <w:color w:val="2D2D2D"/>
          <w:sz w:val="22"/>
          <w:szCs w:val="22"/>
        </w:rPr>
        <w:t xml:space="preserve">Section alternation follows a strict dark-light-dark pattern. Dark sections carry the full textured treatment. Light sections (Sea Foam) are clean — no texture, no grain — and act as the visual rest between atmospheric sections.</w:t>
      </w:r>
    </w:p>
    <w:p>
      <w:pPr>
        <w:spacing w:before="0" w:after="160"/>
      </w:pPr>
      <w:r>
        <w:t xml:space="preserve"/>
      </w:r>
    </w:p>
    <w:p>
      <w:r>
        <w:br w:type="page"/>
      </w:r>
    </w:p>
    <w:p>
      <w:pPr>
        <w:pStyle w:val="Heading1"/>
        <w:spacing w:before="480" w:after="120"/>
      </w:pPr>
      <w:r>
        <w:rPr>
          <w:rFonts w:ascii="Georgia" w:cs="Georgia" w:eastAsia="Georgia" w:hAnsi="Georgia"/>
          <w:b/>
          <w:bCs/>
          <w:color w:val="1A2B45"/>
          <w:sz w:val="36"/>
          <w:szCs w:val="36"/>
        </w:rPr>
        <w:t xml:space="preserve">6. Layout &amp; Spacing</w:t>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Grid</w:t>
      </w:r>
    </w:p>
    <w:p>
      <w:pPr>
        <w:spacing w:before="0" w:after="120"/>
      </w:pPr>
      <w:r>
        <w:rPr>
          <w:rFonts w:ascii="Calibri" w:cs="Calibri" w:eastAsia="Calibri" w:hAnsi="Calibri"/>
          <w:color w:val="2D2D2D"/>
          <w:sz w:val="22"/>
          <w:szCs w:val="22"/>
        </w:rPr>
        <w:t xml:space="preserve">The site uses a 12-column grid with a 24px gutter on desktop and a 16px gutter on mobile. The maximum content width is 1280px. Body copy columns should never exceed 680px in width — wide text columns are a legibility failure in any system.</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Desktop Grid</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12-col, 24px gutter</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Max width 1280px</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Tablet Grid</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8-col, 20px gutter</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768–1024px</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Mobile Grid</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4-col, 16px gutter</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&lt; 768px</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Content Max</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680px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Body text columns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Section Pad</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80–120px vertical</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Desktop section spacing</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Section Pad</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48–64px vertical</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Mobile section spacing</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Base Unit</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8px</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All spacing multiples of 8</w:t>
            </w:r>
          </w:p>
        </w:tc>
      </w:tr>
    </w:tbl>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Spacing Scale</w:t>
      </w:r>
    </w:p>
    <w:p>
      <w:pPr>
        <w:spacing w:before="0" w:after="120"/>
      </w:pPr>
      <w:r>
        <w:rPr>
          <w:rFonts w:ascii="Calibri" w:cs="Calibri" w:eastAsia="Calibri" w:hAnsi="Calibri"/>
          <w:color w:val="2D2D2D"/>
          <w:sz w:val="22"/>
          <w:szCs w:val="22"/>
        </w:rPr>
        <w:t xml:space="preserve">All spacing uses an 8px base unit. Common spacings are 8, 16, 24, 32, 48, 64, 80, 96, 120px. No arbitrary values outside this scale. Section padding on desktop uses 80px minimum, 120px preferred. The vertical rhythm should feel generous — the design has room, and it should use it.</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Section Structure</w:t>
      </w:r>
    </w:p>
    <w:p>
      <w:pPr>
        <w:spacing w:before="0" w:after="120"/>
      </w:pPr>
      <w:r>
        <w:rPr>
          <w:rFonts w:ascii="Calibri" w:cs="Calibri" w:eastAsia="Calibri" w:hAnsi="Calibri"/>
          <w:color w:val="2D2D2D"/>
          <w:sz w:val="22"/>
          <w:szCs w:val="22"/>
        </w:rPr>
        <w:t xml:space="preserve">Each page section follows a consistent internal hierarchy: a small all-caps label in Inter 500 at Dusk Bloom or Storm Slate, a large serif heading below it, body copy below that, and a CTA or decorative rule at the bottom. The label-to-heading gap is always 12px. The heading-to-body gap is always 24px.</w:t>
      </w:r>
    </w:p>
    <w:p>
      <w:pPr>
        <w:spacing w:before="0" w:after="160"/>
      </w:pPr>
      <w:r>
        <w:t xml:space="preserve"/>
      </w:r>
    </w:p>
    <w:p>
      <w:pPr>
        <w:pStyle w:val="Heading1"/>
        <w:spacing w:before="480" w:after="120"/>
      </w:pPr>
      <w:r>
        <w:rPr>
          <w:rFonts w:ascii="Georgia" w:cs="Georgia" w:eastAsia="Georgia" w:hAnsi="Georgia"/>
          <w:b/>
          <w:bCs/>
          <w:color w:val="1A2B45"/>
          <w:sz w:val="36"/>
          <w:szCs w:val="36"/>
        </w:rPr>
        <w:t xml:space="preserve">7. Content &amp; Voice</w:t>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Tone</w:t>
      </w:r>
    </w:p>
    <w:p>
      <w:pPr>
        <w:spacing w:before="0" w:after="120"/>
      </w:pPr>
      <w:r>
        <w:rPr>
          <w:rFonts w:ascii="Calibri" w:cs="Calibri" w:eastAsia="Calibri" w:hAnsi="Calibri"/>
          <w:color w:val="2D2D2D"/>
          <w:sz w:val="22"/>
          <w:szCs w:val="22"/>
        </w:rPr>
        <w:t xml:space="preserve">Copy should carry the same quality as the visual system: still, purposeful, slightly literary. Sentences are complete. Fragments are used deliberately and sparingly for emphasis. Marketing inflation — synergy, best-in-class, passionate — is entirely absent.</w:t>
      </w:r>
    </w:p>
    <w:p>
      <w:pPr>
        <w:spacing w:before="0" w:after="160"/>
      </w:pPr>
      <w:r>
        <w:t xml:space="preserve"/>
      </w:r>
    </w:p>
    <w:p>
      <w:pPr>
        <w:spacing w:before="0" w:after="120"/>
      </w:pPr>
      <w:r>
        <w:rPr>
          <w:rFonts w:ascii="Calibri" w:cs="Calibri" w:eastAsia="Calibri" w:hAnsi="Calibri"/>
          <w:color w:val="2D2D2D"/>
          <w:sz w:val="22"/>
          <w:szCs w:val="22"/>
        </w:rPr>
        <w:t xml:space="preserve">The site speaks like the kind of person who has read a lot and doesn't need to prove it. Confident without being loud. Direct without being terse.</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Headings</w:t>
      </w:r>
    </w:p>
    <w:p>
      <w:pPr>
        <w:spacing w:before="0" w:after="120"/>
      </w:pPr>
      <w:r>
        <w:rPr>
          <w:rFonts w:ascii="Calibri" w:cs="Calibri" w:eastAsia="Calibri" w:hAnsi="Calibri"/>
          <w:color w:val="2D2D2D"/>
          <w:sz w:val="22"/>
          <w:szCs w:val="22"/>
        </w:rPr>
        <w:t xml:space="preserve">Section headings should be declarative or slightly evocative — not question-based, not exclamatory. They read like chapter titles in a well-edited book. They do not promise or sell. They state and invite.</w:t>
      </w:r>
    </w:p>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Imagery Captions</w:t>
      </w:r>
    </w:p>
    <w:p>
      <w:pPr>
        <w:spacing w:before="0" w:after="120"/>
      </w:pPr>
      <w:r>
        <w:rPr>
          <w:rFonts w:ascii="Calibri" w:cs="Calibri" w:eastAsia="Calibri" w:hAnsi="Calibri"/>
          <w:color w:val="2D2D2D"/>
          <w:sz w:val="22"/>
          <w:szCs w:val="22"/>
        </w:rPr>
        <w:t xml:space="preserve">Any captioned imagery uses Cormorant Garamond in italics at small size (14px). Captions are understated — a location, a date, a single descriptive clause. They never summarize what the image already shows.</w:t>
      </w:r>
    </w:p>
    <w:p>
      <w:pPr>
        <w:spacing w:before="0" w:after="160"/>
      </w:pPr>
      <w:r>
        <w:t xml:space="preserve"/>
      </w:r>
    </w:p>
    <w:p>
      <w:pPr>
        <w:pStyle w:val="Heading1"/>
        <w:spacing w:before="480" w:after="120"/>
      </w:pPr>
      <w:r>
        <w:rPr>
          <w:rFonts w:ascii="Georgia" w:cs="Georgia" w:eastAsia="Georgia" w:hAnsi="Georgia"/>
          <w:b/>
          <w:bCs/>
          <w:color w:val="1A2B45"/>
          <w:sz w:val="36"/>
          <w:szCs w:val="36"/>
        </w:rPr>
        <w:t xml:space="preserve">8. Implementation Notes</w:t>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WordPress</w:t>
      </w:r>
    </w:p>
    <w:p>
      <w:pPr>
        <w:spacing w:before="0" w:after="120"/>
      </w:pPr>
      <w:r>
        <w:rPr>
          <w:rFonts w:ascii="Calibri" w:cs="Calibri" w:eastAsia="Calibri" w:hAnsi="Calibri"/>
          <w:color w:val="2D2D2D"/>
          <w:sz w:val="22"/>
          <w:szCs w:val="22"/>
        </w:rPr>
        <w:t xml:space="preserve">This system is implemented in WordPress using a custom block theme (FSE). All design tokens — colors, spacing, type scale — are defined in theme.json and referenced throughout. No inline styles. Custom blocks are built for the hero section, the pull quote, and the feature card components.</w:t>
      </w:r>
    </w:p>
    <w:p>
      <w:pPr>
        <w:spacing w:before="0" w:after="160"/>
      </w:pPr>
      <w:r>
        <w:t xml:space="preserve"/>
      </w:r>
    </w:p>
    <w:p>
      <w:pPr>
        <w:spacing w:before="0" w:after="120"/>
      </w:pPr>
      <w:r>
        <w:rPr>
          <w:rFonts w:ascii="Calibri" w:cs="Calibri" w:eastAsia="Calibri" w:hAnsi="Calibri"/>
          <w:color w:val="2D2D2D"/>
          <w:sz w:val="22"/>
          <w:szCs w:val="22"/>
        </w:rPr>
        <w:t xml:space="preserve">The film grain overlay is implemented as a CSS pseudo-element with an SVG noise filter at the body level, toggled off on light background sections via a BEM modifier class. This avoids the performance overhead of a JavaScript-based overlay.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WordPress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6.4+ (FSE)</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Block theme, theme.json tokens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Fonts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Bunny Fonts CDN</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Cormorant Garamond, Inter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Grain Effect</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CSS SVG filter</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feTurbulence noise on ::after</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Icons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Phosphor Icons</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Thin weight only</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Images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WebP + AVIF</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Next-gen format with JPEG fallback</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Breakpoints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768 / 1024 / 1280</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Mobile-first CSS</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aps/>
                <w:color w:val="4A5568"/>
                <w:sz w:val="20"/>
                <w:szCs w:val="20"/>
              </w:rPr>
              <w:t xml:space="preserve">Animations</w:t>
            </w:r>
          </w:p>
        </w:tc>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color w:val="2D2D2D"/>
                <w:sz w:val="20"/>
                <w:szCs w:val="20"/>
              </w:rPr>
              <w:t xml:space="preserve">CSS transitions</w:t>
            </w:r>
          </w:p>
        </w:tc>
        <w:tc>
          <w:tcPr>
            <w:tcW w:type="dxa" w:w="39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i/>
                <w:iCs/>
                <w:color w:val="4A5568"/>
                <w:sz w:val="18"/>
                <w:szCs w:val="18"/>
              </w:rPr>
              <w:t xml:space="preserve">0.2s ease, no JS animations</w:t>
            </w:r>
          </w:p>
        </w:tc>
      </w:tr>
    </w:tbl>
    <w:p>
      <w:pPr>
        <w:spacing w:before="0" w:after="160"/>
      </w:pPr>
      <w:r>
        <w:t xml:space="preserve"/>
      </w:r>
    </w:p>
    <w:p>
      <w:pPr>
        <w:pStyle w:val="Heading2"/>
        <w:pBdr>
          <w:bottom w:val="single" w:color="E8713A" w:sz="2" w:space="4"/>
        </w:pBdr>
        <w:spacing w:before="360" w:after="80"/>
      </w:pPr>
      <w:r>
        <w:rPr>
          <w:rFonts w:ascii="Georgia" w:cs="Georgia" w:eastAsia="Georgia" w:hAnsi="Georgia"/>
          <w:b w:val="false"/>
          <w:bCs w:val="false"/>
          <w:color w:val="1A2B45"/>
          <w:sz w:val="26"/>
          <w:szCs w:val="26"/>
        </w:rPr>
        <w:t xml:space="preserve">Accessibility</w:t>
      </w:r>
    </w:p>
    <w:p>
      <w:pPr>
        <w:spacing w:before="0" w:after="120"/>
      </w:pPr>
      <w:r>
        <w:rPr>
          <w:rFonts w:ascii="Calibri" w:cs="Calibri" w:eastAsia="Calibri" w:hAnsi="Calibri"/>
          <w:color w:val="2D2D2D"/>
          <w:sz w:val="22"/>
          <w:szCs w:val="22"/>
        </w:rPr>
        <w:t xml:space="preserve">All color combinations in this system meet WCAG AA contrast requirements at minimum. The primary dark backgrounds with white text exceed AA at all body text sizes. Horizon Glow on Night Water meets AA for large text (headers, CTAs) and should not be used for body-size text. Test all new color combinations before deployment.</w:t>
      </w:r>
    </w:p>
    <w:p>
      <w:pPr>
        <w:spacing w:before="0" w:after="160"/>
      </w:pPr>
      <w:r>
        <w:t xml:space="preserve"/>
      </w:r>
    </w:p>
    <w:p>
      <w:pPr>
        <w:pBdr>
          <w:bottom w:val="single" w:color="D1C9C0" w:sz="1"/>
        </w:pBdr>
        <w:spacing w:before="120" w:after="120"/>
      </w:pPr>
      <w:r>
        <w:t xml:space="preserve"/>
      </w:r>
    </w:p>
    <w:p>
      <w:pPr>
        <w:spacing w:before="160" w:after="0"/>
        <w:jc w:val="right"/>
      </w:pPr>
      <w:r>
        <w:rPr>
          <w:rFonts w:ascii="Calibri" w:cs="Calibri" w:eastAsia="Calibri" w:hAnsi="Calibri"/>
          <w:i/>
          <w:iCs/>
          <w:color w:val="4A5568"/>
          <w:sz w:val="18"/>
          <w:szCs w:val="18"/>
        </w:rPr>
        <w:t xml:space="preserve">Nautical Dusk Design System  ·  v1.0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1A2B45"/>
      <w:sz w:val="36"/>
      <w:szCs w:val="36"/>
    </w:rPr>
  </w:style>
  <w:style w:type="paragraph" w:styleId="Heading2">
    <w:name w:val="Heading 2"/>
    <w:basedOn w:val="Normal"/>
    <w:next w:val="Normal"/>
    <w:qFormat/>
    <w:pPr>
      <w:spacing w:before="360" w:after="80"/>
      <w:outlineLvl w:val="1"/>
    </w:pPr>
    <w:rPr>
      <w:rFonts w:ascii="Georgia" w:cs="Georgia" w:eastAsia="Georgia" w:hAnsi="Georgia"/>
      <w:color w:val="1A2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2026-02-17T05:44:24.924Z</dcterms:created>
  <dcterms:modified xsi:type="dcterms:W3CDTF">2026-02-17T05:44:24.925Z</dcterms:modified>
</cp:coreProperties>
</file>

<file path=docProps/custom.xml><?xml version="1.0" encoding="utf-8"?>
<Properties xmlns="http://schemas.openxmlformats.org/officeDocument/2006/custom-properties" xmlns:vt="http://schemas.openxmlformats.org/officeDocument/2006/docPropsVTypes"/>
</file>