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DA79E" w14:textId="77777777" w:rsidR="00671791" w:rsidRPr="00671791" w:rsidRDefault="000A6320" w:rsidP="004A6D16">
      <w:pPr>
        <w:spacing w:line="480" w:lineRule="auto"/>
        <w:rPr>
          <w:rFonts w:asciiTheme="majorBidi" w:hAnsiTheme="majorBidi" w:cstheme="majorBidi"/>
        </w:rPr>
      </w:pPr>
      <w:r w:rsidRPr="000A6320">
        <w:rPr>
          <w:rFonts w:asciiTheme="majorBidi" w:hAnsiTheme="majorBidi" w:cstheme="majorBidi"/>
          <w:b/>
          <w:bCs/>
        </w:rPr>
        <w:t>Data Preparation and Overview</w:t>
      </w:r>
      <w:r w:rsidR="00E005D7">
        <w:rPr>
          <w:rFonts w:asciiTheme="majorBidi" w:hAnsiTheme="majorBidi" w:cstheme="majorBidi"/>
          <w:b/>
          <w:bCs/>
        </w:rPr>
        <w:t xml:space="preserve">: </w:t>
      </w:r>
      <w:r w:rsidR="00671791" w:rsidRPr="00671791">
        <w:rPr>
          <w:rFonts w:asciiTheme="majorBidi" w:hAnsiTheme="majorBidi" w:cstheme="majorBidi"/>
        </w:rPr>
        <w:t xml:space="preserve">Data will be obtained from the study database and merged across baseline and one-year follow-up visits to create a longitudinal analytic dataset. For all aims, the primary outcomes will be change in episodic memory and change in cortical thickness, defined as baseline minus year-1 values. Baseline measures of each outcome will be included as covariates in all primary models to account for individual differences </w:t>
      </w:r>
      <w:proofErr w:type="gramStart"/>
      <w:r w:rsidR="00671791" w:rsidRPr="00671791">
        <w:rPr>
          <w:rFonts w:asciiTheme="majorBidi" w:hAnsiTheme="majorBidi" w:cstheme="majorBidi"/>
        </w:rPr>
        <w:t>at</w:t>
      </w:r>
      <w:proofErr w:type="gramEnd"/>
      <w:r w:rsidR="00671791" w:rsidRPr="00671791">
        <w:rPr>
          <w:rFonts w:asciiTheme="majorBidi" w:hAnsiTheme="majorBidi" w:cstheme="majorBidi"/>
        </w:rPr>
        <w:t xml:space="preserve"> study entry.</w:t>
      </w:r>
    </w:p>
    <w:p w14:paraId="10B440C7"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 xml:space="preserve">The analytic dataset will be derived from the full study dataset by </w:t>
      </w:r>
      <w:proofErr w:type="gramStart"/>
      <w:r w:rsidRPr="00671791">
        <w:rPr>
          <w:rFonts w:asciiTheme="majorBidi" w:hAnsiTheme="majorBidi" w:cstheme="majorBidi"/>
        </w:rPr>
        <w:t>restricting to</w:t>
      </w:r>
      <w:proofErr w:type="gramEnd"/>
      <w:r w:rsidRPr="00671791">
        <w:rPr>
          <w:rFonts w:asciiTheme="majorBidi" w:hAnsiTheme="majorBidi" w:cstheme="majorBidi"/>
        </w:rPr>
        <w:t xml:space="preserve"> participants with complete data on outcomes, exposures, and covariates required for each analysis. Because complete-case analysis may introduce bias if missingness is not random, we will evaluate differences between the full enrolled sample and the analytic sample using descriptive statistics and appropriate statistical tests to assess the potential impact of missing data on study findings.</w:t>
      </w:r>
    </w:p>
    <w:p w14:paraId="6E25C6BE"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Data will be reviewed for completeness, outliers, and distributional assumptions. Inflammatory markers are expected to be right-skewed; however, transformations will be evaluated empirically. Table 1 provides an exploratory summary of the primary exposures and covariates by aim, including variable type and distributional considerations, and will guide model specification and variable handling.</w:t>
      </w:r>
    </w:p>
    <w:p w14:paraId="3A46468F" w14:textId="37F60926" w:rsidR="00671791" w:rsidRPr="00671791" w:rsidRDefault="00671791" w:rsidP="00FB2A0E">
      <w:pPr>
        <w:spacing w:line="480" w:lineRule="auto"/>
        <w:rPr>
          <w:rFonts w:asciiTheme="majorBidi" w:hAnsiTheme="majorBidi" w:cstheme="majorBidi"/>
        </w:rPr>
      </w:pPr>
      <w:r w:rsidRPr="00671791">
        <w:rPr>
          <w:rFonts w:asciiTheme="majorBidi" w:hAnsiTheme="majorBidi" w:cstheme="majorBidi"/>
        </w:rPr>
        <w:t>Preliminary data were available for baseline inflammatory markers and change scores for episodic memory and cortical thickness. Because separate baseline and follow-up outcome values were not available in the preliminary dataset, analyses focused on descriptive summaries, histograms, scatterplots, skewness estimates, and correlations between inflammatory markers and outcome change scores. These analyses were used to estimate plausible ranges of associations between predictors and outcomes, as well as correlations among predictors and outcomes, to inform power assumptions.</w:t>
      </w:r>
      <w:r w:rsidR="00FB2A0E">
        <w:rPr>
          <w:rFonts w:asciiTheme="majorBidi" w:hAnsiTheme="majorBidi" w:cstheme="majorBidi"/>
        </w:rPr>
        <w:t xml:space="preserve"> </w:t>
      </w:r>
      <w:r w:rsidR="00FB2A0E" w:rsidRPr="00FB2A0E">
        <w:rPr>
          <w:rFonts w:asciiTheme="majorBidi" w:hAnsiTheme="majorBidi" w:cstheme="majorBidi"/>
        </w:rPr>
        <w:t xml:space="preserve">Preliminary analyses indicated moderate associations between inflammatory markers and memory outcomes (r ≈ 0.25–0.32) and stronger associations </w:t>
      </w:r>
      <w:r w:rsidR="00FB2A0E" w:rsidRPr="00FB2A0E">
        <w:rPr>
          <w:rFonts w:asciiTheme="majorBidi" w:hAnsiTheme="majorBidi" w:cstheme="majorBidi"/>
        </w:rPr>
        <w:lastRenderedPageBreak/>
        <w:t>with cortical thickness outcomes (r ≈ 0.60–0.70). Because regression-based analyses adjust for covariates and multiple predictors, we used conservative partial correlation values when estimating power. Specifically, we assumed partial correlations of 0.15–0.25 for memory outcomes and 0.30–0.50 for cortical thickness outcomes.</w:t>
      </w:r>
    </w:p>
    <w:p w14:paraId="350DA634"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Preliminary findings suggested inverse associations between inflammatory markers and memory outcomes, with higher MCP-1 levels associated with greater cognitive decline. Variation in these associations across levels of other inflammatory markers suggested potential effect modification, supporting the inclusion of interaction terms in Aim 2. These findings informed expected directions of association but were not used to derive effect sizes for power calculations.</w:t>
      </w:r>
    </w:p>
    <w:p w14:paraId="23276C37" w14:textId="77777777" w:rsidR="00671791" w:rsidRPr="00671791" w:rsidRDefault="000A6320" w:rsidP="004A6D16">
      <w:pPr>
        <w:spacing w:line="480" w:lineRule="auto"/>
        <w:rPr>
          <w:rFonts w:asciiTheme="majorBidi" w:hAnsiTheme="majorBidi" w:cstheme="majorBidi"/>
        </w:rPr>
      </w:pPr>
      <w:r w:rsidRPr="000A6320">
        <w:rPr>
          <w:rFonts w:asciiTheme="majorBidi" w:hAnsiTheme="majorBidi" w:cstheme="majorBidi"/>
          <w:b/>
          <w:bCs/>
        </w:rPr>
        <w:t>Aim 1</w:t>
      </w:r>
      <w:proofErr w:type="gramStart"/>
      <w:r w:rsidRPr="000A6320">
        <w:rPr>
          <w:rFonts w:asciiTheme="majorBidi" w:hAnsiTheme="majorBidi" w:cstheme="majorBidi"/>
          <w:b/>
          <w:bCs/>
        </w:rPr>
        <w:t xml:space="preserve">: </w:t>
      </w:r>
      <w:r w:rsidR="00F84DF3">
        <w:rPr>
          <w:rFonts w:asciiTheme="majorBidi" w:hAnsiTheme="majorBidi" w:cstheme="majorBidi"/>
          <w:b/>
          <w:bCs/>
        </w:rPr>
        <w:t xml:space="preserve"> </w:t>
      </w:r>
      <w:r w:rsidR="00671791" w:rsidRPr="00671791">
        <w:rPr>
          <w:rFonts w:asciiTheme="majorBidi" w:hAnsiTheme="majorBidi" w:cstheme="majorBidi"/>
        </w:rPr>
        <w:t>To</w:t>
      </w:r>
      <w:proofErr w:type="gramEnd"/>
      <w:r w:rsidR="00671791" w:rsidRPr="00671791">
        <w:rPr>
          <w:rFonts w:asciiTheme="majorBidi" w:hAnsiTheme="majorBidi" w:cstheme="majorBidi"/>
        </w:rPr>
        <w:t xml:space="preserve"> evaluate whether baseline inflammatory markers are associated with change in episodic memory and cortical thickness over one year, we will fit multiple linear regression models with outcome change scores as the dependent variables. Separate models will be fit for each outcome and each inflammatory marker of interest. Each model will include the corresponding baseline outcome, the inflammatory marker of interest, and prespecified covariates.</w:t>
      </w:r>
    </w:p>
    <w:p w14:paraId="3A6F3896"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 xml:space="preserve">Primary inflammatory markers will include IL-6, TNF-α, MCP-1, and Eotaxin-1. Additional cytokines from the MSD panel and AD-related inflammatory markers such as beta-2 </w:t>
      </w:r>
      <w:proofErr w:type="spellStart"/>
      <w:r w:rsidRPr="00671791">
        <w:rPr>
          <w:rFonts w:asciiTheme="majorBidi" w:hAnsiTheme="majorBidi" w:cstheme="majorBidi"/>
        </w:rPr>
        <w:t>microglobulin</w:t>
      </w:r>
      <w:proofErr w:type="spellEnd"/>
      <w:r w:rsidRPr="00671791">
        <w:rPr>
          <w:rFonts w:asciiTheme="majorBidi" w:hAnsiTheme="majorBidi" w:cstheme="majorBidi"/>
        </w:rPr>
        <w:t xml:space="preserve"> and alpha-1 </w:t>
      </w:r>
      <w:proofErr w:type="spellStart"/>
      <w:r w:rsidRPr="00671791">
        <w:rPr>
          <w:rFonts w:asciiTheme="majorBidi" w:hAnsiTheme="majorBidi" w:cstheme="majorBidi"/>
        </w:rPr>
        <w:t>antichymotrypsin</w:t>
      </w:r>
      <w:proofErr w:type="spellEnd"/>
      <w:r w:rsidRPr="00671791">
        <w:rPr>
          <w:rFonts w:asciiTheme="majorBidi" w:hAnsiTheme="majorBidi" w:cstheme="majorBidi"/>
        </w:rPr>
        <w:t xml:space="preserve"> will be considered in </w:t>
      </w:r>
      <w:proofErr w:type="gramStart"/>
      <w:r w:rsidRPr="00671791">
        <w:rPr>
          <w:rFonts w:asciiTheme="majorBidi" w:hAnsiTheme="majorBidi" w:cstheme="majorBidi"/>
        </w:rPr>
        <w:t>exploratory</w:t>
      </w:r>
      <w:proofErr w:type="gramEnd"/>
      <w:r w:rsidRPr="00671791">
        <w:rPr>
          <w:rFonts w:asciiTheme="majorBidi" w:hAnsiTheme="majorBidi" w:cstheme="majorBidi"/>
        </w:rPr>
        <w:t xml:space="preserve"> analyses. Covariates will include age, sex, education, diagnostic group, APOE genotype, BMI, hypercholesterolemia, NSAID use, and immune-related health conditions.</w:t>
      </w:r>
    </w:p>
    <w:p w14:paraId="57DAA6F9"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lastRenderedPageBreak/>
        <w:t>The primary parameter of interest for Aim 1 will be the regression coefficient for each inflammatory marker, representing the expected difference in change in memory or cortical thickness per unit increase in the marker, adjusted for baseline outcome and covariates.</w:t>
      </w:r>
    </w:p>
    <w:p w14:paraId="7A4483C2"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To address multiple testing, inflammatory markers will be evaluated within prespecified families defined by outcome. For each outcome, we will first conduct an omnibus partial F test to assess whether inflammatory markers collectively contribute to the model after adjustment for baseline outcome and covariates. This omnibus test evaluates whether any inflammatory marker is associated with the outcome.</w:t>
      </w:r>
    </w:p>
    <w:p w14:paraId="317F997F"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 xml:space="preserve">Only if the omnibus test is statistically significant at a two-sided α = 0.05 will we proceed to marker-specific analyses. For these follow-up tests, a Bonferroni correction will be applied by dividing α by the number of markers tested within the family. This approach provides </w:t>
      </w:r>
      <w:proofErr w:type="gramStart"/>
      <w:r w:rsidRPr="00671791">
        <w:rPr>
          <w:rFonts w:asciiTheme="majorBidi" w:hAnsiTheme="majorBidi" w:cstheme="majorBidi"/>
        </w:rPr>
        <w:t>a conservative</w:t>
      </w:r>
      <w:proofErr w:type="gramEnd"/>
      <w:r w:rsidRPr="00671791">
        <w:rPr>
          <w:rFonts w:asciiTheme="majorBidi" w:hAnsiTheme="majorBidi" w:cstheme="majorBidi"/>
        </w:rPr>
        <w:t xml:space="preserve"> control of Type I error while maintaining a structured testing framework.</w:t>
      </w:r>
    </w:p>
    <w:p w14:paraId="073065E5" w14:textId="77777777" w:rsidR="00671791" w:rsidRPr="00671791" w:rsidRDefault="00671791" w:rsidP="004A6D16">
      <w:pPr>
        <w:spacing w:line="480" w:lineRule="auto"/>
        <w:rPr>
          <w:rFonts w:asciiTheme="majorBidi" w:hAnsiTheme="majorBidi" w:cstheme="majorBidi"/>
        </w:rPr>
      </w:pPr>
      <w:r w:rsidRPr="00671791">
        <w:rPr>
          <w:rFonts w:asciiTheme="majorBidi" w:hAnsiTheme="majorBidi" w:cstheme="majorBidi"/>
        </w:rPr>
        <w:t>Model assumptions will be assessed through standard residual diagnostics, including evaluation of linearity, homoscedasticity, and influential observations. Results will be reported using regression coefficients and 95% confidence intervals. Interpretation will emphasize the magnitude, direction, and consistency of associations across outcomes and markers rather than relying solely on individual p-values.</w:t>
      </w:r>
    </w:p>
    <w:p w14:paraId="04F8042D" w14:textId="77777777" w:rsidR="00196899" w:rsidRPr="00196899" w:rsidRDefault="000A6320" w:rsidP="004A6D16">
      <w:pPr>
        <w:spacing w:line="480" w:lineRule="auto"/>
        <w:rPr>
          <w:rFonts w:asciiTheme="majorBidi" w:hAnsiTheme="majorBidi" w:cstheme="majorBidi"/>
        </w:rPr>
      </w:pPr>
      <w:r w:rsidRPr="000A6320">
        <w:rPr>
          <w:rFonts w:asciiTheme="majorBidi" w:hAnsiTheme="majorBidi" w:cstheme="majorBidi"/>
          <w:b/>
          <w:bCs/>
        </w:rPr>
        <w:t>Aim 2</w:t>
      </w:r>
      <w:proofErr w:type="gramStart"/>
      <w:r w:rsidRPr="000A6320">
        <w:rPr>
          <w:rFonts w:asciiTheme="majorBidi" w:hAnsiTheme="majorBidi" w:cstheme="majorBidi"/>
          <w:b/>
          <w:bCs/>
        </w:rPr>
        <w:t xml:space="preserve">: </w:t>
      </w:r>
      <w:r w:rsidR="00F84DF3">
        <w:rPr>
          <w:rFonts w:asciiTheme="majorBidi" w:hAnsiTheme="majorBidi" w:cstheme="majorBidi"/>
          <w:b/>
          <w:bCs/>
        </w:rPr>
        <w:t xml:space="preserve"> </w:t>
      </w:r>
      <w:r w:rsidR="00196899" w:rsidRPr="00196899">
        <w:rPr>
          <w:rFonts w:asciiTheme="majorBidi" w:hAnsiTheme="majorBidi" w:cstheme="majorBidi"/>
        </w:rPr>
        <w:t>To</w:t>
      </w:r>
      <w:proofErr w:type="gramEnd"/>
      <w:r w:rsidR="00196899" w:rsidRPr="00196899">
        <w:rPr>
          <w:rFonts w:asciiTheme="majorBidi" w:hAnsiTheme="majorBidi" w:cstheme="majorBidi"/>
        </w:rPr>
        <w:t xml:space="preserve"> evaluate whether inflammation modifies the association between amyloid burden and change in episodic memory and cortical thickness, we will fit multiple linear regression models with outcome change scores as the dependent variables. Each model will include the corresponding baseline outcome, amyloid burden as a main effect, the inflammatory marker as a </w:t>
      </w:r>
      <w:r w:rsidR="00196899" w:rsidRPr="00196899">
        <w:rPr>
          <w:rFonts w:asciiTheme="majorBidi" w:hAnsiTheme="majorBidi" w:cstheme="majorBidi"/>
        </w:rPr>
        <w:lastRenderedPageBreak/>
        <w:t>main effect, an amyloid × inflammation interaction term, and the same covariates included in Aim 1.</w:t>
      </w:r>
    </w:p>
    <w:p w14:paraId="39C4ED2B" w14:textId="77777777" w:rsidR="00196899" w:rsidRPr="00196899" w:rsidRDefault="00196899" w:rsidP="004A6D16">
      <w:pPr>
        <w:spacing w:line="480" w:lineRule="auto"/>
        <w:rPr>
          <w:rFonts w:asciiTheme="majorBidi" w:hAnsiTheme="majorBidi" w:cstheme="majorBidi"/>
        </w:rPr>
      </w:pPr>
      <w:r w:rsidRPr="00196899">
        <w:rPr>
          <w:rFonts w:asciiTheme="majorBidi" w:hAnsiTheme="majorBidi" w:cstheme="majorBidi"/>
        </w:rPr>
        <w:t>The primary parameter of interest will be the coefficient for the amyloid × inflammation interaction term, which tests whether the association between amyloid burden and outcome change differs across levels of inflammation. Continuous predictors will be centered to facilitate interpretation and reduce nonessential multicollinearity.</w:t>
      </w:r>
    </w:p>
    <w:p w14:paraId="52CB54A6" w14:textId="77777777" w:rsidR="00196899" w:rsidRPr="00196899" w:rsidRDefault="00196899" w:rsidP="004A6D16">
      <w:pPr>
        <w:spacing w:line="480" w:lineRule="auto"/>
        <w:rPr>
          <w:rFonts w:asciiTheme="majorBidi" w:hAnsiTheme="majorBidi" w:cstheme="majorBidi"/>
        </w:rPr>
      </w:pPr>
      <w:r w:rsidRPr="00196899">
        <w:rPr>
          <w:rFonts w:asciiTheme="majorBidi" w:hAnsiTheme="majorBidi" w:cstheme="majorBidi"/>
        </w:rPr>
        <w:t>Interaction effects will be evaluated within prespecified families defined by outcome. For each outcome, we will first conduct an omnibus partial F test to assess whether interaction terms collectively contribute to the model beyond main effects and covariates. This test evaluates whether any interaction between amyloid burden and inflammatory markers is present.</w:t>
      </w:r>
    </w:p>
    <w:p w14:paraId="5D7B4FD3" w14:textId="77777777" w:rsidR="00196899" w:rsidRPr="00196899" w:rsidRDefault="00196899" w:rsidP="004A6D16">
      <w:pPr>
        <w:spacing w:line="480" w:lineRule="auto"/>
        <w:rPr>
          <w:rFonts w:asciiTheme="majorBidi" w:hAnsiTheme="majorBidi" w:cstheme="majorBidi"/>
        </w:rPr>
      </w:pPr>
      <w:r w:rsidRPr="00196899">
        <w:rPr>
          <w:rFonts w:asciiTheme="majorBidi" w:hAnsiTheme="majorBidi" w:cstheme="majorBidi"/>
        </w:rPr>
        <w:t xml:space="preserve">Only if the omnibus interaction test is statistically significant at a two-sided α = 0.05 will we proceed to marker-specific interaction tests. For these follow-up analyses, a Bonferroni correction will be applied within each family to </w:t>
      </w:r>
      <w:proofErr w:type="gramStart"/>
      <w:r w:rsidRPr="00196899">
        <w:rPr>
          <w:rFonts w:asciiTheme="majorBidi" w:hAnsiTheme="majorBidi" w:cstheme="majorBidi"/>
        </w:rPr>
        <w:t>control for</w:t>
      </w:r>
      <w:proofErr w:type="gramEnd"/>
      <w:r w:rsidRPr="00196899">
        <w:rPr>
          <w:rFonts w:asciiTheme="majorBidi" w:hAnsiTheme="majorBidi" w:cstheme="majorBidi"/>
        </w:rPr>
        <w:t xml:space="preserve"> multiple comparisons.</w:t>
      </w:r>
    </w:p>
    <w:p w14:paraId="5EB24497" w14:textId="77777777" w:rsidR="00196899" w:rsidRPr="00196899" w:rsidRDefault="00196899" w:rsidP="004A6D16">
      <w:pPr>
        <w:spacing w:line="480" w:lineRule="auto"/>
        <w:rPr>
          <w:rFonts w:asciiTheme="majorBidi" w:hAnsiTheme="majorBidi" w:cstheme="majorBidi"/>
        </w:rPr>
      </w:pPr>
      <w:r w:rsidRPr="00196899">
        <w:rPr>
          <w:rFonts w:asciiTheme="majorBidi" w:hAnsiTheme="majorBidi" w:cstheme="majorBidi"/>
        </w:rPr>
        <w:t>Significant interactions will be examined using predicted values and simple slope analyses at representative levels of the inflammatory marker.</w:t>
      </w:r>
    </w:p>
    <w:p w14:paraId="77FE471E" w14:textId="77777777" w:rsidR="00196899" w:rsidRPr="00196899" w:rsidRDefault="00196899" w:rsidP="004A6D16">
      <w:pPr>
        <w:spacing w:line="480" w:lineRule="auto"/>
        <w:rPr>
          <w:rFonts w:asciiTheme="majorBidi" w:hAnsiTheme="majorBidi" w:cstheme="majorBidi"/>
        </w:rPr>
      </w:pPr>
      <w:r w:rsidRPr="00196899">
        <w:rPr>
          <w:rFonts w:asciiTheme="majorBidi" w:hAnsiTheme="majorBidi" w:cstheme="majorBidi"/>
        </w:rPr>
        <w:t>Model specification, covariate adjustment, and diagnostic procedures will otherwise follow the same approach as in Aim 1. Given lower expected power for interaction effects, findings from Aim 2 will be interpreted cautiously, with emphasis on effect sizes and consistency across outcomes.</w:t>
      </w:r>
    </w:p>
    <w:p w14:paraId="280B1579" w14:textId="732A8F6E" w:rsidR="00C3581E" w:rsidRPr="00C3581E" w:rsidRDefault="00C3581E" w:rsidP="004A6D16">
      <w:pPr>
        <w:spacing w:line="480" w:lineRule="auto"/>
        <w:rPr>
          <w:rFonts w:asciiTheme="majorBidi" w:hAnsiTheme="majorBidi" w:cstheme="majorBidi"/>
        </w:rPr>
      </w:pPr>
      <w:r w:rsidRPr="00C3581E">
        <w:rPr>
          <w:rFonts w:asciiTheme="majorBidi" w:hAnsiTheme="majorBidi" w:cstheme="majorBidi"/>
          <w:b/>
          <w:bCs/>
        </w:rPr>
        <w:t>Power analyses</w:t>
      </w:r>
      <w:r>
        <w:rPr>
          <w:rFonts w:asciiTheme="majorBidi" w:hAnsiTheme="majorBidi" w:cstheme="majorBidi"/>
          <w:b/>
          <w:bCs/>
        </w:rPr>
        <w:t>:</w:t>
      </w:r>
      <w:r w:rsidRPr="00C3581E">
        <w:rPr>
          <w:rFonts w:asciiTheme="majorBidi" w:hAnsiTheme="majorBidi" w:cstheme="majorBidi"/>
          <w:b/>
          <w:bCs/>
        </w:rPr>
        <w:t xml:space="preserve"> </w:t>
      </w:r>
      <w:r w:rsidRPr="00C3581E">
        <w:rPr>
          <w:rFonts w:asciiTheme="majorBidi" w:hAnsiTheme="majorBidi" w:cstheme="majorBidi"/>
        </w:rPr>
        <w:t xml:space="preserve">were conducted in R using the </w:t>
      </w:r>
      <w:proofErr w:type="spellStart"/>
      <w:r w:rsidRPr="00C3581E">
        <w:rPr>
          <w:rFonts w:asciiTheme="majorBidi" w:hAnsiTheme="majorBidi" w:cstheme="majorBidi"/>
          <w:i/>
          <w:iCs/>
        </w:rPr>
        <w:t>powertools</w:t>
      </w:r>
      <w:proofErr w:type="spellEnd"/>
      <w:r w:rsidRPr="00C3581E">
        <w:rPr>
          <w:rFonts w:asciiTheme="majorBidi" w:hAnsiTheme="majorBidi" w:cstheme="majorBidi"/>
        </w:rPr>
        <w:t xml:space="preserve"> package and the </w:t>
      </w:r>
      <w:proofErr w:type="spellStart"/>
      <w:r w:rsidRPr="00C3581E">
        <w:rPr>
          <w:rFonts w:asciiTheme="majorBidi" w:hAnsiTheme="majorBidi" w:cstheme="majorBidi"/>
          <w:i/>
          <w:iCs/>
        </w:rPr>
        <w:t>mlrF.partial</w:t>
      </w:r>
      <w:proofErr w:type="spellEnd"/>
      <w:r w:rsidRPr="00C3581E">
        <w:rPr>
          <w:rFonts w:asciiTheme="majorBidi" w:hAnsiTheme="majorBidi" w:cstheme="majorBidi"/>
        </w:rPr>
        <w:t xml:space="preserve"> function, which approximates the partial F test for regression coefficients in multiple linear </w:t>
      </w:r>
      <w:r w:rsidRPr="00C3581E">
        <w:rPr>
          <w:rFonts w:asciiTheme="majorBidi" w:hAnsiTheme="majorBidi" w:cstheme="majorBidi"/>
        </w:rPr>
        <w:lastRenderedPageBreak/>
        <w:t>regression. This approach was selected because the primary analyses involve testing the joint contribution of predictors using omnibus partial F tests.</w:t>
      </w:r>
    </w:p>
    <w:p w14:paraId="4C438C03" w14:textId="77777777" w:rsidR="00C3581E" w:rsidRPr="00C3581E" w:rsidRDefault="00C3581E" w:rsidP="004A6D16">
      <w:pPr>
        <w:spacing w:line="480" w:lineRule="auto"/>
        <w:rPr>
          <w:rFonts w:asciiTheme="majorBidi" w:hAnsiTheme="majorBidi" w:cstheme="majorBidi"/>
        </w:rPr>
      </w:pPr>
      <w:r w:rsidRPr="00C3581E">
        <w:rPr>
          <w:rFonts w:asciiTheme="majorBidi" w:hAnsiTheme="majorBidi" w:cstheme="majorBidi"/>
        </w:rPr>
        <w:t>Correlation assumptions were estimated directly from the preliminary dataset. Preliminary data suggested small-to-moderate associations between inflammatory markers and memory change and moderate-to-strong associations with cortical thickness change. Conservative assumptions for partial correlations were used given additional covariate adjustment. All calculations assumed a two-sided α = 0.05 for the primary omnibus tests.</w:t>
      </w:r>
    </w:p>
    <w:p w14:paraId="1C449D8A" w14:textId="1C1E1F4D" w:rsidR="00C3581E" w:rsidRPr="00C3581E" w:rsidRDefault="00C3581E" w:rsidP="004A6D16">
      <w:pPr>
        <w:spacing w:line="480" w:lineRule="auto"/>
        <w:rPr>
          <w:rFonts w:asciiTheme="majorBidi" w:hAnsiTheme="majorBidi" w:cstheme="majorBidi"/>
          <w:b/>
          <w:bCs/>
        </w:rPr>
      </w:pPr>
      <w:r w:rsidRPr="00C3581E">
        <w:rPr>
          <w:rFonts w:asciiTheme="majorBidi" w:hAnsiTheme="majorBidi" w:cstheme="majorBidi"/>
          <w:b/>
          <w:bCs/>
        </w:rPr>
        <w:t>Aim 1</w:t>
      </w:r>
      <w:r>
        <w:rPr>
          <w:rFonts w:asciiTheme="majorBidi" w:hAnsiTheme="majorBidi" w:cstheme="majorBidi"/>
          <w:b/>
          <w:bCs/>
        </w:rPr>
        <w:t xml:space="preserve">: </w:t>
      </w:r>
      <w:r w:rsidRPr="00C3581E">
        <w:rPr>
          <w:rFonts w:asciiTheme="majorBidi" w:hAnsiTheme="majorBidi" w:cstheme="majorBidi"/>
        </w:rPr>
        <w:t>Assuming a sample size of 175, 10 predictors, and partial correlations of 0.15, 0.20, and 0.25, estimated power ranged from 0.51 to 0.92. These results indicate limited power for detecting small effects but adequate power for moderate to larger associations.</w:t>
      </w:r>
    </w:p>
    <w:p w14:paraId="6A60F296" w14:textId="10F3C71E" w:rsidR="00C3581E" w:rsidRPr="00C3581E" w:rsidRDefault="00C3581E" w:rsidP="004A6D16">
      <w:pPr>
        <w:spacing w:line="480" w:lineRule="auto"/>
        <w:rPr>
          <w:rFonts w:asciiTheme="majorBidi" w:hAnsiTheme="majorBidi" w:cstheme="majorBidi"/>
          <w:b/>
          <w:bCs/>
        </w:rPr>
      </w:pPr>
      <w:r w:rsidRPr="00C3581E">
        <w:rPr>
          <w:rFonts w:asciiTheme="majorBidi" w:hAnsiTheme="majorBidi" w:cstheme="majorBidi"/>
          <w:b/>
          <w:bCs/>
        </w:rPr>
        <w:t>Aim 2</w:t>
      </w:r>
      <w:r>
        <w:rPr>
          <w:rFonts w:asciiTheme="majorBidi" w:hAnsiTheme="majorBidi" w:cstheme="majorBidi"/>
          <w:b/>
          <w:bCs/>
        </w:rPr>
        <w:t xml:space="preserve">: </w:t>
      </w:r>
      <w:r w:rsidRPr="00C3581E">
        <w:rPr>
          <w:rFonts w:asciiTheme="majorBidi" w:hAnsiTheme="majorBidi" w:cstheme="majorBidi"/>
        </w:rPr>
        <w:t>Assuming a sample size of 175, 12 predictors, and partial correlations of 0.10, 0.15, and 0.20 for interaction terms, estimated power ranged from 0.26 to 0.77. As expected, power to detect interaction effects is lower and adequate primarily for moderate-to-large effects.</w:t>
      </w:r>
    </w:p>
    <w:p w14:paraId="2EAEF15F" w14:textId="71A525F7" w:rsidR="003C5E61" w:rsidRPr="003C5E61" w:rsidRDefault="003375D4" w:rsidP="004A6D16">
      <w:pPr>
        <w:spacing w:line="480" w:lineRule="auto"/>
        <w:rPr>
          <w:rFonts w:asciiTheme="majorBidi" w:hAnsiTheme="majorBidi" w:cstheme="majorBidi"/>
        </w:rPr>
      </w:pPr>
      <w:r w:rsidRPr="003375D4">
        <w:rPr>
          <w:rFonts w:asciiTheme="majorBidi" w:hAnsiTheme="majorBidi" w:cstheme="majorBidi"/>
          <w:b/>
          <w:bCs/>
        </w:rPr>
        <w:t>Type I Error Control</w:t>
      </w:r>
      <w:r w:rsidR="00D753F5">
        <w:rPr>
          <w:rFonts w:asciiTheme="majorBidi" w:hAnsiTheme="majorBidi" w:cstheme="majorBidi"/>
          <w:b/>
          <w:bCs/>
        </w:rPr>
        <w:t xml:space="preserve">: </w:t>
      </w:r>
      <w:r w:rsidR="0046210C" w:rsidRPr="0046210C">
        <w:rPr>
          <w:rFonts w:asciiTheme="majorBidi" w:hAnsiTheme="majorBidi" w:cstheme="majorBidi"/>
        </w:rPr>
        <w:t>B</w:t>
      </w:r>
      <w:r w:rsidR="003C5E61" w:rsidRPr="003C5E61">
        <w:rPr>
          <w:rFonts w:asciiTheme="majorBidi" w:hAnsiTheme="majorBidi" w:cstheme="majorBidi"/>
        </w:rPr>
        <w:t>ecause multiple hypotheses will be evaluated across inflammatory markers, outcomes, and interaction terms, there is potential for inflation of Type I error. To address this, analyses will be organized into prespecified families defined by aim and outcome.</w:t>
      </w:r>
    </w:p>
    <w:p w14:paraId="086E9079" w14:textId="77777777" w:rsidR="003C5E61" w:rsidRPr="003C5E61" w:rsidRDefault="003C5E61" w:rsidP="004A6D16">
      <w:pPr>
        <w:spacing w:line="480" w:lineRule="auto"/>
        <w:rPr>
          <w:rFonts w:asciiTheme="majorBidi" w:hAnsiTheme="majorBidi" w:cstheme="majorBidi"/>
        </w:rPr>
      </w:pPr>
      <w:r w:rsidRPr="003C5E61">
        <w:rPr>
          <w:rFonts w:asciiTheme="majorBidi" w:hAnsiTheme="majorBidi" w:cstheme="majorBidi"/>
        </w:rPr>
        <w:t xml:space="preserve">Within each family, we will first conduct an omnibus partial F test at a two-sided α = 0.05 to evaluate the collective contribution of predictors of interest. This approach reduces the number of primary tests and limits inflation of Type I </w:t>
      </w:r>
      <w:proofErr w:type="gramStart"/>
      <w:r w:rsidRPr="003C5E61">
        <w:rPr>
          <w:rFonts w:asciiTheme="majorBidi" w:hAnsiTheme="majorBidi" w:cstheme="majorBidi"/>
        </w:rPr>
        <w:t>error</w:t>
      </w:r>
      <w:proofErr w:type="gramEnd"/>
      <w:r w:rsidRPr="003C5E61">
        <w:rPr>
          <w:rFonts w:asciiTheme="majorBidi" w:hAnsiTheme="majorBidi" w:cstheme="majorBidi"/>
        </w:rPr>
        <w:t>.</w:t>
      </w:r>
    </w:p>
    <w:p w14:paraId="14A925F6" w14:textId="77777777" w:rsidR="003C5E61" w:rsidRPr="003C5E61" w:rsidRDefault="003C5E61" w:rsidP="004A6D16">
      <w:pPr>
        <w:spacing w:line="480" w:lineRule="auto"/>
        <w:rPr>
          <w:rFonts w:asciiTheme="majorBidi" w:hAnsiTheme="majorBidi" w:cstheme="majorBidi"/>
        </w:rPr>
      </w:pPr>
      <w:r w:rsidRPr="003C5E61">
        <w:rPr>
          <w:rFonts w:asciiTheme="majorBidi" w:hAnsiTheme="majorBidi" w:cstheme="majorBidi"/>
        </w:rPr>
        <w:t>Only if the omnibus test is statistically significant will follow-up tests of individual markers be conducted. For these follow-up tests, a Bonferroni correction will be applied within each family to provide conservative control of Type I error.</w:t>
      </w:r>
    </w:p>
    <w:p w14:paraId="38220417" w14:textId="77777777" w:rsidR="003C5E61" w:rsidRPr="003C5E61" w:rsidRDefault="003C5E61" w:rsidP="004A6D16">
      <w:pPr>
        <w:spacing w:line="480" w:lineRule="auto"/>
        <w:rPr>
          <w:rFonts w:asciiTheme="majorBidi" w:hAnsiTheme="majorBidi" w:cstheme="majorBidi"/>
        </w:rPr>
      </w:pPr>
      <w:r w:rsidRPr="003C5E61">
        <w:rPr>
          <w:rFonts w:asciiTheme="majorBidi" w:hAnsiTheme="majorBidi" w:cstheme="majorBidi"/>
        </w:rPr>
        <w:lastRenderedPageBreak/>
        <w:t>Analyses involving additional cytokines and exploratory markers will be explicitly labeled as exploratory and interpreted cautiously.</w:t>
      </w:r>
    </w:p>
    <w:p w14:paraId="0C03C944" w14:textId="77777777" w:rsidR="003C5E61" w:rsidRDefault="003C5E61" w:rsidP="004A6D16">
      <w:pPr>
        <w:spacing w:line="480" w:lineRule="auto"/>
        <w:rPr>
          <w:rFonts w:asciiTheme="majorBidi" w:hAnsiTheme="majorBidi" w:cstheme="majorBidi"/>
        </w:rPr>
      </w:pPr>
      <w:r w:rsidRPr="003C5E61">
        <w:rPr>
          <w:rFonts w:asciiTheme="majorBidi" w:hAnsiTheme="majorBidi" w:cstheme="majorBidi"/>
        </w:rPr>
        <w:t>In addition to p-values, interpretation will emphasize effect sizes, confidence intervals, and consistency of findings across related outcomes and markers.</w:t>
      </w:r>
    </w:p>
    <w:p w14:paraId="6F3F5FF6" w14:textId="77777777" w:rsidR="004A6D16" w:rsidRPr="003C5E61" w:rsidRDefault="004A6D16" w:rsidP="004A6D16">
      <w:pPr>
        <w:spacing w:line="480" w:lineRule="auto"/>
        <w:rPr>
          <w:rFonts w:asciiTheme="majorBidi" w:hAnsiTheme="majorBidi" w:cstheme="majorBidi"/>
        </w:rPr>
      </w:pPr>
    </w:p>
    <w:p w14:paraId="1FC3E083" w14:textId="084CE031" w:rsidR="003375D4" w:rsidRDefault="003375D4" w:rsidP="003C5E61">
      <w:pPr>
        <w:rPr>
          <w:rFonts w:asciiTheme="majorBidi" w:hAnsiTheme="majorBidi" w:cstheme="majorBidi"/>
        </w:rPr>
      </w:pPr>
    </w:p>
    <w:p w14:paraId="6FED75CD" w14:textId="083C6824" w:rsidR="006C7C8A" w:rsidRPr="006C7C8A" w:rsidRDefault="009F050A" w:rsidP="009F050A">
      <w:pPr>
        <w:rPr>
          <w:rFonts w:asciiTheme="majorBidi" w:hAnsiTheme="majorBidi" w:cstheme="majorBidi"/>
          <w:b/>
          <w:bCs/>
        </w:rPr>
      </w:pPr>
      <w:r w:rsidRPr="009F050A">
        <w:rPr>
          <w:rFonts w:asciiTheme="majorBidi" w:hAnsiTheme="majorBidi" w:cstheme="majorBidi"/>
          <w:b/>
          <w:bCs/>
        </w:rPr>
        <w:t>Table</w:t>
      </w:r>
      <w:r w:rsidR="007D1030">
        <w:rPr>
          <w:rFonts w:asciiTheme="majorBidi" w:hAnsiTheme="majorBidi" w:cstheme="majorBidi"/>
          <w:b/>
          <w:bCs/>
        </w:rPr>
        <w:t xml:space="preserve"> 1</w:t>
      </w:r>
      <w:r w:rsidRPr="009F050A">
        <w:rPr>
          <w:rFonts w:asciiTheme="majorBidi" w:hAnsiTheme="majorBidi" w:cstheme="majorBidi"/>
          <w:b/>
          <w:bCs/>
        </w:rPr>
        <w:t>. Exploratory Summary of Primary Exposures and Covariates by Aim</w:t>
      </w:r>
    </w:p>
    <w:tbl>
      <w:tblPr>
        <w:tblStyle w:val="TableGrid"/>
        <w:tblW w:w="0" w:type="auto"/>
        <w:tblLook w:val="04A0" w:firstRow="1" w:lastRow="0" w:firstColumn="1" w:lastColumn="0" w:noHBand="0" w:noVBand="1"/>
      </w:tblPr>
      <w:tblGrid>
        <w:gridCol w:w="675"/>
        <w:gridCol w:w="1758"/>
        <w:gridCol w:w="2952"/>
        <w:gridCol w:w="1490"/>
        <w:gridCol w:w="2475"/>
      </w:tblGrid>
      <w:tr w:rsidR="006C7C8A" w:rsidRPr="006C7C8A" w14:paraId="692025E4" w14:textId="77777777" w:rsidTr="006C7C8A">
        <w:tc>
          <w:tcPr>
            <w:tcW w:w="0" w:type="auto"/>
            <w:hideMark/>
          </w:tcPr>
          <w:p w14:paraId="03CD364F"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Aim</w:t>
            </w:r>
          </w:p>
        </w:tc>
        <w:tc>
          <w:tcPr>
            <w:tcW w:w="0" w:type="auto"/>
            <w:hideMark/>
          </w:tcPr>
          <w:p w14:paraId="72A9197C"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Variable Category</w:t>
            </w:r>
          </w:p>
        </w:tc>
        <w:tc>
          <w:tcPr>
            <w:tcW w:w="0" w:type="auto"/>
            <w:hideMark/>
          </w:tcPr>
          <w:p w14:paraId="5C43B15E"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Variables</w:t>
            </w:r>
          </w:p>
        </w:tc>
        <w:tc>
          <w:tcPr>
            <w:tcW w:w="0" w:type="auto"/>
            <w:hideMark/>
          </w:tcPr>
          <w:p w14:paraId="2BF83ECA"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Type</w:t>
            </w:r>
          </w:p>
        </w:tc>
        <w:tc>
          <w:tcPr>
            <w:tcW w:w="0" w:type="auto"/>
            <w:hideMark/>
          </w:tcPr>
          <w:p w14:paraId="6D8D847A" w14:textId="77777777" w:rsidR="006C7C8A" w:rsidRPr="006C7C8A" w:rsidRDefault="006C7C8A" w:rsidP="006C7C8A">
            <w:pPr>
              <w:spacing w:after="160" w:line="278" w:lineRule="auto"/>
              <w:rPr>
                <w:rFonts w:asciiTheme="majorBidi" w:hAnsiTheme="majorBidi" w:cstheme="majorBidi"/>
                <w:b/>
                <w:bCs/>
              </w:rPr>
            </w:pPr>
            <w:r w:rsidRPr="006C7C8A">
              <w:rPr>
                <w:rFonts w:asciiTheme="majorBidi" w:hAnsiTheme="majorBidi" w:cstheme="majorBidi"/>
                <w:b/>
                <w:bCs/>
              </w:rPr>
              <w:t>Notes</w:t>
            </w:r>
          </w:p>
        </w:tc>
      </w:tr>
      <w:tr w:rsidR="006C7C8A" w:rsidRPr="006C7C8A" w14:paraId="70AF6597" w14:textId="77777777" w:rsidTr="006C7C8A">
        <w:tc>
          <w:tcPr>
            <w:tcW w:w="0" w:type="auto"/>
            <w:hideMark/>
          </w:tcPr>
          <w:p w14:paraId="115A997C"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Aim 1</w:t>
            </w:r>
          </w:p>
        </w:tc>
        <w:tc>
          <w:tcPr>
            <w:tcW w:w="0" w:type="auto"/>
            <w:hideMark/>
          </w:tcPr>
          <w:p w14:paraId="5BBEF4F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Peripheral inflammatory markers</w:t>
            </w:r>
          </w:p>
        </w:tc>
        <w:tc>
          <w:tcPr>
            <w:tcW w:w="0" w:type="auto"/>
            <w:hideMark/>
          </w:tcPr>
          <w:p w14:paraId="47C8E6DF" w14:textId="77777777" w:rsidR="006C7C8A" w:rsidRPr="006C7C8A" w:rsidRDefault="006C7C8A" w:rsidP="006C7C8A">
            <w:pPr>
              <w:spacing w:after="160" w:line="278" w:lineRule="auto"/>
              <w:rPr>
                <w:rFonts w:asciiTheme="majorBidi" w:hAnsiTheme="majorBidi" w:cstheme="majorBidi"/>
                <w:lang w:val="fr-FR"/>
              </w:rPr>
            </w:pPr>
            <w:r w:rsidRPr="006C7C8A">
              <w:rPr>
                <w:rFonts w:asciiTheme="majorBidi" w:hAnsiTheme="majorBidi" w:cstheme="majorBidi"/>
                <w:lang w:val="fr-FR"/>
              </w:rPr>
              <w:t>IL-6, TNF-</w:t>
            </w:r>
            <w:r w:rsidRPr="006C7C8A">
              <w:rPr>
                <w:rFonts w:asciiTheme="majorBidi" w:hAnsiTheme="majorBidi" w:cstheme="majorBidi"/>
              </w:rPr>
              <w:t>α</w:t>
            </w:r>
            <w:r w:rsidRPr="006C7C8A">
              <w:rPr>
                <w:rFonts w:asciiTheme="majorBidi" w:hAnsiTheme="majorBidi" w:cstheme="majorBidi"/>
                <w:lang w:val="fr-FR"/>
              </w:rPr>
              <w:t>, MCP-1, Eotaxin-1</w:t>
            </w:r>
          </w:p>
        </w:tc>
        <w:tc>
          <w:tcPr>
            <w:tcW w:w="0" w:type="auto"/>
            <w:hideMark/>
          </w:tcPr>
          <w:p w14:paraId="014DE0DE"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23B84EAF"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Preliminary data suggest approximately symmetric distributions; no transformation applied</w:t>
            </w:r>
          </w:p>
        </w:tc>
      </w:tr>
      <w:tr w:rsidR="006C7C8A" w:rsidRPr="006C7C8A" w14:paraId="5CCC8CE9" w14:textId="77777777" w:rsidTr="006C7C8A">
        <w:tc>
          <w:tcPr>
            <w:tcW w:w="0" w:type="auto"/>
            <w:hideMark/>
          </w:tcPr>
          <w:p w14:paraId="13D94B4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229B6F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Exploratory inflammatory markers</w:t>
            </w:r>
          </w:p>
        </w:tc>
        <w:tc>
          <w:tcPr>
            <w:tcW w:w="0" w:type="auto"/>
            <w:hideMark/>
          </w:tcPr>
          <w:p w14:paraId="655BEE5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Additional cytokines (MSD panel)</w:t>
            </w:r>
          </w:p>
        </w:tc>
        <w:tc>
          <w:tcPr>
            <w:tcW w:w="0" w:type="auto"/>
            <w:hideMark/>
          </w:tcPr>
          <w:p w14:paraId="12D3D262"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633AAB5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May be right-skewed; transformation evaluated if needed</w:t>
            </w:r>
          </w:p>
        </w:tc>
      </w:tr>
      <w:tr w:rsidR="006C7C8A" w:rsidRPr="006C7C8A" w14:paraId="18C102D1" w14:textId="77777777" w:rsidTr="006C7C8A">
        <w:tc>
          <w:tcPr>
            <w:tcW w:w="0" w:type="auto"/>
            <w:hideMark/>
          </w:tcPr>
          <w:p w14:paraId="2E46B21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692B0853"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AD-related inflammatory markers</w:t>
            </w:r>
          </w:p>
        </w:tc>
        <w:tc>
          <w:tcPr>
            <w:tcW w:w="0" w:type="auto"/>
            <w:hideMark/>
          </w:tcPr>
          <w:p w14:paraId="32EB4E8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 xml:space="preserve">Beta-2 </w:t>
            </w:r>
            <w:proofErr w:type="spellStart"/>
            <w:r w:rsidRPr="006C7C8A">
              <w:rPr>
                <w:rFonts w:asciiTheme="majorBidi" w:hAnsiTheme="majorBidi" w:cstheme="majorBidi"/>
              </w:rPr>
              <w:t>microglobulin</w:t>
            </w:r>
            <w:proofErr w:type="spellEnd"/>
            <w:r w:rsidRPr="006C7C8A">
              <w:rPr>
                <w:rFonts w:asciiTheme="majorBidi" w:hAnsiTheme="majorBidi" w:cstheme="majorBidi"/>
              </w:rPr>
              <w:t xml:space="preserve">, Alpha-1 </w:t>
            </w:r>
            <w:proofErr w:type="spellStart"/>
            <w:r w:rsidRPr="006C7C8A">
              <w:rPr>
                <w:rFonts w:asciiTheme="majorBidi" w:hAnsiTheme="majorBidi" w:cstheme="majorBidi"/>
              </w:rPr>
              <w:t>antichymotrypsin</w:t>
            </w:r>
            <w:proofErr w:type="spellEnd"/>
          </w:p>
        </w:tc>
        <w:tc>
          <w:tcPr>
            <w:tcW w:w="0" w:type="auto"/>
            <w:hideMark/>
          </w:tcPr>
          <w:p w14:paraId="0830DDAD"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5B4EBA5"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Distribution to be assessed</w:t>
            </w:r>
          </w:p>
        </w:tc>
      </w:tr>
      <w:tr w:rsidR="006C7C8A" w:rsidRPr="006C7C8A" w14:paraId="1DBAB2C4" w14:textId="77777777" w:rsidTr="006C7C8A">
        <w:tc>
          <w:tcPr>
            <w:tcW w:w="0" w:type="auto"/>
            <w:hideMark/>
          </w:tcPr>
          <w:p w14:paraId="3F95D8A7"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2A5588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Covariates</w:t>
            </w:r>
          </w:p>
        </w:tc>
        <w:tc>
          <w:tcPr>
            <w:tcW w:w="0" w:type="auto"/>
            <w:hideMark/>
          </w:tcPr>
          <w:p w14:paraId="4C4144E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Age, education, BMI</w:t>
            </w:r>
          </w:p>
        </w:tc>
        <w:tc>
          <w:tcPr>
            <w:tcW w:w="0" w:type="auto"/>
            <w:hideMark/>
          </w:tcPr>
          <w:p w14:paraId="7EFD0517"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4BB945E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Modeled as continuous</w:t>
            </w:r>
          </w:p>
        </w:tc>
      </w:tr>
      <w:tr w:rsidR="006C7C8A" w:rsidRPr="006C7C8A" w14:paraId="778E29EE" w14:textId="77777777" w:rsidTr="006C7C8A">
        <w:tc>
          <w:tcPr>
            <w:tcW w:w="0" w:type="auto"/>
            <w:hideMark/>
          </w:tcPr>
          <w:p w14:paraId="1E68BD81"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333ACF76"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235B44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Sex, APOE genotype, hypercholesterolemia, NSAID use, immune conditions</w:t>
            </w:r>
          </w:p>
        </w:tc>
        <w:tc>
          <w:tcPr>
            <w:tcW w:w="0" w:type="auto"/>
            <w:hideMark/>
          </w:tcPr>
          <w:p w14:paraId="11524D3B"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Categorical / Binary</w:t>
            </w:r>
          </w:p>
        </w:tc>
        <w:tc>
          <w:tcPr>
            <w:tcW w:w="0" w:type="auto"/>
            <w:hideMark/>
          </w:tcPr>
          <w:p w14:paraId="1D699BE4"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Included as indicator variables</w:t>
            </w:r>
          </w:p>
        </w:tc>
      </w:tr>
      <w:tr w:rsidR="006C7C8A" w:rsidRPr="006C7C8A" w14:paraId="7305E547" w14:textId="77777777" w:rsidTr="006C7C8A">
        <w:tc>
          <w:tcPr>
            <w:tcW w:w="0" w:type="auto"/>
            <w:hideMark/>
          </w:tcPr>
          <w:p w14:paraId="23EB80D4"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CBA181D"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2A3BD4DF"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Diagnostic group (aMCI vs HC)</w:t>
            </w:r>
          </w:p>
        </w:tc>
        <w:tc>
          <w:tcPr>
            <w:tcW w:w="0" w:type="auto"/>
            <w:hideMark/>
          </w:tcPr>
          <w:p w14:paraId="54623BA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Categorical</w:t>
            </w:r>
          </w:p>
        </w:tc>
        <w:tc>
          <w:tcPr>
            <w:tcW w:w="0" w:type="auto"/>
            <w:hideMark/>
          </w:tcPr>
          <w:p w14:paraId="5797BBA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Primary grouping variable</w:t>
            </w:r>
          </w:p>
        </w:tc>
      </w:tr>
      <w:tr w:rsidR="006C7C8A" w:rsidRPr="006C7C8A" w14:paraId="43CB5CE4" w14:textId="77777777" w:rsidTr="006C7C8A">
        <w:tc>
          <w:tcPr>
            <w:tcW w:w="0" w:type="auto"/>
            <w:hideMark/>
          </w:tcPr>
          <w:p w14:paraId="4439D42C"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Aim 2</w:t>
            </w:r>
          </w:p>
        </w:tc>
        <w:tc>
          <w:tcPr>
            <w:tcW w:w="0" w:type="auto"/>
            <w:hideMark/>
          </w:tcPr>
          <w:p w14:paraId="798D6DBA"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Primary exposures</w:t>
            </w:r>
          </w:p>
        </w:tc>
        <w:tc>
          <w:tcPr>
            <w:tcW w:w="0" w:type="auto"/>
            <w:hideMark/>
          </w:tcPr>
          <w:p w14:paraId="41B77F4B"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Amyloid burden</w:t>
            </w:r>
          </w:p>
        </w:tc>
        <w:tc>
          <w:tcPr>
            <w:tcW w:w="0" w:type="auto"/>
            <w:hideMark/>
          </w:tcPr>
          <w:p w14:paraId="379B2A8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6BA4A9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Centered for interaction models</w:t>
            </w:r>
          </w:p>
        </w:tc>
      </w:tr>
      <w:tr w:rsidR="006C7C8A" w:rsidRPr="006C7C8A" w14:paraId="616AE08E" w14:textId="77777777" w:rsidTr="006C7C8A">
        <w:tc>
          <w:tcPr>
            <w:tcW w:w="0" w:type="auto"/>
            <w:hideMark/>
          </w:tcPr>
          <w:p w14:paraId="6BB763DA"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757E97E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149686E9"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Inflammatory markers</w:t>
            </w:r>
          </w:p>
        </w:tc>
        <w:tc>
          <w:tcPr>
            <w:tcW w:w="0" w:type="auto"/>
            <w:hideMark/>
          </w:tcPr>
          <w:p w14:paraId="6DC2543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w:t>
            </w:r>
          </w:p>
        </w:tc>
        <w:tc>
          <w:tcPr>
            <w:tcW w:w="0" w:type="auto"/>
            <w:hideMark/>
          </w:tcPr>
          <w:p w14:paraId="532584F7"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as Aim 1</w:t>
            </w:r>
          </w:p>
        </w:tc>
      </w:tr>
      <w:tr w:rsidR="006C7C8A" w:rsidRPr="006C7C8A" w14:paraId="5A983E8B" w14:textId="77777777" w:rsidTr="006C7C8A">
        <w:tc>
          <w:tcPr>
            <w:tcW w:w="0" w:type="auto"/>
            <w:hideMark/>
          </w:tcPr>
          <w:p w14:paraId="5C3585D8"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0C5C9CA5"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Interaction term</w:t>
            </w:r>
          </w:p>
        </w:tc>
        <w:tc>
          <w:tcPr>
            <w:tcW w:w="0" w:type="auto"/>
            <w:hideMark/>
          </w:tcPr>
          <w:p w14:paraId="57F20C01"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Amyloid × inflammation</w:t>
            </w:r>
          </w:p>
        </w:tc>
        <w:tc>
          <w:tcPr>
            <w:tcW w:w="0" w:type="auto"/>
            <w:hideMark/>
          </w:tcPr>
          <w:p w14:paraId="7BC366B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Continuous (product term)</w:t>
            </w:r>
          </w:p>
        </w:tc>
        <w:tc>
          <w:tcPr>
            <w:tcW w:w="0" w:type="auto"/>
            <w:hideMark/>
          </w:tcPr>
          <w:p w14:paraId="12477676"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Tests moderation effect</w:t>
            </w:r>
          </w:p>
        </w:tc>
      </w:tr>
      <w:tr w:rsidR="006C7C8A" w:rsidRPr="006C7C8A" w14:paraId="3CBECD22" w14:textId="77777777" w:rsidTr="006C7C8A">
        <w:tc>
          <w:tcPr>
            <w:tcW w:w="0" w:type="auto"/>
            <w:hideMark/>
          </w:tcPr>
          <w:p w14:paraId="1DA444BF" w14:textId="77777777" w:rsidR="006C7C8A" w:rsidRPr="006C7C8A" w:rsidRDefault="006C7C8A" w:rsidP="006C7C8A">
            <w:pPr>
              <w:spacing w:after="160" w:line="278" w:lineRule="auto"/>
              <w:rPr>
                <w:rFonts w:asciiTheme="majorBidi" w:hAnsiTheme="majorBidi" w:cstheme="majorBidi"/>
              </w:rPr>
            </w:pPr>
          </w:p>
        </w:tc>
        <w:tc>
          <w:tcPr>
            <w:tcW w:w="0" w:type="auto"/>
            <w:hideMark/>
          </w:tcPr>
          <w:p w14:paraId="41EE1C98"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Covariates</w:t>
            </w:r>
          </w:p>
        </w:tc>
        <w:tc>
          <w:tcPr>
            <w:tcW w:w="0" w:type="auto"/>
            <w:hideMark/>
          </w:tcPr>
          <w:p w14:paraId="66CBB873"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as Aim 1</w:t>
            </w:r>
          </w:p>
        </w:tc>
        <w:tc>
          <w:tcPr>
            <w:tcW w:w="0" w:type="auto"/>
            <w:hideMark/>
          </w:tcPr>
          <w:p w14:paraId="30700DB0"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Mixed</w:t>
            </w:r>
          </w:p>
        </w:tc>
        <w:tc>
          <w:tcPr>
            <w:tcW w:w="0" w:type="auto"/>
            <w:hideMark/>
          </w:tcPr>
          <w:p w14:paraId="55C9E0B8" w14:textId="77777777" w:rsidR="006C7C8A" w:rsidRPr="006C7C8A" w:rsidRDefault="006C7C8A" w:rsidP="006C7C8A">
            <w:pPr>
              <w:spacing w:after="160" w:line="278" w:lineRule="auto"/>
              <w:rPr>
                <w:rFonts w:asciiTheme="majorBidi" w:hAnsiTheme="majorBidi" w:cstheme="majorBidi"/>
              </w:rPr>
            </w:pPr>
            <w:r w:rsidRPr="006C7C8A">
              <w:rPr>
                <w:rFonts w:asciiTheme="majorBidi" w:hAnsiTheme="majorBidi" w:cstheme="majorBidi"/>
              </w:rPr>
              <w:t>Same specification as Aim 1</w:t>
            </w:r>
          </w:p>
        </w:tc>
      </w:tr>
    </w:tbl>
    <w:p w14:paraId="1F5440F6" w14:textId="0500DF07" w:rsidR="00982446" w:rsidRPr="000A6320" w:rsidRDefault="00982446" w:rsidP="00982446">
      <w:pPr>
        <w:rPr>
          <w:rFonts w:asciiTheme="majorBidi" w:hAnsiTheme="majorBidi" w:cstheme="majorBidi"/>
          <w:sz w:val="20"/>
          <w:szCs w:val="20"/>
        </w:rPr>
      </w:pPr>
      <w:r w:rsidRPr="00982446">
        <w:rPr>
          <w:rFonts w:asciiTheme="majorBidi" w:hAnsiTheme="majorBidi" w:cstheme="majorBidi"/>
          <w:sz w:val="20"/>
          <w:szCs w:val="20"/>
        </w:rPr>
        <w:t>Variable types and distributional properties were assessed using preliminary data to inform modeling decisions and power assumptions.</w:t>
      </w:r>
    </w:p>
    <w:p w14:paraId="7863C1D3" w14:textId="77777777" w:rsidR="005859AC" w:rsidRPr="000A6320" w:rsidRDefault="005859AC" w:rsidP="000A6320"/>
    <w:sectPr w:rsidR="005859AC" w:rsidRPr="000A6320">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D7076" w14:textId="77777777" w:rsidR="00C34372" w:rsidRDefault="00C34372" w:rsidP="003375D4">
      <w:pPr>
        <w:spacing w:after="0" w:line="240" w:lineRule="auto"/>
      </w:pPr>
      <w:r>
        <w:separator/>
      </w:r>
    </w:p>
  </w:endnote>
  <w:endnote w:type="continuationSeparator" w:id="0">
    <w:p w14:paraId="5BF5F259" w14:textId="77777777" w:rsidR="00C34372" w:rsidRDefault="00C34372" w:rsidP="00337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58754"/>
      <w:docPartObj>
        <w:docPartGallery w:val="Page Numbers (Bottom of Page)"/>
        <w:docPartUnique/>
      </w:docPartObj>
    </w:sdtPr>
    <w:sdtEndPr>
      <w:rPr>
        <w:color w:val="7F7F7F" w:themeColor="background1" w:themeShade="7F"/>
        <w:spacing w:val="60"/>
      </w:rPr>
    </w:sdtEndPr>
    <w:sdtContent>
      <w:p w14:paraId="2A125888" w14:textId="1CDFF0E0" w:rsidR="003375D4" w:rsidRDefault="003375D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4502241" w14:textId="77777777" w:rsidR="003375D4" w:rsidRDefault="003375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1E9B8" w14:textId="77777777" w:rsidR="00C34372" w:rsidRDefault="00C34372" w:rsidP="003375D4">
      <w:pPr>
        <w:spacing w:after="0" w:line="240" w:lineRule="auto"/>
      </w:pPr>
      <w:r>
        <w:separator/>
      </w:r>
    </w:p>
  </w:footnote>
  <w:footnote w:type="continuationSeparator" w:id="0">
    <w:p w14:paraId="6B6F5F9E" w14:textId="77777777" w:rsidR="00C34372" w:rsidRDefault="00C34372" w:rsidP="003375D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AC"/>
    <w:rsid w:val="000A6320"/>
    <w:rsid w:val="000F40E5"/>
    <w:rsid w:val="00165D46"/>
    <w:rsid w:val="00196899"/>
    <w:rsid w:val="00226458"/>
    <w:rsid w:val="0024071A"/>
    <w:rsid w:val="002F264F"/>
    <w:rsid w:val="00307EFC"/>
    <w:rsid w:val="003375D4"/>
    <w:rsid w:val="00353649"/>
    <w:rsid w:val="00365449"/>
    <w:rsid w:val="003C5E61"/>
    <w:rsid w:val="003F406A"/>
    <w:rsid w:val="00405DC7"/>
    <w:rsid w:val="00411D29"/>
    <w:rsid w:val="00425C3C"/>
    <w:rsid w:val="00431BF0"/>
    <w:rsid w:val="0046210C"/>
    <w:rsid w:val="00475A6E"/>
    <w:rsid w:val="004A6D16"/>
    <w:rsid w:val="004E555F"/>
    <w:rsid w:val="00511961"/>
    <w:rsid w:val="005735F4"/>
    <w:rsid w:val="005817A2"/>
    <w:rsid w:val="005859AC"/>
    <w:rsid w:val="00671791"/>
    <w:rsid w:val="0067231F"/>
    <w:rsid w:val="006745C1"/>
    <w:rsid w:val="006A1970"/>
    <w:rsid w:val="006C7C8A"/>
    <w:rsid w:val="00701C43"/>
    <w:rsid w:val="0074423B"/>
    <w:rsid w:val="007D1030"/>
    <w:rsid w:val="007D493C"/>
    <w:rsid w:val="00855731"/>
    <w:rsid w:val="00865BA3"/>
    <w:rsid w:val="008A083D"/>
    <w:rsid w:val="008E2B18"/>
    <w:rsid w:val="008F0692"/>
    <w:rsid w:val="00982446"/>
    <w:rsid w:val="009F050A"/>
    <w:rsid w:val="00A950C1"/>
    <w:rsid w:val="00AB0A0C"/>
    <w:rsid w:val="00AF605B"/>
    <w:rsid w:val="00B27780"/>
    <w:rsid w:val="00B40DB4"/>
    <w:rsid w:val="00C217CA"/>
    <w:rsid w:val="00C34372"/>
    <w:rsid w:val="00C3581E"/>
    <w:rsid w:val="00C36540"/>
    <w:rsid w:val="00CC11B3"/>
    <w:rsid w:val="00D753F5"/>
    <w:rsid w:val="00E005D7"/>
    <w:rsid w:val="00E0445C"/>
    <w:rsid w:val="00E66389"/>
    <w:rsid w:val="00E67D62"/>
    <w:rsid w:val="00F253DA"/>
    <w:rsid w:val="00F64B4B"/>
    <w:rsid w:val="00F84DF3"/>
    <w:rsid w:val="00F96A8E"/>
    <w:rsid w:val="00FA47FE"/>
    <w:rsid w:val="00FB2A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1A5FF"/>
  <w15:chartTrackingRefBased/>
  <w15:docId w15:val="{E975FBD3-F6C1-42CC-B787-725BBDBA8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9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9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9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9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9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9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9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9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9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9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9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9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9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9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9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9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9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9AC"/>
    <w:rPr>
      <w:rFonts w:eastAsiaTheme="majorEastAsia" w:cstheme="majorBidi"/>
      <w:color w:val="272727" w:themeColor="text1" w:themeTint="D8"/>
    </w:rPr>
  </w:style>
  <w:style w:type="paragraph" w:styleId="Title">
    <w:name w:val="Title"/>
    <w:basedOn w:val="Normal"/>
    <w:next w:val="Normal"/>
    <w:link w:val="TitleChar"/>
    <w:uiPriority w:val="10"/>
    <w:qFormat/>
    <w:rsid w:val="00585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9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9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9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9AC"/>
    <w:pPr>
      <w:spacing w:before="160"/>
      <w:jc w:val="center"/>
    </w:pPr>
    <w:rPr>
      <w:i/>
      <w:iCs/>
      <w:color w:val="404040" w:themeColor="text1" w:themeTint="BF"/>
    </w:rPr>
  </w:style>
  <w:style w:type="character" w:customStyle="1" w:styleId="QuoteChar">
    <w:name w:val="Quote Char"/>
    <w:basedOn w:val="DefaultParagraphFont"/>
    <w:link w:val="Quote"/>
    <w:uiPriority w:val="29"/>
    <w:rsid w:val="005859AC"/>
    <w:rPr>
      <w:i/>
      <w:iCs/>
      <w:color w:val="404040" w:themeColor="text1" w:themeTint="BF"/>
    </w:rPr>
  </w:style>
  <w:style w:type="paragraph" w:styleId="ListParagraph">
    <w:name w:val="List Paragraph"/>
    <w:basedOn w:val="Normal"/>
    <w:uiPriority w:val="34"/>
    <w:qFormat/>
    <w:rsid w:val="005859AC"/>
    <w:pPr>
      <w:ind w:left="720"/>
      <w:contextualSpacing/>
    </w:pPr>
  </w:style>
  <w:style w:type="character" w:styleId="IntenseEmphasis">
    <w:name w:val="Intense Emphasis"/>
    <w:basedOn w:val="DefaultParagraphFont"/>
    <w:uiPriority w:val="21"/>
    <w:qFormat/>
    <w:rsid w:val="005859AC"/>
    <w:rPr>
      <w:i/>
      <w:iCs/>
      <w:color w:val="0F4761" w:themeColor="accent1" w:themeShade="BF"/>
    </w:rPr>
  </w:style>
  <w:style w:type="paragraph" w:styleId="IntenseQuote">
    <w:name w:val="Intense Quote"/>
    <w:basedOn w:val="Normal"/>
    <w:next w:val="Normal"/>
    <w:link w:val="IntenseQuoteChar"/>
    <w:uiPriority w:val="30"/>
    <w:qFormat/>
    <w:rsid w:val="005859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9AC"/>
    <w:rPr>
      <w:i/>
      <w:iCs/>
      <w:color w:val="0F4761" w:themeColor="accent1" w:themeShade="BF"/>
    </w:rPr>
  </w:style>
  <w:style w:type="character" w:styleId="IntenseReference">
    <w:name w:val="Intense Reference"/>
    <w:basedOn w:val="DefaultParagraphFont"/>
    <w:uiPriority w:val="32"/>
    <w:qFormat/>
    <w:rsid w:val="005859AC"/>
    <w:rPr>
      <w:b/>
      <w:bCs/>
      <w:smallCaps/>
      <w:color w:val="0F4761" w:themeColor="accent1" w:themeShade="BF"/>
      <w:spacing w:val="5"/>
    </w:rPr>
  </w:style>
  <w:style w:type="table" w:styleId="TableGrid">
    <w:name w:val="Table Grid"/>
    <w:basedOn w:val="TableNormal"/>
    <w:uiPriority w:val="39"/>
    <w:rsid w:val="006C7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40DB4"/>
    <w:rPr>
      <w:rFonts w:ascii="Times New Roman" w:hAnsi="Times New Roman" w:cs="Times New Roman"/>
    </w:rPr>
  </w:style>
  <w:style w:type="paragraph" w:styleId="Header">
    <w:name w:val="header"/>
    <w:basedOn w:val="Normal"/>
    <w:link w:val="HeaderChar"/>
    <w:uiPriority w:val="99"/>
    <w:unhideWhenUsed/>
    <w:rsid w:val="003375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75D4"/>
  </w:style>
  <w:style w:type="paragraph" w:styleId="Footer">
    <w:name w:val="footer"/>
    <w:basedOn w:val="Normal"/>
    <w:link w:val="FooterChar"/>
    <w:uiPriority w:val="99"/>
    <w:unhideWhenUsed/>
    <w:rsid w:val="003375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75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401</TotalTime>
  <Pages>7</Pages>
  <Words>1586</Words>
  <Characters>9045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57</cp:revision>
  <dcterms:created xsi:type="dcterms:W3CDTF">2026-03-21T20:22:00Z</dcterms:created>
  <dcterms:modified xsi:type="dcterms:W3CDTF">2026-03-23T04:16:00Z</dcterms:modified>
</cp:coreProperties>
</file>