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AD0AB" w14:textId="77777777" w:rsidR="00AA115C" w:rsidRPr="00AA115C" w:rsidRDefault="000A6320" w:rsidP="00AA115C">
      <w:pPr>
        <w:spacing w:line="480" w:lineRule="auto"/>
        <w:rPr>
          <w:rFonts w:asciiTheme="majorBidi" w:hAnsiTheme="majorBidi" w:cstheme="majorBidi"/>
        </w:rPr>
      </w:pPr>
      <w:r w:rsidRPr="000A6320">
        <w:rPr>
          <w:rFonts w:asciiTheme="majorBidi" w:hAnsiTheme="majorBidi" w:cstheme="majorBidi"/>
          <w:b/>
          <w:bCs/>
        </w:rPr>
        <w:t>Data Preparation and Overview</w:t>
      </w:r>
      <w:r w:rsidR="00E005D7">
        <w:rPr>
          <w:rFonts w:asciiTheme="majorBidi" w:hAnsiTheme="majorBidi" w:cstheme="majorBidi"/>
          <w:b/>
          <w:bCs/>
        </w:rPr>
        <w:t xml:space="preserve">: </w:t>
      </w:r>
      <w:r w:rsidR="00AA115C" w:rsidRPr="00AA115C">
        <w:rPr>
          <w:rFonts w:asciiTheme="majorBidi" w:hAnsiTheme="majorBidi" w:cstheme="majorBidi"/>
        </w:rPr>
        <w:t>Data will be obtained from the study database and merged across baseline and one-year follow-up visits to create a longitudinal analytic dataset. For all aims, the primary outcomes will be change in episodic memory and change in cortical thickness, defined as baseline minus year-1 values. Baseline measures of each outcome will be included as covariates in all primary models to account for individual differences at study entry.</w:t>
      </w:r>
    </w:p>
    <w:p w14:paraId="05B40CE3" w14:textId="32E6CC5A" w:rsidR="00AA115C" w:rsidRPr="00AA115C" w:rsidRDefault="00AA115C" w:rsidP="00AA115C">
      <w:pPr>
        <w:spacing w:line="480" w:lineRule="auto"/>
        <w:rPr>
          <w:rFonts w:asciiTheme="majorBidi" w:hAnsiTheme="majorBidi" w:cstheme="majorBidi"/>
        </w:rPr>
      </w:pPr>
      <w:r w:rsidRPr="00AA115C">
        <w:rPr>
          <w:rFonts w:asciiTheme="majorBidi" w:hAnsiTheme="majorBidi" w:cstheme="majorBidi"/>
        </w:rPr>
        <w:t xml:space="preserve">The analytic dataset will be derived from the full study dataset by </w:t>
      </w:r>
      <w:r w:rsidR="007E55C0" w:rsidRPr="00AA115C">
        <w:rPr>
          <w:rFonts w:asciiTheme="majorBidi" w:hAnsiTheme="majorBidi" w:cstheme="majorBidi"/>
        </w:rPr>
        <w:t>restricting</w:t>
      </w:r>
      <w:r w:rsidRPr="00AA115C">
        <w:rPr>
          <w:rFonts w:asciiTheme="majorBidi" w:hAnsiTheme="majorBidi" w:cstheme="majorBidi"/>
        </w:rPr>
        <w:t xml:space="preserve"> participants with complete data on outcomes, exposures, and covariates required for each analysis. Because complete-case analysis may introduce bias if missingness is not random, we will evaluate differences between the full enrolled sample and the analytic sample using descriptive statistics and appropriate statistical tests.</w:t>
      </w:r>
    </w:p>
    <w:p w14:paraId="675F0EFE" w14:textId="77777777" w:rsidR="00AA115C" w:rsidRPr="00AA115C" w:rsidRDefault="00AA115C" w:rsidP="00AA115C">
      <w:pPr>
        <w:spacing w:line="480" w:lineRule="auto"/>
        <w:rPr>
          <w:rFonts w:asciiTheme="majorBidi" w:hAnsiTheme="majorBidi" w:cstheme="majorBidi"/>
        </w:rPr>
      </w:pPr>
      <w:r w:rsidRPr="00AA115C">
        <w:rPr>
          <w:rFonts w:asciiTheme="majorBidi" w:hAnsiTheme="majorBidi" w:cstheme="majorBidi"/>
        </w:rPr>
        <w:t>Data will be reviewed for completeness, outliers, and distributional assumptions. Inflammatory markers are expected to be right-skewed; transformations will be evaluated empirically as needed. Table 1 summarizes primary exposures and covariates and will guide model specification.</w:t>
      </w:r>
    </w:p>
    <w:p w14:paraId="44CF1EC2" w14:textId="77777777" w:rsidR="00AA115C" w:rsidRPr="00AA115C" w:rsidRDefault="00AA115C" w:rsidP="00AA115C">
      <w:pPr>
        <w:spacing w:line="480" w:lineRule="auto"/>
        <w:rPr>
          <w:rFonts w:asciiTheme="majorBidi" w:hAnsiTheme="majorBidi" w:cstheme="majorBidi"/>
        </w:rPr>
      </w:pPr>
      <w:r w:rsidRPr="00AA115C">
        <w:rPr>
          <w:rFonts w:asciiTheme="majorBidi" w:hAnsiTheme="majorBidi" w:cstheme="majorBidi"/>
        </w:rPr>
        <w:t>Preliminary data were used to examine distributions, correlations, and plausible effect sizes. These analyses suggested moderate associations between inflammatory markers and memory outcomes (r ≈ 0.25–0.32) and stronger associations with cortical thickness outcomes (r ≈ 0.60–0.70). Because regression models adjust for covariates and include correlated predictors, conservative partial correlation values were used for power calculations (0.15–0.25 for memory; 0.30–0.50 for cortical thickness).</w:t>
      </w:r>
    </w:p>
    <w:p w14:paraId="58DBD550" w14:textId="77777777" w:rsidR="00AA115C" w:rsidRPr="00AA115C" w:rsidRDefault="00AA115C" w:rsidP="00AA115C">
      <w:pPr>
        <w:spacing w:line="480" w:lineRule="auto"/>
        <w:rPr>
          <w:rFonts w:asciiTheme="majorBidi" w:hAnsiTheme="majorBidi" w:cstheme="majorBidi"/>
        </w:rPr>
      </w:pPr>
      <w:r w:rsidRPr="00AA115C">
        <w:rPr>
          <w:rFonts w:asciiTheme="majorBidi" w:hAnsiTheme="majorBidi" w:cstheme="majorBidi"/>
        </w:rPr>
        <w:t xml:space="preserve">Preliminary findings also suggested inverse associations between inflammatory markers and memory decline and potential effect modification across markers, supporting inclusion of </w:t>
      </w:r>
      <w:r w:rsidRPr="00AA115C">
        <w:rPr>
          <w:rFonts w:asciiTheme="majorBidi" w:hAnsiTheme="majorBidi" w:cstheme="majorBidi"/>
        </w:rPr>
        <w:lastRenderedPageBreak/>
        <w:t>interaction terms in Aim 2. These findings informed expected directions of association but were not used directly as effect-size inputs.</w:t>
      </w:r>
    </w:p>
    <w:p w14:paraId="343F6A37" w14:textId="6BC2C93E" w:rsidR="00135BDF" w:rsidRPr="00135BDF" w:rsidRDefault="000A6320" w:rsidP="00135BDF">
      <w:pPr>
        <w:spacing w:line="480" w:lineRule="auto"/>
        <w:rPr>
          <w:rFonts w:asciiTheme="majorBidi" w:hAnsiTheme="majorBidi"/>
        </w:rPr>
      </w:pPr>
      <w:r w:rsidRPr="000A6320">
        <w:rPr>
          <w:rFonts w:asciiTheme="majorBidi" w:hAnsiTheme="majorBidi" w:cstheme="majorBidi"/>
          <w:b/>
          <w:bCs/>
        </w:rPr>
        <w:t>Aim 1</w:t>
      </w:r>
      <w:r w:rsidR="00135BDF">
        <w:rPr>
          <w:rFonts w:asciiTheme="majorBidi" w:hAnsiTheme="majorBidi" w:cstheme="majorBidi"/>
          <w:b/>
          <w:bCs/>
        </w:rPr>
        <w:t>:</w:t>
      </w:r>
      <w:r w:rsidR="00135BDF" w:rsidRPr="00135BDF">
        <w:rPr>
          <w:rFonts w:ascii="Times New Roman" w:eastAsia="Times New Roman" w:hAnsi="Times New Roman" w:cs="Times New Roman"/>
          <w:b/>
          <w:bCs/>
          <w:kern w:val="0"/>
          <w:sz w:val="36"/>
          <w:szCs w:val="36"/>
          <w14:ligatures w14:val="none"/>
        </w:rPr>
        <w:t xml:space="preserve"> </w:t>
      </w:r>
      <w:r w:rsidR="00135BDF" w:rsidRPr="00135BDF">
        <w:rPr>
          <w:rFonts w:asciiTheme="majorBidi" w:hAnsiTheme="majorBidi" w:cstheme="majorBidi"/>
        </w:rPr>
        <w:t>To evaluate whether baseline inflammatory markers are associated with change in episodic memory and cortical thickness over one year, we will fit multiple linear regression models with outcome change scores as the dependent variables.</w:t>
      </w:r>
    </w:p>
    <w:p w14:paraId="7FDA7F4B" w14:textId="77777777" w:rsidR="00135BDF" w:rsidRPr="00135BDF" w:rsidRDefault="00135BDF" w:rsidP="00135BDF">
      <w:pPr>
        <w:spacing w:line="480" w:lineRule="auto"/>
        <w:rPr>
          <w:rFonts w:asciiTheme="majorBidi" w:hAnsiTheme="majorBidi" w:cstheme="majorBidi"/>
        </w:rPr>
      </w:pPr>
      <w:r w:rsidRPr="00135BDF">
        <w:rPr>
          <w:rFonts w:asciiTheme="majorBidi" w:hAnsiTheme="majorBidi" w:cstheme="majorBidi"/>
        </w:rPr>
        <w:t>Primary inflammatory markers include IL-6, TNF-α, MCP-1, and Eotaxin-1. Additional cytokines and AD-related inflammatory markers will be considered exploratory. Covariates include age, sex, education, diagnostic group, APOE genotype, BMI, hypercholesterolemia, NSAID use, and immune-related conditions.</w:t>
      </w:r>
    </w:p>
    <w:p w14:paraId="7C524CBD" w14:textId="77777777" w:rsidR="00135BDF" w:rsidRPr="00135BDF" w:rsidRDefault="00135BDF" w:rsidP="00135BDF">
      <w:pPr>
        <w:spacing w:line="480" w:lineRule="auto"/>
        <w:rPr>
          <w:rFonts w:asciiTheme="majorBidi" w:hAnsiTheme="majorBidi" w:cstheme="majorBidi"/>
        </w:rPr>
      </w:pPr>
      <w:r w:rsidRPr="00135BDF">
        <w:rPr>
          <w:rFonts w:asciiTheme="majorBidi" w:hAnsiTheme="majorBidi" w:cstheme="majorBidi"/>
        </w:rPr>
        <w:t>The primary hypothesis will be evaluated using an omnibus partial F test of the joint contribution of the four inflammatory markers within each outcome:</w:t>
      </w:r>
    </w:p>
    <w:p w14:paraId="2E2D6500" w14:textId="68C6EC04" w:rsidR="00135BDF" w:rsidRPr="00135BDF" w:rsidRDefault="00135BDF" w:rsidP="00135BDF">
      <w:pPr>
        <w:spacing w:line="480" w:lineRule="auto"/>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IL6</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TNF</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MCP1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Eotaxin</m:t>
              </m:r>
            </m:sub>
          </m:sSub>
          <m:r>
            <w:rPr>
              <w:rFonts w:ascii="Cambria Math" w:hAnsi="Cambria Math" w:cstheme="majorBidi"/>
            </w:rPr>
            <m:t>=0</m:t>
          </m:r>
          <m:r>
            <w:rPr>
              <w:rFonts w:asciiTheme="majorBidi" w:hAnsiTheme="majorBidi" w:cstheme="majorBidi"/>
              <w:i/>
            </w:rPr>
            <w:br/>
          </m:r>
        </m:oMath>
      </m:oMathPara>
      <w:r w:rsidRPr="00135BDF">
        <w:rPr>
          <w:rFonts w:asciiTheme="majorBidi" w:hAnsiTheme="majorBidi" w:cstheme="majorBidi"/>
        </w:rPr>
        <w:t>Analyses will be conducted within outcome-specific families (episodic memory and cortical thickness). For each outcome, an omnibus test will be performed at a two-sided α = 0.05.</w:t>
      </w:r>
    </w:p>
    <w:p w14:paraId="1E887077" w14:textId="77777777" w:rsidR="00135BDF" w:rsidRPr="00135BDF" w:rsidRDefault="00135BDF" w:rsidP="00135BDF">
      <w:pPr>
        <w:spacing w:line="480" w:lineRule="auto"/>
        <w:rPr>
          <w:rFonts w:asciiTheme="majorBidi" w:hAnsiTheme="majorBidi" w:cstheme="majorBidi"/>
        </w:rPr>
      </w:pPr>
      <w:r w:rsidRPr="00135BDF">
        <w:rPr>
          <w:rFonts w:asciiTheme="majorBidi" w:hAnsiTheme="majorBidi" w:cstheme="majorBidi"/>
        </w:rPr>
        <w:t>Only if the omnibus test is statistically significant will marker-specific regression coefficients be examined. For these follow-up analyses, a Bonferroni correction will be applied within each outcome-specific family. Specifically, because four markers are tested, the per-test significance level will be:</w:t>
      </w:r>
    </w:p>
    <w:p w14:paraId="7715545C" w14:textId="77777777" w:rsidR="00A52661" w:rsidRPr="00A52661" w:rsidRDefault="00135BDF" w:rsidP="00A52661">
      <w:pPr>
        <w:spacing w:after="0" w:line="480" w:lineRule="auto"/>
        <w:rPr>
          <w:rFonts w:asciiTheme="majorBidi" w:eastAsiaTheme="minorEastAsia" w:hAnsiTheme="majorBidi" w:cstheme="majorBidi"/>
        </w:rPr>
      </w:pPr>
      <m:oMathPara>
        <m:oMath>
          <m:sSub>
            <m:sSubPr>
              <m:ctrlPr>
                <w:rPr>
                  <w:rFonts w:ascii="Cambria Math" w:hAnsi="Cambria Math" w:cstheme="majorBidi"/>
                </w:rPr>
              </m:ctrlPr>
            </m:sSubPr>
            <m:e>
              <m:r>
                <w:rPr>
                  <w:rFonts w:ascii="Cambria Math" w:hAnsi="Cambria Math" w:cstheme="majorBidi"/>
                </w:rPr>
                <m:t>α</m:t>
              </m:r>
            </m:e>
            <m:sub>
              <m:r>
                <m:rPr>
                  <m:nor/>
                </m:rPr>
                <w:rPr>
                  <w:rFonts w:asciiTheme="majorBidi" w:hAnsiTheme="majorBidi" w:cstheme="majorBidi"/>
                </w:rPr>
                <m:t>per test</m:t>
              </m:r>
            </m:sub>
          </m:sSub>
          <m:r>
            <w:rPr>
              <w:rFonts w:ascii="Cambria Math" w:hAnsi="Cambria Math" w:cstheme="majorBidi"/>
            </w:rPr>
            <m:t>=</m:t>
          </m:r>
          <m:f>
            <m:fPr>
              <m:ctrlPr>
                <w:rPr>
                  <w:rFonts w:ascii="Cambria Math" w:hAnsi="Cambria Math" w:cstheme="majorBidi"/>
                </w:rPr>
              </m:ctrlPr>
            </m:fPr>
            <m:num>
              <m:r>
                <w:rPr>
                  <w:rFonts w:ascii="Cambria Math" w:hAnsi="Cambria Math" w:cstheme="majorBidi"/>
                </w:rPr>
                <m:t>0.05</m:t>
              </m:r>
            </m:num>
            <m:den>
              <m:r>
                <w:rPr>
                  <w:rFonts w:ascii="Cambria Math" w:hAnsi="Cambria Math" w:cstheme="majorBidi"/>
                </w:rPr>
                <m:t>4</m:t>
              </m:r>
            </m:den>
          </m:f>
          <m:r>
            <w:rPr>
              <w:rFonts w:ascii="Cambria Math" w:hAnsi="Cambria Math" w:cstheme="majorBidi"/>
            </w:rPr>
            <m:t>=0.0125</m:t>
          </m:r>
        </m:oMath>
      </m:oMathPara>
    </w:p>
    <w:p w14:paraId="4621B12B" w14:textId="676DED5D" w:rsidR="00135BDF" w:rsidRPr="00135BDF" w:rsidRDefault="00135BDF" w:rsidP="00A52661">
      <w:pPr>
        <w:tabs>
          <w:tab w:val="left" w:pos="5656"/>
        </w:tabs>
        <w:spacing w:after="0" w:line="480" w:lineRule="auto"/>
        <w:rPr>
          <w:rFonts w:asciiTheme="majorBidi" w:hAnsiTheme="majorBidi" w:cstheme="majorBidi"/>
          <w:b/>
          <w:bCs/>
        </w:rPr>
      </w:pPr>
      <w:r w:rsidRPr="00135BDF">
        <w:rPr>
          <w:rFonts w:asciiTheme="majorBidi" w:hAnsiTheme="majorBidi" w:cstheme="majorBidi"/>
          <w:i/>
        </w:rPr>
        <w:br/>
      </w:r>
      <w:r w:rsidRPr="00135BDF">
        <w:rPr>
          <w:rFonts w:asciiTheme="majorBidi" w:hAnsiTheme="majorBidi" w:cstheme="majorBidi"/>
        </w:rPr>
        <w:t xml:space="preserve">Thus, individual markers will be considered statistically significant only if </w:t>
      </w:r>
      <m:oMath>
        <m:r>
          <w:rPr>
            <w:rFonts w:ascii="Cambria Math" w:hAnsi="Cambria Math" w:cstheme="majorBidi"/>
          </w:rPr>
          <m:t>p&lt;0.0125</m:t>
        </m:r>
      </m:oMath>
      <w:r w:rsidRPr="00135BDF">
        <w:rPr>
          <w:rFonts w:asciiTheme="majorBidi" w:hAnsiTheme="majorBidi" w:cstheme="majorBidi"/>
        </w:rPr>
        <w:t xml:space="preserve">. This </w:t>
      </w:r>
      <w:r w:rsidRPr="00135BDF">
        <w:rPr>
          <w:rFonts w:asciiTheme="majorBidi" w:hAnsiTheme="majorBidi" w:cstheme="majorBidi"/>
        </w:rPr>
        <w:lastRenderedPageBreak/>
        <w:t>approach provides conservative control of Type I error while maintaining a structured testing framework.</w:t>
      </w:r>
    </w:p>
    <w:p w14:paraId="7C07CA6F" w14:textId="77777777" w:rsidR="004D5299" w:rsidRPr="004D5299" w:rsidRDefault="000A6320" w:rsidP="004D5299">
      <w:pPr>
        <w:spacing w:line="480" w:lineRule="auto"/>
        <w:rPr>
          <w:rFonts w:asciiTheme="majorBidi" w:hAnsiTheme="majorBidi" w:cstheme="majorBidi"/>
        </w:rPr>
      </w:pPr>
      <w:r w:rsidRPr="000A6320">
        <w:rPr>
          <w:rFonts w:asciiTheme="majorBidi" w:hAnsiTheme="majorBidi" w:cstheme="majorBidi"/>
          <w:b/>
          <w:bCs/>
        </w:rPr>
        <w:t xml:space="preserve">Aim 2: </w:t>
      </w:r>
      <w:r w:rsidR="00F84DF3">
        <w:rPr>
          <w:rFonts w:asciiTheme="majorBidi" w:hAnsiTheme="majorBidi" w:cstheme="majorBidi"/>
          <w:b/>
          <w:bCs/>
        </w:rPr>
        <w:t xml:space="preserve"> </w:t>
      </w:r>
      <w:r w:rsidR="004D5299" w:rsidRPr="004D5299">
        <w:rPr>
          <w:rFonts w:asciiTheme="majorBidi" w:hAnsiTheme="majorBidi" w:cstheme="majorBidi"/>
        </w:rPr>
        <w:t>To evaluate whether inflammation modifies the association between amyloid burden and outcome change, we will fit multiple linear regression models including main effects and interaction terms.</w:t>
      </w:r>
    </w:p>
    <w:p w14:paraId="51EDF923" w14:textId="77777777" w:rsidR="004D5299" w:rsidRPr="004D5299" w:rsidRDefault="004D5299" w:rsidP="004D5299">
      <w:pPr>
        <w:spacing w:line="480" w:lineRule="auto"/>
        <w:rPr>
          <w:rFonts w:asciiTheme="majorBidi" w:hAnsiTheme="majorBidi" w:cstheme="majorBidi"/>
        </w:rPr>
      </w:pPr>
      <w:r w:rsidRPr="004D5299">
        <w:rPr>
          <w:rFonts w:asciiTheme="majorBidi" w:hAnsiTheme="majorBidi" w:cstheme="majorBidi"/>
        </w:rPr>
        <w:t>Each model will include baseline outcome, amyloid burden, inflammatory markers, amyloid × inflammation interaction terms, and covariates as in Aim 1.</w:t>
      </w:r>
    </w:p>
    <w:p w14:paraId="317B9473" w14:textId="77777777" w:rsidR="004D5299" w:rsidRPr="004D5299" w:rsidRDefault="004D5299" w:rsidP="004D5299">
      <w:pPr>
        <w:spacing w:line="480" w:lineRule="auto"/>
        <w:rPr>
          <w:rFonts w:asciiTheme="majorBidi" w:hAnsiTheme="majorBidi" w:cstheme="majorBidi"/>
        </w:rPr>
      </w:pPr>
      <w:r w:rsidRPr="004D5299">
        <w:rPr>
          <w:rFonts w:asciiTheme="majorBidi" w:hAnsiTheme="majorBidi" w:cstheme="majorBidi"/>
        </w:rPr>
        <w:t>The primary hypothesis will be evaluated using an omnibus partial F test of the joint contribution of the four interaction terms:</w:t>
      </w:r>
    </w:p>
    <w:p w14:paraId="6B98954E" w14:textId="58CEDC0A" w:rsidR="004D5299" w:rsidRPr="004D5299" w:rsidRDefault="004D5299" w:rsidP="004D5299">
      <w:pPr>
        <w:spacing w:line="480" w:lineRule="auto"/>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3</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4</m:t>
              </m:r>
            </m:sub>
          </m:sSub>
          <m:r>
            <w:rPr>
              <w:rFonts w:ascii="Cambria Math" w:hAnsi="Cambria Math" w:cstheme="majorBidi"/>
            </w:rPr>
            <m:t>=0</m:t>
          </m:r>
          <m:r>
            <w:rPr>
              <w:rFonts w:asciiTheme="majorBidi" w:hAnsiTheme="majorBidi" w:cstheme="majorBidi"/>
              <w:i/>
            </w:rPr>
            <w:br/>
          </m:r>
        </m:oMath>
      </m:oMathPara>
      <w:r w:rsidRPr="004D5299">
        <w:rPr>
          <w:rFonts w:asciiTheme="majorBidi" w:hAnsiTheme="majorBidi" w:cstheme="majorBidi"/>
        </w:rPr>
        <w:t>Interaction effects will be evaluated within outcome-specific families. Omnibus tests will be conducted at a two-sided α = 0.05.</w:t>
      </w:r>
    </w:p>
    <w:p w14:paraId="57A4C21A" w14:textId="77777777" w:rsidR="004D5299" w:rsidRPr="004D5299" w:rsidRDefault="004D5299" w:rsidP="004D5299">
      <w:pPr>
        <w:spacing w:line="480" w:lineRule="auto"/>
        <w:rPr>
          <w:rFonts w:asciiTheme="majorBidi" w:hAnsiTheme="majorBidi" w:cstheme="majorBidi"/>
        </w:rPr>
      </w:pPr>
      <w:r w:rsidRPr="004D5299">
        <w:rPr>
          <w:rFonts w:asciiTheme="majorBidi" w:hAnsiTheme="majorBidi" w:cstheme="majorBidi"/>
        </w:rPr>
        <w:t>If the omnibus interaction test is statistically significant, marker-specific interaction terms will be examined. For these follow-up tests, a Bonferroni correction will again be applied within each outcome-specific family. With four interaction terms, the per-test significance threshold will be:</w:t>
      </w:r>
    </w:p>
    <w:p w14:paraId="203F9E9F" w14:textId="12DC4746" w:rsidR="004D5299" w:rsidRPr="004D5299" w:rsidRDefault="004D5299" w:rsidP="004D5299">
      <w:pPr>
        <w:spacing w:line="480" w:lineRule="auto"/>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α</m:t>
              </m:r>
            </m:e>
            <m:sub>
              <m:r>
                <m:rPr>
                  <m:nor/>
                </m:rPr>
                <w:rPr>
                  <w:rFonts w:asciiTheme="majorBidi" w:hAnsiTheme="majorBidi" w:cstheme="majorBidi"/>
                </w:rPr>
                <m:t>per test</m:t>
              </m:r>
            </m:sub>
          </m:sSub>
          <m:r>
            <w:rPr>
              <w:rFonts w:ascii="Cambria Math" w:hAnsi="Cambria Math" w:cstheme="majorBidi"/>
            </w:rPr>
            <m:t>=0.05</m:t>
          </m:r>
          <m:r>
            <m:rPr>
              <m:sty m:val="p"/>
            </m:rPr>
            <w:rPr>
              <w:rFonts w:ascii="Cambria Math" w:hAnsi="Cambria Math" w:cstheme="majorBidi"/>
            </w:rPr>
            <m:t>/</m:t>
          </m:r>
          <m:r>
            <w:rPr>
              <w:rFonts w:ascii="Cambria Math" w:hAnsi="Cambria Math" w:cstheme="majorBidi"/>
            </w:rPr>
            <m:t>4=0.0125</m:t>
          </m:r>
          <m:r>
            <w:rPr>
              <w:rFonts w:asciiTheme="majorBidi" w:hAnsiTheme="majorBidi" w:cstheme="majorBidi"/>
              <w:i/>
            </w:rPr>
            <w:br/>
          </m:r>
        </m:oMath>
      </m:oMathPara>
      <w:r w:rsidRPr="004D5299">
        <w:rPr>
          <w:rFonts w:asciiTheme="majorBidi" w:hAnsiTheme="majorBidi" w:cstheme="majorBidi"/>
        </w:rPr>
        <w:t>Significant interactions will be explored using predicted values and simple slopes. Given the increased model complexity and typically smaller magnitude of interaction effects, results will be interpreted cautiously.</w:t>
      </w:r>
    </w:p>
    <w:p w14:paraId="4E9F6833" w14:textId="43B5036B" w:rsidR="00920871" w:rsidRPr="00920871" w:rsidRDefault="00C3581E" w:rsidP="004D5299">
      <w:pPr>
        <w:spacing w:line="480" w:lineRule="auto"/>
        <w:rPr>
          <w:rFonts w:asciiTheme="majorBidi" w:hAnsiTheme="majorBidi" w:cstheme="majorBidi"/>
        </w:rPr>
      </w:pPr>
      <w:r w:rsidRPr="00C3581E">
        <w:rPr>
          <w:rFonts w:asciiTheme="majorBidi" w:hAnsiTheme="majorBidi" w:cstheme="majorBidi"/>
          <w:b/>
          <w:bCs/>
        </w:rPr>
        <w:t>Power analyses</w:t>
      </w:r>
      <w:r>
        <w:rPr>
          <w:rFonts w:asciiTheme="majorBidi" w:hAnsiTheme="majorBidi" w:cstheme="majorBidi"/>
          <w:b/>
          <w:bCs/>
        </w:rPr>
        <w:t>:</w:t>
      </w:r>
      <w:r w:rsidRPr="00C3581E">
        <w:rPr>
          <w:rFonts w:asciiTheme="majorBidi" w:hAnsiTheme="majorBidi" w:cstheme="majorBidi"/>
          <w:b/>
          <w:bCs/>
        </w:rPr>
        <w:t xml:space="preserve"> </w:t>
      </w:r>
      <w:r w:rsidR="00920871" w:rsidRPr="00920871">
        <w:rPr>
          <w:rFonts w:asciiTheme="majorBidi" w:hAnsiTheme="majorBidi" w:cstheme="majorBidi"/>
        </w:rPr>
        <w:t xml:space="preserve">Power analyses were conducted in R using the </w:t>
      </w:r>
      <w:r w:rsidR="00920871" w:rsidRPr="00920871">
        <w:rPr>
          <w:rFonts w:asciiTheme="majorBidi" w:hAnsiTheme="majorBidi" w:cstheme="majorBidi"/>
          <w:i/>
          <w:iCs/>
        </w:rPr>
        <w:t>powertools</w:t>
      </w:r>
      <w:r w:rsidR="00920871" w:rsidRPr="00920871">
        <w:rPr>
          <w:rFonts w:asciiTheme="majorBidi" w:hAnsiTheme="majorBidi" w:cstheme="majorBidi"/>
        </w:rPr>
        <w:t xml:space="preserve"> package and the </w:t>
      </w:r>
      <w:r w:rsidR="00920871" w:rsidRPr="00920871">
        <w:rPr>
          <w:rFonts w:asciiTheme="majorBidi" w:hAnsiTheme="majorBidi" w:cstheme="majorBidi"/>
          <w:i/>
          <w:iCs/>
        </w:rPr>
        <w:t>mlrF.partial</w:t>
      </w:r>
      <w:r w:rsidR="00920871" w:rsidRPr="00920871">
        <w:rPr>
          <w:rFonts w:asciiTheme="majorBidi" w:hAnsiTheme="majorBidi" w:cstheme="majorBidi"/>
        </w:rPr>
        <w:t xml:space="preserve"> function, which approximates partial F tests in multiple linear regression.</w:t>
      </w:r>
    </w:p>
    <w:p w14:paraId="546D5C8B" w14:textId="77777777" w:rsidR="00920871" w:rsidRPr="00920871" w:rsidRDefault="00920871" w:rsidP="00920871">
      <w:pPr>
        <w:spacing w:line="480" w:lineRule="auto"/>
        <w:rPr>
          <w:rFonts w:asciiTheme="majorBidi" w:hAnsiTheme="majorBidi" w:cstheme="majorBidi"/>
        </w:rPr>
      </w:pPr>
      <w:r w:rsidRPr="00920871">
        <w:rPr>
          <w:rFonts w:asciiTheme="majorBidi" w:hAnsiTheme="majorBidi" w:cstheme="majorBidi"/>
        </w:rPr>
        <w:lastRenderedPageBreak/>
        <w:t>All calculations correspond to the primary omnibus tests within each outcome family and assume a two-sided α = 0.05.</w:t>
      </w:r>
    </w:p>
    <w:p w14:paraId="73E7BC29" w14:textId="1E42CD26" w:rsidR="00920871" w:rsidRPr="00920871" w:rsidRDefault="00C3581E" w:rsidP="00F8025B">
      <w:pPr>
        <w:spacing w:line="480" w:lineRule="auto"/>
        <w:rPr>
          <w:rFonts w:asciiTheme="majorBidi" w:hAnsiTheme="majorBidi" w:cstheme="majorBidi"/>
        </w:rPr>
      </w:pPr>
      <w:r w:rsidRPr="00C3581E">
        <w:rPr>
          <w:rFonts w:asciiTheme="majorBidi" w:hAnsiTheme="majorBidi" w:cstheme="majorBidi"/>
          <w:b/>
          <w:bCs/>
        </w:rPr>
        <w:t>Aim 1</w:t>
      </w:r>
      <w:r>
        <w:rPr>
          <w:rFonts w:asciiTheme="majorBidi" w:hAnsiTheme="majorBidi" w:cstheme="majorBidi"/>
          <w:b/>
          <w:bCs/>
        </w:rPr>
        <w:t xml:space="preserve">: </w:t>
      </w:r>
      <w:r w:rsidR="00920871" w:rsidRPr="00920871">
        <w:rPr>
          <w:rFonts w:asciiTheme="majorBidi" w:hAnsiTheme="majorBidi" w:cstheme="majorBidi"/>
        </w:rPr>
        <w:t>Power calculations correspond to testing the joint contribution of four inflammatory markers (</w:t>
      </w:r>
      <m:oMath>
        <m:r>
          <w:rPr>
            <w:rFonts w:ascii="Cambria Math" w:hAnsi="Cambria Math" w:cstheme="majorBidi"/>
          </w:rPr>
          <m:t>q=4</m:t>
        </m:r>
      </m:oMath>
      <w:r w:rsidR="00920871" w:rsidRPr="00920871">
        <w:rPr>
          <w:rFonts w:asciiTheme="majorBidi" w:hAnsiTheme="majorBidi" w:cstheme="majorBidi"/>
        </w:rPr>
        <w:t>) in a model with approximately 10 predictors (</w:t>
      </w:r>
      <m:oMath>
        <m:r>
          <w:rPr>
            <w:rFonts w:ascii="Cambria Math" w:hAnsi="Cambria Math" w:cstheme="majorBidi"/>
            <w:highlight w:val="yellow"/>
          </w:rPr>
          <m:t>p=10</m:t>
        </m:r>
      </m:oMath>
      <w:r w:rsidR="00920871" w:rsidRPr="00920871">
        <w:rPr>
          <w:rFonts w:asciiTheme="majorBidi" w:hAnsiTheme="majorBidi" w:cstheme="majorBidi"/>
        </w:rPr>
        <w:t xml:space="preserve">) and sample size </w:t>
      </w:r>
      <m:oMath>
        <m:r>
          <w:rPr>
            <w:rFonts w:ascii="Cambria Math" w:hAnsi="Cambria Math" w:cstheme="majorBidi"/>
          </w:rPr>
          <m:t>N=175</m:t>
        </m:r>
      </m:oMath>
      <w:r w:rsidR="00920871" w:rsidRPr="00920871">
        <w:rPr>
          <w:rFonts w:asciiTheme="majorBidi" w:hAnsiTheme="majorBidi" w:cstheme="majorBidi"/>
        </w:rPr>
        <w:t>.</w:t>
      </w:r>
      <w:r w:rsidR="00F8025B">
        <w:rPr>
          <w:rFonts w:asciiTheme="majorBidi" w:hAnsiTheme="majorBidi" w:cstheme="majorBidi"/>
        </w:rPr>
        <w:t xml:space="preserve"> </w:t>
      </w:r>
      <w:r w:rsidR="00920871" w:rsidRPr="00920871">
        <w:rPr>
          <w:rFonts w:asciiTheme="majorBidi" w:hAnsiTheme="majorBidi" w:cstheme="majorBidi"/>
        </w:rPr>
        <w:t>Based on preliminary data and conservative assumptions:</w:t>
      </w:r>
    </w:p>
    <w:p w14:paraId="1C2A68B5" w14:textId="77777777" w:rsidR="00920871" w:rsidRPr="00920871" w:rsidRDefault="00920871" w:rsidP="00920871">
      <w:pPr>
        <w:numPr>
          <w:ilvl w:val="0"/>
          <w:numId w:val="2"/>
        </w:numPr>
        <w:spacing w:line="480" w:lineRule="auto"/>
        <w:rPr>
          <w:rFonts w:asciiTheme="majorBidi" w:hAnsiTheme="majorBidi" w:cstheme="majorBidi"/>
        </w:rPr>
      </w:pPr>
      <w:r w:rsidRPr="00920871">
        <w:rPr>
          <w:rFonts w:asciiTheme="majorBidi" w:hAnsiTheme="majorBidi" w:cstheme="majorBidi"/>
        </w:rPr>
        <w:t xml:space="preserve">Memory: partial correlations = 0.15, 0.20, 0.25 </w:t>
      </w:r>
    </w:p>
    <w:p w14:paraId="21FFAC51" w14:textId="77777777" w:rsidR="00920871" w:rsidRPr="00920871" w:rsidRDefault="00920871" w:rsidP="00920871">
      <w:pPr>
        <w:numPr>
          <w:ilvl w:val="0"/>
          <w:numId w:val="2"/>
        </w:numPr>
        <w:spacing w:line="480" w:lineRule="auto"/>
        <w:rPr>
          <w:rFonts w:asciiTheme="majorBidi" w:hAnsiTheme="majorBidi" w:cstheme="majorBidi"/>
        </w:rPr>
      </w:pPr>
      <w:r w:rsidRPr="00920871">
        <w:rPr>
          <w:rFonts w:asciiTheme="majorBidi" w:hAnsiTheme="majorBidi" w:cstheme="majorBidi"/>
        </w:rPr>
        <w:t xml:space="preserve">Cortical thickness: partial correlations = 0.30, 0.40, 0.50 </w:t>
      </w:r>
    </w:p>
    <w:p w14:paraId="68825A9E" w14:textId="77777777" w:rsidR="00920871" w:rsidRPr="00920871" w:rsidRDefault="00920871" w:rsidP="00920871">
      <w:pPr>
        <w:spacing w:line="480" w:lineRule="auto"/>
        <w:rPr>
          <w:rFonts w:asciiTheme="majorBidi" w:hAnsiTheme="majorBidi" w:cstheme="majorBidi"/>
        </w:rPr>
      </w:pPr>
      <w:r w:rsidRPr="00920871">
        <w:rPr>
          <w:rFonts w:asciiTheme="majorBidi" w:hAnsiTheme="majorBidi" w:cstheme="majorBidi"/>
        </w:rPr>
        <w:t>Power ranged from moderate to high, with higher power for cortical thickness outcomes reflecting stronger underlying associations.</w:t>
      </w:r>
    </w:p>
    <w:p w14:paraId="075A8E1D" w14:textId="6A752BF1" w:rsidR="00920871" w:rsidRPr="00920871" w:rsidRDefault="00C3581E" w:rsidP="003B4903">
      <w:pPr>
        <w:spacing w:line="480" w:lineRule="auto"/>
        <w:rPr>
          <w:rFonts w:asciiTheme="majorBidi" w:hAnsiTheme="majorBidi" w:cstheme="majorBidi"/>
        </w:rPr>
      </w:pPr>
      <w:r w:rsidRPr="00C3581E">
        <w:rPr>
          <w:rFonts w:asciiTheme="majorBidi" w:hAnsiTheme="majorBidi" w:cstheme="majorBidi"/>
          <w:b/>
          <w:bCs/>
        </w:rPr>
        <w:t>Aim 2</w:t>
      </w:r>
      <w:r>
        <w:rPr>
          <w:rFonts w:asciiTheme="majorBidi" w:hAnsiTheme="majorBidi" w:cstheme="majorBidi"/>
          <w:b/>
          <w:bCs/>
        </w:rPr>
        <w:t xml:space="preserve">: </w:t>
      </w:r>
      <w:r w:rsidR="00920871" w:rsidRPr="00920871">
        <w:rPr>
          <w:rFonts w:asciiTheme="majorBidi" w:hAnsiTheme="majorBidi" w:cstheme="majorBidi"/>
        </w:rPr>
        <w:t>Power calculations correspond to testing the joint contribution of four interaction terms (</w:t>
      </w:r>
      <m:oMath>
        <m:r>
          <w:rPr>
            <w:rFonts w:ascii="Cambria Math" w:hAnsi="Cambria Math" w:cstheme="majorBidi"/>
          </w:rPr>
          <m:t>q=4</m:t>
        </m:r>
      </m:oMath>
      <w:r w:rsidR="00920871" w:rsidRPr="00920871">
        <w:rPr>
          <w:rFonts w:asciiTheme="majorBidi" w:hAnsiTheme="majorBidi" w:cstheme="majorBidi"/>
        </w:rPr>
        <w:t>) in a model with approximately 12 predictors (</w:t>
      </w:r>
      <m:oMath>
        <m:r>
          <w:rPr>
            <w:rFonts w:ascii="Cambria Math" w:hAnsi="Cambria Math" w:cstheme="majorBidi"/>
            <w:highlight w:val="yellow"/>
          </w:rPr>
          <m:t>p=12</m:t>
        </m:r>
      </m:oMath>
      <w:r w:rsidR="00920871" w:rsidRPr="00CB2288">
        <w:rPr>
          <w:rFonts w:asciiTheme="majorBidi" w:hAnsiTheme="majorBidi" w:cstheme="majorBidi"/>
          <w:highlight w:val="yellow"/>
        </w:rPr>
        <w:t>).</w:t>
      </w:r>
      <w:r w:rsidR="003B4903">
        <w:rPr>
          <w:rFonts w:asciiTheme="majorBidi" w:hAnsiTheme="majorBidi" w:cstheme="majorBidi"/>
        </w:rPr>
        <w:t xml:space="preserve"> </w:t>
      </w:r>
      <w:r w:rsidR="00920871" w:rsidRPr="00920871">
        <w:rPr>
          <w:rFonts w:asciiTheme="majorBidi" w:hAnsiTheme="majorBidi" w:cstheme="majorBidi"/>
        </w:rPr>
        <w:t>Because preliminary data did not provide direct estimates of interaction effects, conservative assumed partial correlations of 0.10, 0.15, and 0.20 were used.</w:t>
      </w:r>
      <w:r w:rsidR="003B4903">
        <w:rPr>
          <w:rFonts w:asciiTheme="majorBidi" w:hAnsiTheme="majorBidi" w:cstheme="majorBidi"/>
        </w:rPr>
        <w:t xml:space="preserve"> </w:t>
      </w:r>
    </w:p>
    <w:p w14:paraId="4303AFFB" w14:textId="77777777" w:rsidR="00282125" w:rsidRPr="00282125" w:rsidRDefault="003375D4" w:rsidP="00282125">
      <w:pPr>
        <w:spacing w:line="480" w:lineRule="auto"/>
        <w:rPr>
          <w:rFonts w:asciiTheme="majorBidi" w:hAnsiTheme="majorBidi" w:cstheme="majorBidi"/>
        </w:rPr>
      </w:pPr>
      <w:r w:rsidRPr="003375D4">
        <w:rPr>
          <w:rFonts w:asciiTheme="majorBidi" w:hAnsiTheme="majorBidi" w:cstheme="majorBidi"/>
          <w:b/>
          <w:bCs/>
        </w:rPr>
        <w:t>Type I Error</w:t>
      </w:r>
      <w:r w:rsidR="00920871">
        <w:rPr>
          <w:rFonts w:asciiTheme="majorBidi" w:hAnsiTheme="majorBidi" w:cstheme="majorBidi"/>
          <w:b/>
          <w:bCs/>
        </w:rPr>
        <w:t xml:space="preserve">: </w:t>
      </w:r>
      <w:r w:rsidR="00282125" w:rsidRPr="00282125">
        <w:rPr>
          <w:rFonts w:asciiTheme="majorBidi" w:hAnsiTheme="majorBidi" w:cstheme="majorBidi"/>
        </w:rPr>
        <w:t>To address multiple testing, analyses will be organized into prespecified families defined by aim and outcome.</w:t>
      </w:r>
    </w:p>
    <w:p w14:paraId="7F82FB42" w14:textId="77777777" w:rsidR="00282125" w:rsidRPr="00282125" w:rsidRDefault="00282125" w:rsidP="00282125">
      <w:pPr>
        <w:spacing w:line="480" w:lineRule="auto"/>
        <w:rPr>
          <w:rFonts w:asciiTheme="majorBidi" w:hAnsiTheme="majorBidi" w:cstheme="majorBidi"/>
        </w:rPr>
      </w:pPr>
      <w:r w:rsidRPr="00282125">
        <w:rPr>
          <w:rFonts w:asciiTheme="majorBidi" w:hAnsiTheme="majorBidi" w:cstheme="majorBidi"/>
        </w:rPr>
        <w:t>Within each outcome-specific family, an omnibus partial F test will be conducted at α = 0.05 to evaluate the collective contribution of predictors of interest. This reduces the number of primary tests and limits inflation of Type I error.</w:t>
      </w:r>
    </w:p>
    <w:p w14:paraId="5EEE1354" w14:textId="77777777" w:rsidR="00282125" w:rsidRPr="00282125" w:rsidRDefault="00282125" w:rsidP="00282125">
      <w:pPr>
        <w:spacing w:line="480" w:lineRule="auto"/>
        <w:rPr>
          <w:rFonts w:asciiTheme="majorBidi" w:hAnsiTheme="majorBidi" w:cstheme="majorBidi"/>
        </w:rPr>
      </w:pPr>
      <w:r w:rsidRPr="00282125">
        <w:rPr>
          <w:rFonts w:asciiTheme="majorBidi" w:hAnsiTheme="majorBidi" w:cstheme="majorBidi"/>
        </w:rPr>
        <w:t xml:space="preserve">Only if the omnibus test is statistically significant will follow-up tests of individual coefficients be conducted. For these follow-up tests, a Bonferroni correction will be applied within each </w:t>
      </w:r>
      <w:r w:rsidRPr="00282125">
        <w:rPr>
          <w:rFonts w:asciiTheme="majorBidi" w:hAnsiTheme="majorBidi" w:cstheme="majorBidi"/>
        </w:rPr>
        <w:lastRenderedPageBreak/>
        <w:t>family by dividing α by the number of tests (m = 4), yielding a per-test significance threshold of α = 0.0125.</w:t>
      </w:r>
    </w:p>
    <w:p w14:paraId="6E685D32" w14:textId="77777777" w:rsidR="00282125" w:rsidRPr="00282125" w:rsidRDefault="00282125" w:rsidP="00282125">
      <w:pPr>
        <w:spacing w:line="480" w:lineRule="auto"/>
        <w:rPr>
          <w:rFonts w:asciiTheme="majorBidi" w:hAnsiTheme="majorBidi" w:cstheme="majorBidi"/>
        </w:rPr>
      </w:pPr>
      <w:r w:rsidRPr="00282125">
        <w:rPr>
          <w:rFonts w:asciiTheme="majorBidi" w:hAnsiTheme="majorBidi" w:cstheme="majorBidi"/>
        </w:rPr>
        <w:t>This two-stage approach (omnibus test followed by Bonferroni-adjusted comparisons) controls Type I error within each outcome while avoiding unnecessary multiple testing.</w:t>
      </w:r>
    </w:p>
    <w:p w14:paraId="34CC45A5" w14:textId="77777777" w:rsidR="00282125" w:rsidRPr="00282125" w:rsidRDefault="00282125" w:rsidP="00282125">
      <w:pPr>
        <w:spacing w:line="480" w:lineRule="auto"/>
        <w:rPr>
          <w:rFonts w:asciiTheme="majorBidi" w:hAnsiTheme="majorBidi" w:cstheme="majorBidi"/>
        </w:rPr>
      </w:pPr>
      <w:r w:rsidRPr="00282125">
        <w:rPr>
          <w:rFonts w:asciiTheme="majorBidi" w:hAnsiTheme="majorBidi" w:cstheme="majorBidi"/>
        </w:rPr>
        <w:t>Exploratory analyses will be clearly labeled and interpreted cautiously. In addition to p-values, interpretation will emphasize effect sizes, confidence intervals, and consistency of findings across outcomes and markers.</w:t>
      </w:r>
    </w:p>
    <w:p w14:paraId="620116B5" w14:textId="1B9895CC" w:rsidR="00F8025B" w:rsidRDefault="00F8025B" w:rsidP="00282125">
      <w:pPr>
        <w:spacing w:line="480" w:lineRule="auto"/>
        <w:rPr>
          <w:rFonts w:asciiTheme="majorBidi" w:hAnsiTheme="majorBidi" w:cstheme="majorBidi"/>
        </w:rPr>
      </w:pPr>
    </w:p>
    <w:p w14:paraId="1506F1BB" w14:textId="77777777" w:rsidR="00F8025B" w:rsidRDefault="00F8025B" w:rsidP="00920871">
      <w:pPr>
        <w:spacing w:line="480" w:lineRule="auto"/>
        <w:rPr>
          <w:rFonts w:asciiTheme="majorBidi" w:hAnsiTheme="majorBidi" w:cstheme="majorBidi"/>
        </w:rPr>
      </w:pPr>
    </w:p>
    <w:p w14:paraId="0D7CFC90" w14:textId="77777777" w:rsidR="007E55C0" w:rsidRDefault="007E55C0" w:rsidP="00920871">
      <w:pPr>
        <w:spacing w:line="480" w:lineRule="auto"/>
        <w:rPr>
          <w:rFonts w:asciiTheme="majorBidi" w:hAnsiTheme="majorBidi" w:cstheme="majorBidi"/>
        </w:rPr>
      </w:pPr>
    </w:p>
    <w:p w14:paraId="715EDB22" w14:textId="77777777" w:rsidR="007E55C0" w:rsidRDefault="007E55C0" w:rsidP="00920871">
      <w:pPr>
        <w:spacing w:line="480" w:lineRule="auto"/>
        <w:rPr>
          <w:rFonts w:asciiTheme="majorBidi" w:hAnsiTheme="majorBidi" w:cstheme="majorBidi"/>
        </w:rPr>
      </w:pPr>
    </w:p>
    <w:p w14:paraId="1056C55F" w14:textId="77777777" w:rsidR="007E55C0" w:rsidRDefault="007E55C0" w:rsidP="00920871">
      <w:pPr>
        <w:spacing w:line="480" w:lineRule="auto"/>
        <w:rPr>
          <w:rFonts w:asciiTheme="majorBidi" w:hAnsiTheme="majorBidi" w:cstheme="majorBidi"/>
        </w:rPr>
      </w:pPr>
    </w:p>
    <w:p w14:paraId="35929F2B" w14:textId="77777777" w:rsidR="00F8025B" w:rsidRDefault="00F8025B" w:rsidP="00920871">
      <w:pPr>
        <w:spacing w:line="480" w:lineRule="auto"/>
        <w:rPr>
          <w:rFonts w:asciiTheme="majorBidi" w:hAnsiTheme="majorBidi" w:cstheme="majorBidi"/>
        </w:rPr>
      </w:pPr>
    </w:p>
    <w:p w14:paraId="77254BA6" w14:textId="77777777" w:rsidR="00F8025B" w:rsidRDefault="00F8025B" w:rsidP="00920871">
      <w:pPr>
        <w:spacing w:line="480" w:lineRule="auto"/>
        <w:rPr>
          <w:rFonts w:asciiTheme="majorBidi" w:hAnsiTheme="majorBidi" w:cstheme="majorBidi"/>
        </w:rPr>
      </w:pPr>
    </w:p>
    <w:p w14:paraId="19C97776" w14:textId="77777777" w:rsidR="00282125" w:rsidRDefault="00282125" w:rsidP="00920871">
      <w:pPr>
        <w:spacing w:line="480" w:lineRule="auto"/>
        <w:rPr>
          <w:rFonts w:asciiTheme="majorBidi" w:hAnsiTheme="majorBidi" w:cstheme="majorBidi"/>
        </w:rPr>
      </w:pPr>
    </w:p>
    <w:p w14:paraId="3D6862C1" w14:textId="77777777" w:rsidR="00282125" w:rsidRDefault="00282125" w:rsidP="00920871">
      <w:pPr>
        <w:spacing w:line="480" w:lineRule="auto"/>
        <w:rPr>
          <w:rFonts w:asciiTheme="majorBidi" w:hAnsiTheme="majorBidi" w:cstheme="majorBidi"/>
        </w:rPr>
      </w:pPr>
    </w:p>
    <w:p w14:paraId="0EAC2AB1" w14:textId="77777777" w:rsidR="00282125" w:rsidRDefault="00282125" w:rsidP="00920871">
      <w:pPr>
        <w:spacing w:line="480" w:lineRule="auto"/>
        <w:rPr>
          <w:rFonts w:asciiTheme="majorBidi" w:hAnsiTheme="majorBidi" w:cstheme="majorBidi"/>
        </w:rPr>
      </w:pPr>
    </w:p>
    <w:p w14:paraId="414030C4" w14:textId="77777777" w:rsidR="00282125" w:rsidRDefault="00282125" w:rsidP="00920871">
      <w:pPr>
        <w:spacing w:line="480" w:lineRule="auto"/>
        <w:rPr>
          <w:rFonts w:asciiTheme="majorBidi" w:hAnsiTheme="majorBidi" w:cstheme="majorBidi"/>
        </w:rPr>
      </w:pPr>
    </w:p>
    <w:p w14:paraId="2DA251CE" w14:textId="77777777" w:rsidR="00282125" w:rsidRDefault="00282125" w:rsidP="00920871">
      <w:pPr>
        <w:spacing w:line="480" w:lineRule="auto"/>
        <w:rPr>
          <w:rFonts w:asciiTheme="majorBidi" w:hAnsiTheme="majorBidi" w:cstheme="majorBidi"/>
        </w:rPr>
      </w:pPr>
    </w:p>
    <w:p w14:paraId="6FED75CD" w14:textId="083C6824" w:rsidR="006C7C8A" w:rsidRPr="006C7C8A" w:rsidRDefault="009F050A" w:rsidP="009F050A">
      <w:pPr>
        <w:rPr>
          <w:rFonts w:asciiTheme="majorBidi" w:hAnsiTheme="majorBidi" w:cstheme="majorBidi"/>
          <w:b/>
          <w:bCs/>
        </w:rPr>
      </w:pPr>
      <w:r w:rsidRPr="009F050A">
        <w:rPr>
          <w:rFonts w:asciiTheme="majorBidi" w:hAnsiTheme="majorBidi" w:cstheme="majorBidi"/>
          <w:b/>
          <w:bCs/>
        </w:rPr>
        <w:lastRenderedPageBreak/>
        <w:t>Table</w:t>
      </w:r>
      <w:r w:rsidR="007D1030">
        <w:rPr>
          <w:rFonts w:asciiTheme="majorBidi" w:hAnsiTheme="majorBidi" w:cstheme="majorBidi"/>
          <w:b/>
          <w:bCs/>
        </w:rPr>
        <w:t xml:space="preserve"> 1</w:t>
      </w:r>
      <w:r w:rsidRPr="009F050A">
        <w:rPr>
          <w:rFonts w:asciiTheme="majorBidi" w:hAnsiTheme="majorBidi" w:cstheme="majorBidi"/>
          <w:b/>
          <w:bCs/>
        </w:rPr>
        <w:t>. Exploratory Summary of Primary Exposures and Covariates by Aim</w:t>
      </w:r>
    </w:p>
    <w:tbl>
      <w:tblPr>
        <w:tblStyle w:val="TableGrid"/>
        <w:tblW w:w="0" w:type="auto"/>
        <w:tblLook w:val="04A0" w:firstRow="1" w:lastRow="0" w:firstColumn="1" w:lastColumn="0" w:noHBand="0" w:noVBand="1"/>
      </w:tblPr>
      <w:tblGrid>
        <w:gridCol w:w="675"/>
        <w:gridCol w:w="1758"/>
        <w:gridCol w:w="2952"/>
        <w:gridCol w:w="1490"/>
        <w:gridCol w:w="2475"/>
      </w:tblGrid>
      <w:tr w:rsidR="006C7C8A" w:rsidRPr="006C7C8A" w14:paraId="692025E4" w14:textId="77777777" w:rsidTr="006C7C8A">
        <w:tc>
          <w:tcPr>
            <w:tcW w:w="0" w:type="auto"/>
            <w:hideMark/>
          </w:tcPr>
          <w:p w14:paraId="03CD364F"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Aim</w:t>
            </w:r>
          </w:p>
        </w:tc>
        <w:tc>
          <w:tcPr>
            <w:tcW w:w="0" w:type="auto"/>
            <w:hideMark/>
          </w:tcPr>
          <w:p w14:paraId="72A9197C"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Variable Category</w:t>
            </w:r>
          </w:p>
        </w:tc>
        <w:tc>
          <w:tcPr>
            <w:tcW w:w="0" w:type="auto"/>
            <w:hideMark/>
          </w:tcPr>
          <w:p w14:paraId="5C43B15E"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Variables</w:t>
            </w:r>
          </w:p>
        </w:tc>
        <w:tc>
          <w:tcPr>
            <w:tcW w:w="0" w:type="auto"/>
            <w:hideMark/>
          </w:tcPr>
          <w:p w14:paraId="2BF83ECA"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Type</w:t>
            </w:r>
          </w:p>
        </w:tc>
        <w:tc>
          <w:tcPr>
            <w:tcW w:w="0" w:type="auto"/>
            <w:hideMark/>
          </w:tcPr>
          <w:p w14:paraId="6D8D847A"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Notes</w:t>
            </w:r>
          </w:p>
        </w:tc>
      </w:tr>
      <w:tr w:rsidR="006C7C8A" w:rsidRPr="006C7C8A" w14:paraId="70AF6597" w14:textId="77777777" w:rsidTr="006C7C8A">
        <w:tc>
          <w:tcPr>
            <w:tcW w:w="0" w:type="auto"/>
            <w:hideMark/>
          </w:tcPr>
          <w:p w14:paraId="115A997C"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Aim 1</w:t>
            </w:r>
          </w:p>
        </w:tc>
        <w:tc>
          <w:tcPr>
            <w:tcW w:w="0" w:type="auto"/>
            <w:hideMark/>
          </w:tcPr>
          <w:p w14:paraId="5BBEF4F9"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Peripheral inflammatory markers</w:t>
            </w:r>
          </w:p>
        </w:tc>
        <w:tc>
          <w:tcPr>
            <w:tcW w:w="0" w:type="auto"/>
            <w:hideMark/>
          </w:tcPr>
          <w:p w14:paraId="47C8E6DF" w14:textId="77777777" w:rsidR="006C7C8A" w:rsidRPr="006C7C8A" w:rsidRDefault="006C7C8A" w:rsidP="006C7C8A">
            <w:pPr>
              <w:spacing w:after="160" w:line="278" w:lineRule="auto"/>
              <w:rPr>
                <w:rFonts w:asciiTheme="majorBidi" w:hAnsiTheme="majorBidi" w:cstheme="majorBidi"/>
                <w:lang w:val="fr-FR"/>
              </w:rPr>
            </w:pPr>
            <w:r w:rsidRPr="006C7C8A">
              <w:rPr>
                <w:rFonts w:asciiTheme="majorBidi" w:hAnsiTheme="majorBidi" w:cstheme="majorBidi"/>
                <w:lang w:val="fr-FR"/>
              </w:rPr>
              <w:t>IL-6, TNF-</w:t>
            </w:r>
            <w:r w:rsidRPr="006C7C8A">
              <w:rPr>
                <w:rFonts w:asciiTheme="majorBidi" w:hAnsiTheme="majorBidi" w:cstheme="majorBidi"/>
              </w:rPr>
              <w:t>α</w:t>
            </w:r>
            <w:r w:rsidRPr="006C7C8A">
              <w:rPr>
                <w:rFonts w:asciiTheme="majorBidi" w:hAnsiTheme="majorBidi" w:cstheme="majorBidi"/>
                <w:lang w:val="fr-FR"/>
              </w:rPr>
              <w:t>, MCP-1, Eotaxin-1</w:t>
            </w:r>
          </w:p>
        </w:tc>
        <w:tc>
          <w:tcPr>
            <w:tcW w:w="0" w:type="auto"/>
            <w:hideMark/>
          </w:tcPr>
          <w:p w14:paraId="014DE0DE"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23B84EAF"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Preliminary data suggest approximately symmetric distributions; no transformation applied</w:t>
            </w:r>
          </w:p>
        </w:tc>
      </w:tr>
      <w:tr w:rsidR="006C7C8A" w:rsidRPr="006C7C8A" w14:paraId="5CCC8CE9" w14:textId="77777777" w:rsidTr="006C7C8A">
        <w:tc>
          <w:tcPr>
            <w:tcW w:w="0" w:type="auto"/>
            <w:hideMark/>
          </w:tcPr>
          <w:p w14:paraId="13D94B48"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1229B6F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Exploratory inflammatory markers</w:t>
            </w:r>
          </w:p>
        </w:tc>
        <w:tc>
          <w:tcPr>
            <w:tcW w:w="0" w:type="auto"/>
            <w:hideMark/>
          </w:tcPr>
          <w:p w14:paraId="655BEE5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Additional cytokines (MSD panel)</w:t>
            </w:r>
          </w:p>
        </w:tc>
        <w:tc>
          <w:tcPr>
            <w:tcW w:w="0" w:type="auto"/>
            <w:hideMark/>
          </w:tcPr>
          <w:p w14:paraId="12D3D262"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633AAB5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May be right-skewed; transformation evaluated if needed</w:t>
            </w:r>
          </w:p>
        </w:tc>
      </w:tr>
      <w:tr w:rsidR="006C7C8A" w:rsidRPr="006C7C8A" w14:paraId="18C102D1" w14:textId="77777777" w:rsidTr="006C7C8A">
        <w:tc>
          <w:tcPr>
            <w:tcW w:w="0" w:type="auto"/>
            <w:hideMark/>
          </w:tcPr>
          <w:p w14:paraId="2E46B218"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692B0853"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AD-related inflammatory markers</w:t>
            </w:r>
          </w:p>
        </w:tc>
        <w:tc>
          <w:tcPr>
            <w:tcW w:w="0" w:type="auto"/>
            <w:hideMark/>
          </w:tcPr>
          <w:p w14:paraId="32EB4E8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Beta-2 microglobulin, Alpha-1 antichymotrypsin</w:t>
            </w:r>
          </w:p>
        </w:tc>
        <w:tc>
          <w:tcPr>
            <w:tcW w:w="0" w:type="auto"/>
            <w:hideMark/>
          </w:tcPr>
          <w:p w14:paraId="0830DDAD"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55B4EBA5"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Distribution to be assessed</w:t>
            </w:r>
          </w:p>
        </w:tc>
      </w:tr>
      <w:tr w:rsidR="006C7C8A" w:rsidRPr="006C7C8A" w14:paraId="1DBAB2C4" w14:textId="77777777" w:rsidTr="006C7C8A">
        <w:tc>
          <w:tcPr>
            <w:tcW w:w="0" w:type="auto"/>
            <w:hideMark/>
          </w:tcPr>
          <w:p w14:paraId="3F95D8A7"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72A5588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Covariates</w:t>
            </w:r>
          </w:p>
        </w:tc>
        <w:tc>
          <w:tcPr>
            <w:tcW w:w="0" w:type="auto"/>
            <w:hideMark/>
          </w:tcPr>
          <w:p w14:paraId="4C4144E6"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Age, education, BMI</w:t>
            </w:r>
          </w:p>
        </w:tc>
        <w:tc>
          <w:tcPr>
            <w:tcW w:w="0" w:type="auto"/>
            <w:hideMark/>
          </w:tcPr>
          <w:p w14:paraId="7EFD0517"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4BB945E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Modeled as continuous</w:t>
            </w:r>
          </w:p>
        </w:tc>
      </w:tr>
      <w:tr w:rsidR="006C7C8A" w:rsidRPr="006C7C8A" w14:paraId="778E29EE" w14:textId="77777777" w:rsidTr="006C7C8A">
        <w:tc>
          <w:tcPr>
            <w:tcW w:w="0" w:type="auto"/>
            <w:hideMark/>
          </w:tcPr>
          <w:p w14:paraId="1E68BD81"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333ACF76"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7235B449"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Sex, APOE genotype, hypercholesterolemia, NSAID use, immune conditions</w:t>
            </w:r>
          </w:p>
        </w:tc>
        <w:tc>
          <w:tcPr>
            <w:tcW w:w="0" w:type="auto"/>
            <w:hideMark/>
          </w:tcPr>
          <w:p w14:paraId="11524D3B"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Categorical / Binary</w:t>
            </w:r>
          </w:p>
        </w:tc>
        <w:tc>
          <w:tcPr>
            <w:tcW w:w="0" w:type="auto"/>
            <w:hideMark/>
          </w:tcPr>
          <w:p w14:paraId="1D699BE4"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Included as indicator variables</w:t>
            </w:r>
          </w:p>
        </w:tc>
      </w:tr>
      <w:tr w:rsidR="006C7C8A" w:rsidRPr="006C7C8A" w14:paraId="7305E547" w14:textId="77777777" w:rsidTr="006C7C8A">
        <w:tc>
          <w:tcPr>
            <w:tcW w:w="0" w:type="auto"/>
            <w:hideMark/>
          </w:tcPr>
          <w:p w14:paraId="23EB80D4"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1CBA181D"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2A3BD4DF"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Diagnostic group (aMCI vs HC)</w:t>
            </w:r>
          </w:p>
        </w:tc>
        <w:tc>
          <w:tcPr>
            <w:tcW w:w="0" w:type="auto"/>
            <w:hideMark/>
          </w:tcPr>
          <w:p w14:paraId="54623BA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Categorical</w:t>
            </w:r>
          </w:p>
        </w:tc>
        <w:tc>
          <w:tcPr>
            <w:tcW w:w="0" w:type="auto"/>
            <w:hideMark/>
          </w:tcPr>
          <w:p w14:paraId="5797BBA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Primary grouping variable</w:t>
            </w:r>
          </w:p>
        </w:tc>
      </w:tr>
      <w:tr w:rsidR="006C7C8A" w:rsidRPr="006C7C8A" w14:paraId="43CB5CE4" w14:textId="77777777" w:rsidTr="006C7C8A">
        <w:tc>
          <w:tcPr>
            <w:tcW w:w="0" w:type="auto"/>
            <w:hideMark/>
          </w:tcPr>
          <w:p w14:paraId="4439D42C"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Aim 2</w:t>
            </w:r>
          </w:p>
        </w:tc>
        <w:tc>
          <w:tcPr>
            <w:tcW w:w="0" w:type="auto"/>
            <w:hideMark/>
          </w:tcPr>
          <w:p w14:paraId="798D6DB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Primary exposures</w:t>
            </w:r>
          </w:p>
        </w:tc>
        <w:tc>
          <w:tcPr>
            <w:tcW w:w="0" w:type="auto"/>
            <w:hideMark/>
          </w:tcPr>
          <w:p w14:paraId="41B77F4B"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Amyloid burden</w:t>
            </w:r>
          </w:p>
        </w:tc>
        <w:tc>
          <w:tcPr>
            <w:tcW w:w="0" w:type="auto"/>
            <w:hideMark/>
          </w:tcPr>
          <w:p w14:paraId="379B2A80"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56BA4A90"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Centered for interaction models</w:t>
            </w:r>
          </w:p>
        </w:tc>
      </w:tr>
      <w:tr w:rsidR="006C7C8A" w:rsidRPr="006C7C8A" w14:paraId="616AE08E" w14:textId="77777777" w:rsidTr="006C7C8A">
        <w:tc>
          <w:tcPr>
            <w:tcW w:w="0" w:type="auto"/>
            <w:hideMark/>
          </w:tcPr>
          <w:p w14:paraId="6BB763DA"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757E97E8"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149686E9"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Inflammatory markers</w:t>
            </w:r>
          </w:p>
        </w:tc>
        <w:tc>
          <w:tcPr>
            <w:tcW w:w="0" w:type="auto"/>
            <w:hideMark/>
          </w:tcPr>
          <w:p w14:paraId="6DC25436"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532584F7"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Same as Aim 1</w:t>
            </w:r>
          </w:p>
        </w:tc>
      </w:tr>
      <w:tr w:rsidR="006C7C8A" w:rsidRPr="006C7C8A" w14:paraId="5A983E8B" w14:textId="77777777" w:rsidTr="006C7C8A">
        <w:tc>
          <w:tcPr>
            <w:tcW w:w="0" w:type="auto"/>
            <w:hideMark/>
          </w:tcPr>
          <w:p w14:paraId="5C3585D8"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0C5C9CA5"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Interaction term</w:t>
            </w:r>
          </w:p>
        </w:tc>
        <w:tc>
          <w:tcPr>
            <w:tcW w:w="0" w:type="auto"/>
            <w:hideMark/>
          </w:tcPr>
          <w:p w14:paraId="57F20C0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Amyloid × inflammation</w:t>
            </w:r>
          </w:p>
        </w:tc>
        <w:tc>
          <w:tcPr>
            <w:tcW w:w="0" w:type="auto"/>
            <w:hideMark/>
          </w:tcPr>
          <w:p w14:paraId="7BC366B0"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 (product term)</w:t>
            </w:r>
          </w:p>
        </w:tc>
        <w:tc>
          <w:tcPr>
            <w:tcW w:w="0" w:type="auto"/>
            <w:hideMark/>
          </w:tcPr>
          <w:p w14:paraId="12477676"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Tests moderation effect</w:t>
            </w:r>
          </w:p>
        </w:tc>
      </w:tr>
      <w:tr w:rsidR="006C7C8A" w:rsidRPr="006C7C8A" w14:paraId="3CBECD22" w14:textId="77777777" w:rsidTr="006C7C8A">
        <w:tc>
          <w:tcPr>
            <w:tcW w:w="0" w:type="auto"/>
            <w:hideMark/>
          </w:tcPr>
          <w:p w14:paraId="1DA444BF"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41EE1C98"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Covariates</w:t>
            </w:r>
          </w:p>
        </w:tc>
        <w:tc>
          <w:tcPr>
            <w:tcW w:w="0" w:type="auto"/>
            <w:hideMark/>
          </w:tcPr>
          <w:p w14:paraId="66CBB873"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Same as Aim 1</w:t>
            </w:r>
          </w:p>
        </w:tc>
        <w:tc>
          <w:tcPr>
            <w:tcW w:w="0" w:type="auto"/>
            <w:hideMark/>
          </w:tcPr>
          <w:p w14:paraId="30700DB0"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Mixed</w:t>
            </w:r>
          </w:p>
        </w:tc>
        <w:tc>
          <w:tcPr>
            <w:tcW w:w="0" w:type="auto"/>
            <w:hideMark/>
          </w:tcPr>
          <w:p w14:paraId="55C9E0B8"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Same specification as Aim 1</w:t>
            </w:r>
          </w:p>
        </w:tc>
      </w:tr>
    </w:tbl>
    <w:p w14:paraId="1F5440F6" w14:textId="0500DF07" w:rsidR="00982446" w:rsidRPr="000A6320" w:rsidRDefault="00982446" w:rsidP="00982446">
      <w:pPr>
        <w:rPr>
          <w:rFonts w:asciiTheme="majorBidi" w:hAnsiTheme="majorBidi" w:cstheme="majorBidi"/>
          <w:sz w:val="20"/>
          <w:szCs w:val="20"/>
        </w:rPr>
      </w:pPr>
      <w:r w:rsidRPr="00982446">
        <w:rPr>
          <w:rFonts w:asciiTheme="majorBidi" w:hAnsiTheme="majorBidi" w:cstheme="majorBidi"/>
          <w:sz w:val="20"/>
          <w:szCs w:val="20"/>
        </w:rPr>
        <w:t>Variable types and distributional properties were assessed using preliminary data to inform modeling decisions and power assumptions.</w:t>
      </w:r>
    </w:p>
    <w:p w14:paraId="7863C1D3" w14:textId="77777777" w:rsidR="005859AC" w:rsidRPr="000A6320" w:rsidRDefault="005859AC" w:rsidP="000A6320"/>
    <w:sectPr w:rsidR="005859AC" w:rsidRPr="000A6320">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6E12E" w14:textId="77777777" w:rsidR="00886F35" w:rsidRDefault="00886F35" w:rsidP="003375D4">
      <w:pPr>
        <w:spacing w:after="0" w:line="240" w:lineRule="auto"/>
      </w:pPr>
      <w:r>
        <w:separator/>
      </w:r>
    </w:p>
  </w:endnote>
  <w:endnote w:type="continuationSeparator" w:id="0">
    <w:p w14:paraId="0D9F702E" w14:textId="77777777" w:rsidR="00886F35" w:rsidRDefault="00886F35" w:rsidP="00337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658754"/>
      <w:docPartObj>
        <w:docPartGallery w:val="Page Numbers (Bottom of Page)"/>
        <w:docPartUnique/>
      </w:docPartObj>
    </w:sdtPr>
    <w:sdtEndPr>
      <w:rPr>
        <w:color w:val="7F7F7F" w:themeColor="background1" w:themeShade="7F"/>
        <w:spacing w:val="60"/>
      </w:rPr>
    </w:sdtEndPr>
    <w:sdtContent>
      <w:p w14:paraId="2A125888" w14:textId="1CDFF0E0" w:rsidR="003375D4" w:rsidRDefault="003375D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4502241" w14:textId="77777777" w:rsidR="003375D4" w:rsidRDefault="003375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B7EF2" w14:textId="77777777" w:rsidR="00886F35" w:rsidRDefault="00886F35" w:rsidP="003375D4">
      <w:pPr>
        <w:spacing w:after="0" w:line="240" w:lineRule="auto"/>
      </w:pPr>
      <w:r>
        <w:separator/>
      </w:r>
    </w:p>
  </w:footnote>
  <w:footnote w:type="continuationSeparator" w:id="0">
    <w:p w14:paraId="620B1BBA" w14:textId="77777777" w:rsidR="00886F35" w:rsidRDefault="00886F35" w:rsidP="003375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900"/>
    <w:multiLevelType w:val="multilevel"/>
    <w:tmpl w:val="369E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46F7B"/>
    <w:multiLevelType w:val="multilevel"/>
    <w:tmpl w:val="1B96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9420330">
    <w:abstractNumId w:val="0"/>
  </w:num>
  <w:num w:numId="2" w16cid:durableId="11518263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9AC"/>
    <w:rsid w:val="000A6320"/>
    <w:rsid w:val="000F40E5"/>
    <w:rsid w:val="00135BDF"/>
    <w:rsid w:val="00165D46"/>
    <w:rsid w:val="00196899"/>
    <w:rsid w:val="00226458"/>
    <w:rsid w:val="0024071A"/>
    <w:rsid w:val="00282125"/>
    <w:rsid w:val="002F264F"/>
    <w:rsid w:val="00307EFC"/>
    <w:rsid w:val="003375D4"/>
    <w:rsid w:val="00353649"/>
    <w:rsid w:val="00365449"/>
    <w:rsid w:val="003B4903"/>
    <w:rsid w:val="003C5E61"/>
    <w:rsid w:val="003F406A"/>
    <w:rsid w:val="00405DC7"/>
    <w:rsid w:val="00411D29"/>
    <w:rsid w:val="00425C3C"/>
    <w:rsid w:val="00431BF0"/>
    <w:rsid w:val="0046210C"/>
    <w:rsid w:val="00475A6E"/>
    <w:rsid w:val="004A6D16"/>
    <w:rsid w:val="004D5299"/>
    <w:rsid w:val="004E555F"/>
    <w:rsid w:val="00511961"/>
    <w:rsid w:val="005735F4"/>
    <w:rsid w:val="005817A2"/>
    <w:rsid w:val="005859AC"/>
    <w:rsid w:val="00671791"/>
    <w:rsid w:val="0067231F"/>
    <w:rsid w:val="006745C1"/>
    <w:rsid w:val="006A1970"/>
    <w:rsid w:val="006C7C8A"/>
    <w:rsid w:val="006F4B8A"/>
    <w:rsid w:val="00701C43"/>
    <w:rsid w:val="0074423B"/>
    <w:rsid w:val="007D1030"/>
    <w:rsid w:val="007D493C"/>
    <w:rsid w:val="007E55C0"/>
    <w:rsid w:val="00855731"/>
    <w:rsid w:val="00865BA3"/>
    <w:rsid w:val="00886F35"/>
    <w:rsid w:val="008A083D"/>
    <w:rsid w:val="008E2B18"/>
    <w:rsid w:val="008F0692"/>
    <w:rsid w:val="00920871"/>
    <w:rsid w:val="00982446"/>
    <w:rsid w:val="009F050A"/>
    <w:rsid w:val="00A52661"/>
    <w:rsid w:val="00A950C1"/>
    <w:rsid w:val="00AA115C"/>
    <w:rsid w:val="00AB0A0C"/>
    <w:rsid w:val="00AF605B"/>
    <w:rsid w:val="00B27780"/>
    <w:rsid w:val="00B40DB4"/>
    <w:rsid w:val="00BC592F"/>
    <w:rsid w:val="00C217CA"/>
    <w:rsid w:val="00C34372"/>
    <w:rsid w:val="00C3581E"/>
    <w:rsid w:val="00C36540"/>
    <w:rsid w:val="00CB2288"/>
    <w:rsid w:val="00CC11B3"/>
    <w:rsid w:val="00D753F5"/>
    <w:rsid w:val="00E005D7"/>
    <w:rsid w:val="00E0445C"/>
    <w:rsid w:val="00E66389"/>
    <w:rsid w:val="00E67D62"/>
    <w:rsid w:val="00F253DA"/>
    <w:rsid w:val="00F64B4B"/>
    <w:rsid w:val="00F8025B"/>
    <w:rsid w:val="00F84DF3"/>
    <w:rsid w:val="00F96A8E"/>
    <w:rsid w:val="00FA47FE"/>
    <w:rsid w:val="00FB2A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1A5FF"/>
  <w15:chartTrackingRefBased/>
  <w15:docId w15:val="{E975FBD3-F6C1-42CC-B787-725BBDBA8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9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9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9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9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9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9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9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9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9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9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9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9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9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9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9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9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9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9AC"/>
    <w:rPr>
      <w:rFonts w:eastAsiaTheme="majorEastAsia" w:cstheme="majorBidi"/>
      <w:color w:val="272727" w:themeColor="text1" w:themeTint="D8"/>
    </w:rPr>
  </w:style>
  <w:style w:type="paragraph" w:styleId="Title">
    <w:name w:val="Title"/>
    <w:basedOn w:val="Normal"/>
    <w:next w:val="Normal"/>
    <w:link w:val="TitleChar"/>
    <w:uiPriority w:val="10"/>
    <w:qFormat/>
    <w:rsid w:val="005859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9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9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9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9AC"/>
    <w:pPr>
      <w:spacing w:before="160"/>
      <w:jc w:val="center"/>
    </w:pPr>
    <w:rPr>
      <w:i/>
      <w:iCs/>
      <w:color w:val="404040" w:themeColor="text1" w:themeTint="BF"/>
    </w:rPr>
  </w:style>
  <w:style w:type="character" w:customStyle="1" w:styleId="QuoteChar">
    <w:name w:val="Quote Char"/>
    <w:basedOn w:val="DefaultParagraphFont"/>
    <w:link w:val="Quote"/>
    <w:uiPriority w:val="29"/>
    <w:rsid w:val="005859AC"/>
    <w:rPr>
      <w:i/>
      <w:iCs/>
      <w:color w:val="404040" w:themeColor="text1" w:themeTint="BF"/>
    </w:rPr>
  </w:style>
  <w:style w:type="paragraph" w:styleId="ListParagraph">
    <w:name w:val="List Paragraph"/>
    <w:basedOn w:val="Normal"/>
    <w:uiPriority w:val="34"/>
    <w:qFormat/>
    <w:rsid w:val="005859AC"/>
    <w:pPr>
      <w:ind w:left="720"/>
      <w:contextualSpacing/>
    </w:pPr>
  </w:style>
  <w:style w:type="character" w:styleId="IntenseEmphasis">
    <w:name w:val="Intense Emphasis"/>
    <w:basedOn w:val="DefaultParagraphFont"/>
    <w:uiPriority w:val="21"/>
    <w:qFormat/>
    <w:rsid w:val="005859AC"/>
    <w:rPr>
      <w:i/>
      <w:iCs/>
      <w:color w:val="0F4761" w:themeColor="accent1" w:themeShade="BF"/>
    </w:rPr>
  </w:style>
  <w:style w:type="paragraph" w:styleId="IntenseQuote">
    <w:name w:val="Intense Quote"/>
    <w:basedOn w:val="Normal"/>
    <w:next w:val="Normal"/>
    <w:link w:val="IntenseQuoteChar"/>
    <w:uiPriority w:val="30"/>
    <w:qFormat/>
    <w:rsid w:val="005859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9AC"/>
    <w:rPr>
      <w:i/>
      <w:iCs/>
      <w:color w:val="0F4761" w:themeColor="accent1" w:themeShade="BF"/>
    </w:rPr>
  </w:style>
  <w:style w:type="character" w:styleId="IntenseReference">
    <w:name w:val="Intense Reference"/>
    <w:basedOn w:val="DefaultParagraphFont"/>
    <w:uiPriority w:val="32"/>
    <w:qFormat/>
    <w:rsid w:val="005859AC"/>
    <w:rPr>
      <w:b/>
      <w:bCs/>
      <w:smallCaps/>
      <w:color w:val="0F4761" w:themeColor="accent1" w:themeShade="BF"/>
      <w:spacing w:val="5"/>
    </w:rPr>
  </w:style>
  <w:style w:type="table" w:styleId="TableGrid">
    <w:name w:val="Table Grid"/>
    <w:basedOn w:val="TableNormal"/>
    <w:uiPriority w:val="39"/>
    <w:rsid w:val="006C7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40DB4"/>
    <w:rPr>
      <w:rFonts w:ascii="Times New Roman" w:hAnsi="Times New Roman" w:cs="Times New Roman"/>
    </w:rPr>
  </w:style>
  <w:style w:type="paragraph" w:styleId="Header">
    <w:name w:val="header"/>
    <w:basedOn w:val="Normal"/>
    <w:link w:val="HeaderChar"/>
    <w:uiPriority w:val="99"/>
    <w:unhideWhenUsed/>
    <w:rsid w:val="003375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75D4"/>
  </w:style>
  <w:style w:type="paragraph" w:styleId="Footer">
    <w:name w:val="footer"/>
    <w:basedOn w:val="Normal"/>
    <w:link w:val="FooterChar"/>
    <w:uiPriority w:val="99"/>
    <w:unhideWhenUsed/>
    <w:rsid w:val="003375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75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938</TotalTime>
  <Pages>6</Pages>
  <Words>1197</Words>
  <Characters>6826</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69</cp:revision>
  <dcterms:created xsi:type="dcterms:W3CDTF">2026-03-21T20:22:00Z</dcterms:created>
  <dcterms:modified xsi:type="dcterms:W3CDTF">2026-03-23T13:56:00Z</dcterms:modified>
</cp:coreProperties>
</file>