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8E78B" w14:textId="77777777" w:rsidR="005D4264" w:rsidRPr="005D4264" w:rsidRDefault="005D4264" w:rsidP="005D4264">
      <w:pPr>
        <w:rPr>
          <w:rFonts w:ascii="Calibri" w:hAnsi="Calibri" w:cs="Calibri"/>
          <w:b/>
          <w:bCs/>
        </w:rPr>
      </w:pPr>
      <w:r w:rsidRPr="005D4264">
        <w:rPr>
          <w:rFonts w:ascii="Calibri" w:hAnsi="Calibri" w:cs="Calibri"/>
          <w:b/>
          <w:bCs/>
        </w:rPr>
        <w:t>Power and Sample Size Justification</w:t>
      </w:r>
    </w:p>
    <w:p w14:paraId="2707B67C" w14:textId="77777777" w:rsidR="005D4264" w:rsidRPr="005D4264" w:rsidRDefault="005D4264" w:rsidP="005D4264">
      <w:pPr>
        <w:rPr>
          <w:rFonts w:ascii="Calibri" w:hAnsi="Calibri" w:cs="Calibri"/>
        </w:rPr>
      </w:pPr>
      <w:r w:rsidRPr="005D4264">
        <w:rPr>
          <w:rFonts w:ascii="Calibri" w:hAnsi="Calibri" w:cs="Calibri"/>
        </w:rPr>
        <w:t xml:space="preserve">Power analyses were conducted in R using the </w:t>
      </w:r>
      <w:proofErr w:type="spellStart"/>
      <w:r w:rsidRPr="005D4264">
        <w:rPr>
          <w:rFonts w:ascii="Calibri" w:hAnsi="Calibri" w:cs="Calibri"/>
          <w:i/>
          <w:iCs/>
        </w:rPr>
        <w:t>powertools</w:t>
      </w:r>
      <w:proofErr w:type="spellEnd"/>
      <w:r w:rsidRPr="005D4264">
        <w:rPr>
          <w:rFonts w:ascii="Calibri" w:hAnsi="Calibri" w:cs="Calibri"/>
        </w:rPr>
        <w:t xml:space="preserve"> package and the </w:t>
      </w:r>
      <w:proofErr w:type="spellStart"/>
      <w:r w:rsidRPr="005D4264">
        <w:rPr>
          <w:rFonts w:ascii="Calibri" w:hAnsi="Calibri" w:cs="Calibri"/>
          <w:i/>
          <w:iCs/>
        </w:rPr>
        <w:t>mlrF.partial</w:t>
      </w:r>
      <w:proofErr w:type="spellEnd"/>
      <w:r w:rsidRPr="005D4264">
        <w:rPr>
          <w:rFonts w:ascii="Calibri" w:hAnsi="Calibri" w:cs="Calibri"/>
        </w:rPr>
        <w:t xml:space="preserve"> function, which approximates the partial F test for regression coefficients in multiple linear regression. This approach was selected because the primary analyses for both aims involve testing the joint contribution of multiple predictors using omnibus partial F tests.</w:t>
      </w:r>
    </w:p>
    <w:p w14:paraId="6DF0779B" w14:textId="77777777" w:rsidR="005D4264" w:rsidRPr="005D4264" w:rsidRDefault="005D4264" w:rsidP="005D4264">
      <w:pPr>
        <w:rPr>
          <w:rFonts w:ascii="Calibri" w:hAnsi="Calibri" w:cs="Calibri"/>
        </w:rPr>
      </w:pPr>
      <w:r w:rsidRPr="005D4264">
        <w:rPr>
          <w:rFonts w:ascii="Calibri" w:hAnsi="Calibri" w:cs="Calibri"/>
        </w:rPr>
        <w:t>All power calculations assumed a two-sided α = 0.05 for the primary omnibus tests within each outcome-specific family. Follow-up marker-specific analyses will use Bonferroni-adjusted inference and are considered secondary; therefore, power calculations focus on the primary omnibus tests.</w:t>
      </w:r>
    </w:p>
    <w:p w14:paraId="75F6494E" w14:textId="77777777" w:rsidR="005D4264" w:rsidRPr="005D4264" w:rsidRDefault="005D4264" w:rsidP="005D4264">
      <w:pPr>
        <w:rPr>
          <w:rFonts w:ascii="Calibri" w:hAnsi="Calibri" w:cs="Calibri"/>
          <w:b/>
          <w:bCs/>
        </w:rPr>
      </w:pPr>
      <w:r w:rsidRPr="005D4264">
        <w:rPr>
          <w:rFonts w:ascii="Calibri" w:hAnsi="Calibri" w:cs="Calibri"/>
          <w:b/>
          <w:bCs/>
        </w:rPr>
        <w:t>Aim 1: Main Effects of Inflammatory Markers</w:t>
      </w:r>
    </w:p>
    <w:p w14:paraId="04671A32" w14:textId="7E0126D3" w:rsidR="005D4264" w:rsidRPr="005D4264" w:rsidRDefault="005D4264" w:rsidP="005D4264">
      <w:pPr>
        <w:rPr>
          <w:rFonts w:ascii="Calibri" w:hAnsi="Calibri" w:cs="Calibri"/>
        </w:rPr>
      </w:pPr>
      <w:r w:rsidRPr="005D4264">
        <w:rPr>
          <w:rFonts w:ascii="Calibri" w:hAnsi="Calibri" w:cs="Calibri"/>
        </w:rPr>
        <w:t xml:space="preserve">For Aim 1, power calculations correspond to the omnibus test of the joint contribution of the four primary inflammatory markers (IL-6, TNF-α, MCP-1, and Eotaxin-1) within each outcome. Thus, calculations were based on testing </w:t>
      </w:r>
      <m:oMath>
        <m:r>
          <w:rPr>
            <w:rFonts w:ascii="Cambria Math" w:hAnsi="Cambria Math" w:cs="Calibri"/>
          </w:rPr>
          <m:t>q=4</m:t>
        </m:r>
      </m:oMath>
      <w:r w:rsidR="005E7C9F">
        <w:rPr>
          <w:rFonts w:ascii="Calibri" w:eastAsiaTheme="minorEastAsia" w:hAnsi="Calibri" w:cs="Calibri"/>
        </w:rPr>
        <w:t xml:space="preserve"> </w:t>
      </w:r>
      <w:r w:rsidRPr="005D4264">
        <w:rPr>
          <w:rFonts w:ascii="Calibri" w:hAnsi="Calibri" w:cs="Calibri"/>
        </w:rPr>
        <w:t xml:space="preserve">parameters simultaneously in a regression model with </w:t>
      </w:r>
      <m:oMath>
        <m:r>
          <w:rPr>
            <w:rFonts w:ascii="Cambria Math" w:hAnsi="Cambria Math" w:cs="Calibri"/>
          </w:rPr>
          <m:t>p=10</m:t>
        </m:r>
        <m:r>
          <w:rPr>
            <w:rFonts w:ascii="Cambria Math" w:hAnsi="Cambria Math" w:cs="Calibri"/>
          </w:rPr>
          <m:t xml:space="preserve"> </m:t>
        </m:r>
      </m:oMath>
      <w:r w:rsidRPr="005D4264">
        <w:rPr>
          <w:rFonts w:ascii="Calibri" w:hAnsi="Calibri" w:cs="Calibri"/>
        </w:rPr>
        <w:t xml:space="preserve">predictors and total sample size </w:t>
      </w:r>
      <m:oMath>
        <m:r>
          <w:rPr>
            <w:rFonts w:ascii="Cambria Math" w:hAnsi="Cambria Math" w:cs="Calibri"/>
          </w:rPr>
          <m:t>N=175</m:t>
        </m:r>
      </m:oMath>
      <w:r w:rsidRPr="005D4264">
        <w:rPr>
          <w:rFonts w:ascii="Calibri" w:hAnsi="Calibri" w:cs="Calibri"/>
        </w:rPr>
        <w:t>.</w:t>
      </w:r>
    </w:p>
    <w:p w14:paraId="0264902A" w14:textId="77777777" w:rsidR="005D4264" w:rsidRPr="005D4264" w:rsidRDefault="005D4264" w:rsidP="005D4264">
      <w:pPr>
        <w:rPr>
          <w:rFonts w:ascii="Calibri" w:hAnsi="Calibri" w:cs="Calibri"/>
        </w:rPr>
      </w:pPr>
      <w:r w:rsidRPr="005D4264">
        <w:rPr>
          <w:rFonts w:ascii="Calibri" w:hAnsi="Calibri" w:cs="Calibri"/>
        </w:rPr>
        <w:t>Preliminary analyses indicated that inflammatory markers were moderately associated with change in episodic memory (correlations approximately 0.25–0.32) and more strongly associated with change in cortical thickness (correlations approximately 0.60–0.70). Because regression models adjust for covariates and include multiple correlated predictors, we used conservative partial-correlation assumptions when estimating power.</w:t>
      </w:r>
    </w:p>
    <w:p w14:paraId="66FB3DDF" w14:textId="77777777" w:rsidR="005D4264" w:rsidRPr="005D4264" w:rsidRDefault="005D4264" w:rsidP="005D4264">
      <w:pPr>
        <w:rPr>
          <w:rFonts w:ascii="Calibri" w:hAnsi="Calibri" w:cs="Calibri"/>
        </w:rPr>
      </w:pPr>
      <w:r w:rsidRPr="005D4264">
        <w:rPr>
          <w:rFonts w:ascii="Calibri" w:hAnsi="Calibri" w:cs="Calibri"/>
        </w:rPr>
        <w:t>For episodic memory outcomes, we assumed partial correlations of 0.15, 0.20, and 0.25 to represent conservative, moderate, and optimistic scenarios. For cortical thickness outcomes, we assumed partial correlations of 0.30, 0.40, and 0.50 to reflect stronger underlying associations while accounting for attenuation due to covariate adjustment and multicollinearity among inflammatory markers.</w:t>
      </w:r>
    </w:p>
    <w:p w14:paraId="4F819112" w14:textId="77777777" w:rsidR="005D4264" w:rsidRPr="005D4264" w:rsidRDefault="005D4264" w:rsidP="005D4264">
      <w:pPr>
        <w:rPr>
          <w:rFonts w:ascii="Calibri" w:hAnsi="Calibri" w:cs="Calibri"/>
        </w:rPr>
      </w:pPr>
      <w:r w:rsidRPr="005D4264">
        <w:rPr>
          <w:rFonts w:ascii="Calibri" w:hAnsi="Calibri" w:cs="Calibri"/>
        </w:rPr>
        <w:t>Under these assumptions, power ranged from moderate to high for detecting joint effects of inflammatory markers, with substantially greater power for cortical thickness outcomes compared to memory outcomes. These results are consistent with preliminary findings and support adequate power to detect moderate to large associations in Aim 1.</w:t>
      </w:r>
    </w:p>
    <w:p w14:paraId="168E1C7C" w14:textId="77777777" w:rsidR="005D4264" w:rsidRPr="005D4264" w:rsidRDefault="005D4264" w:rsidP="005D4264">
      <w:pPr>
        <w:rPr>
          <w:rFonts w:ascii="Calibri" w:hAnsi="Calibri" w:cs="Calibri"/>
        </w:rPr>
      </w:pPr>
    </w:p>
    <w:p w14:paraId="2108EC5A" w14:textId="77777777" w:rsidR="005D4264" w:rsidRPr="005D4264" w:rsidRDefault="005D4264" w:rsidP="005D4264">
      <w:pPr>
        <w:rPr>
          <w:rFonts w:ascii="Calibri" w:hAnsi="Calibri" w:cs="Calibri"/>
        </w:rPr>
      </w:pPr>
    </w:p>
    <w:p w14:paraId="38A73016" w14:textId="7B196C17" w:rsidR="005D4264" w:rsidRPr="005D4264" w:rsidRDefault="005D4264" w:rsidP="005D4264">
      <w:pPr>
        <w:rPr>
          <w:rFonts w:ascii="Calibri" w:hAnsi="Calibri" w:cs="Calibri"/>
        </w:rPr>
      </w:pPr>
    </w:p>
    <w:p w14:paraId="00EC9FF3" w14:textId="77777777" w:rsidR="005D4264" w:rsidRPr="005D4264" w:rsidRDefault="005D4264" w:rsidP="005D4264">
      <w:pPr>
        <w:rPr>
          <w:rFonts w:ascii="Calibri" w:hAnsi="Calibri" w:cs="Calibri"/>
          <w:b/>
          <w:bCs/>
        </w:rPr>
      </w:pPr>
      <w:r w:rsidRPr="005D4264">
        <w:rPr>
          <w:rFonts w:ascii="Calibri" w:hAnsi="Calibri" w:cs="Calibri"/>
          <w:b/>
          <w:bCs/>
        </w:rPr>
        <w:t>Aim 2: Interaction Between Amyloid and Inflammation</w:t>
      </w:r>
    </w:p>
    <w:p w14:paraId="10C0EC98" w14:textId="6FDE52D2" w:rsidR="005D4264" w:rsidRPr="005D4264" w:rsidRDefault="005D4264" w:rsidP="005D4264">
      <w:pPr>
        <w:rPr>
          <w:rFonts w:ascii="Calibri" w:hAnsi="Calibri" w:cs="Calibri"/>
        </w:rPr>
      </w:pPr>
      <w:r w:rsidRPr="005D4264">
        <w:rPr>
          <w:rFonts w:ascii="Calibri" w:hAnsi="Calibri" w:cs="Calibri"/>
        </w:rPr>
        <w:lastRenderedPageBreak/>
        <w:t xml:space="preserve">For Aim 2, power calculations correspond to the omnibus test of the joint contribution of interaction terms between amyloid burden and inflammatory markers. Calculations were based on testing </w:t>
      </w:r>
      <m:oMath>
        <m:r>
          <w:rPr>
            <w:rFonts w:ascii="Cambria Math" w:hAnsi="Cambria Math" w:cs="Calibri"/>
          </w:rPr>
          <m:t>q=4</m:t>
        </m:r>
      </m:oMath>
      <w:r w:rsidRPr="005D4264">
        <w:rPr>
          <w:rFonts w:ascii="Calibri" w:hAnsi="Calibri" w:cs="Calibri"/>
        </w:rPr>
        <w:t xml:space="preserve">interaction terms in a regression model with </w:t>
      </w:r>
      <m:oMath>
        <m:r>
          <w:rPr>
            <w:rFonts w:ascii="Cambria Math" w:hAnsi="Cambria Math" w:cs="Calibri"/>
          </w:rPr>
          <m:t>p=12</m:t>
        </m:r>
      </m:oMath>
      <w:r w:rsidRPr="005D4264">
        <w:rPr>
          <w:rFonts w:ascii="Calibri" w:hAnsi="Calibri" w:cs="Calibri"/>
        </w:rPr>
        <w:t xml:space="preserve">predictors and total sample size </w:t>
      </w:r>
      <m:oMath>
        <m:r>
          <w:rPr>
            <w:rFonts w:ascii="Cambria Math" w:hAnsi="Cambria Math" w:cs="Calibri"/>
          </w:rPr>
          <m:t>N=175</m:t>
        </m:r>
      </m:oMath>
      <w:r w:rsidRPr="005D4264">
        <w:rPr>
          <w:rFonts w:ascii="Calibri" w:hAnsi="Calibri" w:cs="Calibri"/>
        </w:rPr>
        <w:t>.</w:t>
      </w:r>
    </w:p>
    <w:p w14:paraId="5441495A" w14:textId="77777777" w:rsidR="005D4264" w:rsidRPr="005D4264" w:rsidRDefault="005D4264" w:rsidP="005D4264">
      <w:pPr>
        <w:rPr>
          <w:rFonts w:ascii="Calibri" w:hAnsi="Calibri" w:cs="Calibri"/>
        </w:rPr>
      </w:pPr>
      <w:r w:rsidRPr="005D4264">
        <w:rPr>
          <w:rFonts w:ascii="Calibri" w:hAnsi="Calibri" w:cs="Calibri"/>
        </w:rPr>
        <w:t xml:space="preserve">Unlike Aim 1, preliminary data did not provide direct estimates of interaction effects. Because interaction effects are evaluated conditional on both main effects and covariates and are typically smaller in magnitude, we used </w:t>
      </w:r>
      <w:r w:rsidRPr="005D4264">
        <w:rPr>
          <w:rFonts w:ascii="Calibri" w:hAnsi="Calibri" w:cs="Calibri"/>
          <w:b/>
          <w:bCs/>
        </w:rPr>
        <w:t>conservative assumed partial correlations</w:t>
      </w:r>
      <w:r w:rsidRPr="005D4264">
        <w:rPr>
          <w:rFonts w:ascii="Calibri" w:hAnsi="Calibri" w:cs="Calibri"/>
        </w:rPr>
        <w:t xml:space="preserve"> of 0.10, 0.15, and 0.20 to represent small to moderate interaction effects.</w:t>
      </w:r>
    </w:p>
    <w:p w14:paraId="67A7E7A2" w14:textId="77777777" w:rsidR="005D4264" w:rsidRPr="005D4264" w:rsidRDefault="005D4264" w:rsidP="005D4264">
      <w:pPr>
        <w:rPr>
          <w:rFonts w:ascii="Calibri" w:hAnsi="Calibri" w:cs="Calibri"/>
        </w:rPr>
      </w:pPr>
      <w:r w:rsidRPr="005D4264">
        <w:rPr>
          <w:rFonts w:ascii="Calibri" w:hAnsi="Calibri" w:cs="Calibri"/>
        </w:rPr>
        <w:t>These assumptions reflect plausible but modest interaction signals and are intended to provide a realistic assessment of the study’s ability to detect effect modification. Under these conditions, power is limited for small interaction effects but adequate for moderate to larger interaction effects, which is typical for interaction analyses in observational studies.</w:t>
      </w:r>
    </w:p>
    <w:p w14:paraId="2F584DB8" w14:textId="77777777" w:rsidR="005D4264" w:rsidRPr="005D4264" w:rsidRDefault="005D4264" w:rsidP="005D4264">
      <w:pPr>
        <w:rPr>
          <w:rFonts w:ascii="Calibri" w:hAnsi="Calibri" w:cs="Calibri"/>
          <w:b/>
          <w:bCs/>
        </w:rPr>
      </w:pPr>
      <w:r w:rsidRPr="005D4264">
        <w:rPr>
          <w:rFonts w:ascii="Calibri" w:hAnsi="Calibri" w:cs="Calibri"/>
          <w:b/>
          <w:bCs/>
        </w:rPr>
        <w:t>Multiple Outcomes and Family Structure</w:t>
      </w:r>
    </w:p>
    <w:p w14:paraId="69AA5AF7" w14:textId="77777777" w:rsidR="005D4264" w:rsidRPr="005D4264" w:rsidRDefault="005D4264" w:rsidP="005D4264">
      <w:pPr>
        <w:rPr>
          <w:rFonts w:ascii="Calibri" w:hAnsi="Calibri" w:cs="Calibri"/>
        </w:rPr>
      </w:pPr>
      <w:r w:rsidRPr="005D4264">
        <w:rPr>
          <w:rFonts w:ascii="Calibri" w:hAnsi="Calibri" w:cs="Calibri"/>
        </w:rPr>
        <w:t xml:space="preserve">Because episodic memory and cortical thickness represent distinct but related outcomes, power calculations were conducted separately for each outcome. This is consistent with the analytic strategy, which defines </w:t>
      </w:r>
      <w:r w:rsidRPr="005D4264">
        <w:rPr>
          <w:rFonts w:ascii="Calibri" w:hAnsi="Calibri" w:cs="Calibri"/>
          <w:b/>
          <w:bCs/>
        </w:rPr>
        <w:t>outcome-specific families of hypotheses</w:t>
      </w:r>
      <w:r w:rsidRPr="005D4264">
        <w:rPr>
          <w:rFonts w:ascii="Calibri" w:hAnsi="Calibri" w:cs="Calibri"/>
        </w:rPr>
        <w:t>, with Type I error controlled at α = 0.05 within each family using omnibus tests.</w:t>
      </w:r>
    </w:p>
    <w:p w14:paraId="48EC6FE9" w14:textId="77777777" w:rsidR="005D4264" w:rsidRPr="005D4264" w:rsidRDefault="005D4264" w:rsidP="005D4264">
      <w:pPr>
        <w:rPr>
          <w:rFonts w:ascii="Calibri" w:hAnsi="Calibri" w:cs="Calibri"/>
          <w:b/>
          <w:bCs/>
        </w:rPr>
      </w:pPr>
      <w:r w:rsidRPr="005D4264">
        <w:rPr>
          <w:rFonts w:ascii="Calibri" w:hAnsi="Calibri" w:cs="Calibri"/>
          <w:b/>
          <w:bCs/>
        </w:rPr>
        <w:t>Summary</w:t>
      </w:r>
    </w:p>
    <w:p w14:paraId="318E2306" w14:textId="77777777" w:rsidR="005D4264" w:rsidRPr="005D4264" w:rsidRDefault="005D4264" w:rsidP="005D4264">
      <w:pPr>
        <w:rPr>
          <w:rFonts w:ascii="Calibri" w:hAnsi="Calibri" w:cs="Calibri"/>
        </w:rPr>
      </w:pPr>
      <w:r w:rsidRPr="005D4264">
        <w:rPr>
          <w:rFonts w:ascii="Calibri" w:hAnsi="Calibri" w:cs="Calibri"/>
        </w:rPr>
        <w:t>Overall, the proposed sample size of 175 provides adequate power to detect moderate to large joint effects of inflammatory markers in Aim 1 and moderate interaction effects in Aim 2. Power is expected to be higher for cortical thickness outcomes than for memory outcomes, reflecting stronger underlying associations observed in preliminary data.</w:t>
      </w:r>
    </w:p>
    <w:p w14:paraId="6B07E161" w14:textId="77777777" w:rsidR="00567142" w:rsidRDefault="00567142"/>
    <w:sectPr w:rsidR="005671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142"/>
    <w:rsid w:val="00567142"/>
    <w:rsid w:val="005D4264"/>
    <w:rsid w:val="005E7C9F"/>
    <w:rsid w:val="00C217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49E01"/>
  <w15:chartTrackingRefBased/>
  <w15:docId w15:val="{36E3D0E1-C0EA-40BD-99EB-C2BBA0D3C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1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1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1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1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1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1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1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1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1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1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1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1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1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1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142"/>
    <w:rPr>
      <w:rFonts w:eastAsiaTheme="majorEastAsia" w:cstheme="majorBidi"/>
      <w:color w:val="272727" w:themeColor="text1" w:themeTint="D8"/>
    </w:rPr>
  </w:style>
  <w:style w:type="paragraph" w:styleId="Title">
    <w:name w:val="Title"/>
    <w:basedOn w:val="Normal"/>
    <w:next w:val="Normal"/>
    <w:link w:val="TitleChar"/>
    <w:uiPriority w:val="10"/>
    <w:qFormat/>
    <w:rsid w:val="005671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1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142"/>
    <w:pPr>
      <w:spacing w:before="160"/>
      <w:jc w:val="center"/>
    </w:pPr>
    <w:rPr>
      <w:i/>
      <w:iCs/>
      <w:color w:val="404040" w:themeColor="text1" w:themeTint="BF"/>
    </w:rPr>
  </w:style>
  <w:style w:type="character" w:customStyle="1" w:styleId="QuoteChar">
    <w:name w:val="Quote Char"/>
    <w:basedOn w:val="DefaultParagraphFont"/>
    <w:link w:val="Quote"/>
    <w:uiPriority w:val="29"/>
    <w:rsid w:val="00567142"/>
    <w:rPr>
      <w:i/>
      <w:iCs/>
      <w:color w:val="404040" w:themeColor="text1" w:themeTint="BF"/>
    </w:rPr>
  </w:style>
  <w:style w:type="paragraph" w:styleId="ListParagraph">
    <w:name w:val="List Paragraph"/>
    <w:basedOn w:val="Normal"/>
    <w:uiPriority w:val="34"/>
    <w:qFormat/>
    <w:rsid w:val="00567142"/>
    <w:pPr>
      <w:ind w:left="720"/>
      <w:contextualSpacing/>
    </w:pPr>
  </w:style>
  <w:style w:type="character" w:styleId="IntenseEmphasis">
    <w:name w:val="Intense Emphasis"/>
    <w:basedOn w:val="DefaultParagraphFont"/>
    <w:uiPriority w:val="21"/>
    <w:qFormat/>
    <w:rsid w:val="00567142"/>
    <w:rPr>
      <w:i/>
      <w:iCs/>
      <w:color w:val="0F4761" w:themeColor="accent1" w:themeShade="BF"/>
    </w:rPr>
  </w:style>
  <w:style w:type="paragraph" w:styleId="IntenseQuote">
    <w:name w:val="Intense Quote"/>
    <w:basedOn w:val="Normal"/>
    <w:next w:val="Normal"/>
    <w:link w:val="IntenseQuoteChar"/>
    <w:uiPriority w:val="30"/>
    <w:qFormat/>
    <w:rsid w:val="005671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142"/>
    <w:rPr>
      <w:i/>
      <w:iCs/>
      <w:color w:val="0F4761" w:themeColor="accent1" w:themeShade="BF"/>
    </w:rPr>
  </w:style>
  <w:style w:type="character" w:styleId="IntenseReference">
    <w:name w:val="Intense Reference"/>
    <w:basedOn w:val="DefaultParagraphFont"/>
    <w:uiPriority w:val="32"/>
    <w:qFormat/>
    <w:rsid w:val="005671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596</Words>
  <Characters>3399</Characters>
  <Application>Microsoft Office Word</Application>
  <DocSecurity>0</DocSecurity>
  <Lines>28</Lines>
  <Paragraphs>7</Paragraphs>
  <ScaleCrop>false</ScaleCrop>
  <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Mojde Mir</dc:creator>
  <cp:keywords/>
  <dc:description/>
  <cp:lastModifiedBy>Mojde Mir</cp:lastModifiedBy>
  <cp:revision>3</cp:revision>
  <dcterms:created xsi:type="dcterms:W3CDTF">2026-03-23T04:54:00Z</dcterms:created>
  <dcterms:modified xsi:type="dcterms:W3CDTF">2026-03-23T04:55:00Z</dcterms:modified>
</cp:coreProperties>
</file>