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6010" w14:textId="77777777" w:rsidR="006153A8" w:rsidRPr="006153A8" w:rsidRDefault="00DA3D42" w:rsidP="00E329B2">
      <w:pPr>
        <w:spacing w:line="480" w:lineRule="auto"/>
        <w:jc w:val="both"/>
        <w:rPr>
          <w:rFonts w:asciiTheme="minorBidi" w:hAnsiTheme="minorBidi"/>
        </w:rPr>
      </w:pPr>
      <w:r w:rsidRPr="00DA3D42">
        <w:rPr>
          <w:rFonts w:asciiTheme="minorBidi" w:hAnsiTheme="minorBidi"/>
          <w:b/>
          <w:bCs/>
        </w:rPr>
        <w:t>Data Preparation and Overview</w:t>
      </w:r>
      <w:r w:rsidR="009F3CB6">
        <w:rPr>
          <w:rFonts w:asciiTheme="minorBidi" w:hAnsiTheme="minorBidi"/>
          <w:b/>
          <w:bCs/>
        </w:rPr>
        <w:t xml:space="preserve">: </w:t>
      </w:r>
      <w:r w:rsidR="006153A8" w:rsidRPr="006153A8">
        <w:rPr>
          <w:rFonts w:asciiTheme="minorBidi" w:hAnsiTheme="minorBidi"/>
        </w:rPr>
        <w:t>This study examines the relationship between peripheral inflammation, Alzheimer’s disease (AD) pathology, and cognitive and neurodegenerative decline over one year. Primary outcomes include episodic memory performance and AD-signature cortical thickness. Primary predictors include circulating inflammatory markers, and analyses will evaluate whether inflammation moderates associations between amyloid burden and these outcomes.</w:t>
      </w:r>
    </w:p>
    <w:p w14:paraId="3BA12FFD" w14:textId="77777777" w:rsidR="006153A8" w:rsidRPr="006153A8" w:rsidRDefault="006153A8" w:rsidP="006153A8">
      <w:pPr>
        <w:spacing w:line="480" w:lineRule="auto"/>
        <w:jc w:val="both"/>
        <w:rPr>
          <w:rFonts w:asciiTheme="minorBidi" w:hAnsiTheme="minorBidi"/>
        </w:rPr>
      </w:pPr>
      <w:r w:rsidRPr="006153A8">
        <w:rPr>
          <w:rFonts w:asciiTheme="minorBidi" w:hAnsiTheme="minorBidi"/>
        </w:rPr>
        <w:t>Preliminary data were used to inform distributions and effect size assumptions. Outcomes were approximately symmetric, while inflammatory markers were right-skewed and will be log-transformed as needed. Associations appeared approximately linear. Correlations showed modest associations between inflammation and memory change (r = -0.26 to -0.32) and stronger associations with cortical thickness (r = -0.60 to -0.69). IL-6 and MCP-1 were highly correlated (r = 0.93), indicating substantial collinearity and motivating conservative modeling and power assumptions.</w:t>
      </w:r>
    </w:p>
    <w:p w14:paraId="228B9D6D" w14:textId="77777777" w:rsidR="0014488D" w:rsidRPr="0014488D" w:rsidRDefault="00DA3D42" w:rsidP="0014488D">
      <w:pPr>
        <w:spacing w:line="480" w:lineRule="auto"/>
        <w:jc w:val="both"/>
        <w:rPr>
          <w:rFonts w:asciiTheme="minorBidi" w:eastAsia="Times New Roman" w:hAnsiTheme="minorBidi"/>
          <w:kern w:val="0"/>
          <w14:ligatures w14:val="none"/>
        </w:rPr>
      </w:pPr>
      <w:r w:rsidRPr="00DA3D42">
        <w:rPr>
          <w:rFonts w:asciiTheme="minorBidi" w:hAnsiTheme="minorBidi"/>
          <w:b/>
          <w:bCs/>
        </w:rPr>
        <w:t>Aim 1</w:t>
      </w:r>
      <w:r w:rsidR="002E249E">
        <w:rPr>
          <w:rFonts w:asciiTheme="minorBidi" w:hAnsiTheme="minorBidi"/>
          <w:b/>
          <w:bCs/>
        </w:rPr>
        <w:t xml:space="preserve"> Analysis</w:t>
      </w:r>
      <w:r w:rsidR="00064020">
        <w:rPr>
          <w:rFonts w:asciiTheme="minorBidi" w:hAnsiTheme="minorBidi"/>
          <w:b/>
          <w:bCs/>
        </w:rPr>
        <w:t xml:space="preserve">: </w:t>
      </w:r>
      <w:r w:rsidR="0014488D" w:rsidRPr="0014488D">
        <w:rPr>
          <w:rFonts w:asciiTheme="minorBidi" w:eastAsia="Times New Roman" w:hAnsiTheme="minorBidi"/>
          <w:kern w:val="0"/>
          <w14:ligatures w14:val="none"/>
        </w:rPr>
        <w:t>Aim 1 will test whether peripheral inflammatory markers predict one-year decline in episodic memory and cortical thickness. We hypothesize that higher baseline levels and increases in inflammatory markers will be associated with greater decline in these outcomes.</w:t>
      </w:r>
    </w:p>
    <w:p w14:paraId="5E93463A" w14:textId="77777777" w:rsidR="00B500A3" w:rsidRPr="00B500A3" w:rsidRDefault="0014488D" w:rsidP="00B500A3">
      <w:pPr>
        <w:spacing w:line="480" w:lineRule="auto"/>
        <w:jc w:val="both"/>
        <w:rPr>
          <w:rFonts w:asciiTheme="minorBidi" w:eastAsia="Times New Roman" w:hAnsiTheme="minorBidi"/>
          <w:kern w:val="0"/>
          <w14:ligatures w14:val="none"/>
        </w:rPr>
      </w:pPr>
      <w:r w:rsidRPr="0014488D">
        <w:rPr>
          <w:rFonts w:asciiTheme="minorBidi" w:eastAsia="Times New Roman" w:hAnsiTheme="minorBidi"/>
          <w:kern w:val="0"/>
          <w14:ligatures w14:val="none"/>
        </w:rPr>
        <w:t>Primary markers include IL-6, TNF-α, MCP-1, and Eotaxin-1; additional cytokines and AD-related markers will be examined in exploratory analyses. Associations will be evaluated using linear regression models of change scores. Each marker will be modeled separately to address multicollinearity and facilitate interpretation. Age and sex will be included as primary covariates, with additional covariates evaluated in sensitivity analyses.</w:t>
      </w:r>
      <w:r w:rsidR="00B500A3">
        <w:rPr>
          <w:rFonts w:asciiTheme="minorBidi" w:eastAsia="Times New Roman" w:hAnsiTheme="minorBidi"/>
          <w:kern w:val="0"/>
          <w14:ligatures w14:val="none"/>
        </w:rPr>
        <w:t xml:space="preserve"> </w:t>
      </w:r>
      <w:r w:rsidR="00B500A3" w:rsidRPr="00B500A3">
        <w:rPr>
          <w:rFonts w:asciiTheme="minorBidi" w:eastAsia="Times New Roman" w:hAnsiTheme="minorBidi"/>
          <w:kern w:val="0"/>
          <w14:ligatures w14:val="none"/>
        </w:rPr>
        <w:t xml:space="preserve">Inference will prioritize consistency in the direction and magnitude of </w:t>
      </w:r>
      <w:r w:rsidR="00B500A3" w:rsidRPr="00B500A3">
        <w:rPr>
          <w:rFonts w:asciiTheme="minorBidi" w:eastAsia="Times New Roman" w:hAnsiTheme="minorBidi"/>
          <w:kern w:val="0"/>
          <w14:ligatures w14:val="none"/>
        </w:rPr>
        <w:lastRenderedPageBreak/>
        <w:t xml:space="preserve">associations across markers and outcomes rather than isolated statistically significant findings. </w:t>
      </w:r>
    </w:p>
    <w:p w14:paraId="6CF968BE" w14:textId="77777777" w:rsidR="0014488D" w:rsidRPr="0014488D" w:rsidRDefault="009F3CB6" w:rsidP="0014488D">
      <w:pPr>
        <w:spacing w:line="480" w:lineRule="auto"/>
        <w:jc w:val="both"/>
        <w:rPr>
          <w:rFonts w:asciiTheme="minorBidi" w:eastAsia="Times New Roman" w:hAnsiTheme="minorBidi"/>
          <w:kern w:val="0"/>
          <w14:ligatures w14:val="none"/>
        </w:rPr>
      </w:pPr>
      <w:r w:rsidRPr="009F3CB6">
        <w:rPr>
          <w:rFonts w:asciiTheme="minorBidi" w:eastAsia="Times New Roman" w:hAnsiTheme="minorBidi"/>
          <w:b/>
          <w:bCs/>
          <w:kern w:val="0"/>
          <w14:ligatures w14:val="none"/>
        </w:rPr>
        <w:t>Aim 2</w:t>
      </w:r>
      <w:r w:rsidR="002E249E">
        <w:rPr>
          <w:rFonts w:asciiTheme="minorBidi" w:eastAsia="Times New Roman" w:hAnsiTheme="minorBidi"/>
          <w:b/>
          <w:bCs/>
          <w:kern w:val="0"/>
          <w14:ligatures w14:val="none"/>
        </w:rPr>
        <w:t xml:space="preserve"> Analysis</w:t>
      </w:r>
      <w:r w:rsidRPr="009F3CB6">
        <w:rPr>
          <w:rFonts w:asciiTheme="minorBidi" w:eastAsia="Times New Roman" w:hAnsiTheme="minorBidi"/>
          <w:b/>
          <w:bCs/>
          <w:kern w:val="0"/>
          <w14:ligatures w14:val="none"/>
        </w:rPr>
        <w:t>:</w:t>
      </w:r>
      <w:r w:rsidRPr="009F3CB6">
        <w:rPr>
          <w:rFonts w:asciiTheme="minorBidi" w:eastAsia="Times New Roman" w:hAnsiTheme="minorBidi"/>
          <w:kern w:val="0"/>
          <w14:ligatures w14:val="none"/>
        </w:rPr>
        <w:t xml:space="preserve"> </w:t>
      </w:r>
      <w:r w:rsidR="0014488D" w:rsidRPr="0014488D">
        <w:rPr>
          <w:rFonts w:asciiTheme="minorBidi" w:eastAsia="Times New Roman" w:hAnsiTheme="minorBidi"/>
          <w:kern w:val="0"/>
          <w14:ligatures w14:val="none"/>
        </w:rPr>
        <w:t>Aim 2 will test whether peripheral inflammation moderates the relationship between amyloid burden and cognitive and neurodegenerative decline. We hypothesize that individuals with elevated amyloid burden and inflammation will show the greatest decline.</w:t>
      </w:r>
    </w:p>
    <w:p w14:paraId="37344255" w14:textId="77777777" w:rsidR="0014488D" w:rsidRDefault="0014488D" w:rsidP="0014488D">
      <w:pPr>
        <w:spacing w:line="480" w:lineRule="auto"/>
        <w:jc w:val="both"/>
        <w:rPr>
          <w:rFonts w:asciiTheme="minorBidi" w:eastAsia="Times New Roman" w:hAnsiTheme="minorBidi"/>
          <w:kern w:val="0"/>
          <w14:ligatures w14:val="none"/>
        </w:rPr>
      </w:pPr>
      <w:r w:rsidRPr="0014488D">
        <w:rPr>
          <w:rFonts w:asciiTheme="minorBidi" w:eastAsia="Times New Roman" w:hAnsiTheme="minorBidi"/>
          <w:kern w:val="0"/>
          <w14:ligatures w14:val="none"/>
        </w:rPr>
        <w:t>Amyloid burden will be modeled continuously using global SUVR values, with a validated threshold (SUVR ≥ 1.10) used to define amyloid-positive status for secondary analyses . Moderation will be evaluated using regression models including amyloid, inflammatory markers, and an amyloid × inflammation interaction term predicting change in outcomes. The interaction term represents differences in marker–outcome associations across amyloid levels. Significant interactions will be interpreted using predicted values and simple slopes. Covariate adjustment will follow Aim 1.</w:t>
      </w:r>
    </w:p>
    <w:p w14:paraId="6529D414" w14:textId="69CD65F3" w:rsidR="00C3106F" w:rsidRPr="00C3106F" w:rsidRDefault="006301FD" w:rsidP="00C3106F">
      <w:pPr>
        <w:spacing w:line="480" w:lineRule="auto"/>
        <w:jc w:val="both"/>
        <w:rPr>
          <w:rFonts w:asciiTheme="minorBidi" w:eastAsia="Times New Roman" w:hAnsiTheme="minorBidi"/>
          <w:kern w:val="0"/>
          <w14:ligatures w14:val="none"/>
        </w:rPr>
      </w:pPr>
      <w:r w:rsidRPr="006301FD">
        <w:rPr>
          <w:rFonts w:asciiTheme="minorBidi" w:eastAsia="Times New Roman" w:hAnsiTheme="minorBidi"/>
          <w:b/>
          <w:bCs/>
          <w:kern w:val="0"/>
          <w14:ligatures w14:val="none"/>
        </w:rPr>
        <w:t>Aim 1</w:t>
      </w:r>
      <w:r w:rsidR="002C0E66">
        <w:rPr>
          <w:rFonts w:asciiTheme="minorBidi" w:eastAsia="Times New Roman" w:hAnsiTheme="minorBidi"/>
          <w:b/>
          <w:bCs/>
          <w:kern w:val="0"/>
          <w14:ligatures w14:val="none"/>
        </w:rPr>
        <w:t xml:space="preserve"> Power</w:t>
      </w:r>
      <w:r w:rsidRPr="006301FD">
        <w:rPr>
          <w:rFonts w:asciiTheme="minorBidi" w:eastAsia="Times New Roman" w:hAnsiTheme="minorBidi"/>
          <w:b/>
          <w:bCs/>
          <w:kern w:val="0"/>
          <w14:ligatures w14:val="none"/>
        </w:rPr>
        <w:t>:</w:t>
      </w:r>
      <w:r w:rsidRPr="006301FD">
        <w:rPr>
          <w:rFonts w:asciiTheme="minorBidi" w:eastAsia="Times New Roman" w:hAnsiTheme="minorBidi"/>
          <w:kern w:val="0"/>
          <w14:ligatures w14:val="none"/>
        </w:rPr>
        <w:t xml:space="preserve"> </w:t>
      </w:r>
      <w:r w:rsidR="00C3106F" w:rsidRPr="00C3106F">
        <w:rPr>
          <w:rFonts w:asciiTheme="minorBidi" w:eastAsia="Times New Roman" w:hAnsiTheme="minorBidi"/>
          <w:kern w:val="0"/>
          <w14:ligatures w14:val="none"/>
        </w:rPr>
        <w:t>Power was calculated using correlation-based methods (corr.1samp), testing whether associations between inflammatory markers and outcomes differ from zero. This aligns with the one-marker-at-a-time modeling strategy.</w:t>
      </w:r>
    </w:p>
    <w:p w14:paraId="3470FFFD" w14:textId="7783AEE6" w:rsidR="004322BB" w:rsidRDefault="00C3106F" w:rsidP="004322BB">
      <w:pPr>
        <w:spacing w:line="480" w:lineRule="auto"/>
        <w:jc w:val="both"/>
        <w:rPr>
          <w:rFonts w:asciiTheme="minorBidi" w:eastAsia="Times New Roman" w:hAnsiTheme="minorBidi"/>
          <w:kern w:val="0"/>
          <w14:ligatures w14:val="none"/>
        </w:rPr>
      </w:pPr>
      <w:r w:rsidRPr="00C3106F">
        <w:rPr>
          <w:rFonts w:asciiTheme="minorBidi" w:eastAsia="Times New Roman" w:hAnsiTheme="minorBidi"/>
          <w:kern w:val="0"/>
          <w14:ligatures w14:val="none"/>
        </w:rPr>
        <w:t>Assuming N = 175 and α = 0.05, correlations of 0.20–0.30 were specified for memory and 0.50–0.65 for cortical thickness. Power ranged from 0.76 to 0.98 for memory and was approximately 1.00 for cortical thickness</w:t>
      </w:r>
      <w:r w:rsidR="0035321C">
        <w:rPr>
          <w:rFonts w:asciiTheme="minorBidi" w:eastAsia="Times New Roman" w:hAnsiTheme="minorBidi"/>
          <w:kern w:val="0"/>
          <w14:ligatures w14:val="none"/>
        </w:rPr>
        <w:t xml:space="preserve"> (Figure 1)</w:t>
      </w:r>
      <w:r w:rsidRPr="00C3106F">
        <w:rPr>
          <w:rFonts w:asciiTheme="minorBidi" w:eastAsia="Times New Roman" w:hAnsiTheme="minorBidi"/>
          <w:kern w:val="0"/>
          <w14:ligatures w14:val="none"/>
        </w:rPr>
        <w:t xml:space="preserve">. These results indicate adequate power to detect moderate associations, particularly for cortical thickness. Because power increases with effect size, </w:t>
      </w:r>
      <w:r w:rsidR="004322BB" w:rsidRPr="004322BB">
        <w:rPr>
          <w:rFonts w:asciiTheme="minorBidi" w:eastAsia="Times New Roman" w:hAnsiTheme="minorBidi"/>
          <w:kern w:val="0"/>
          <w14:ligatures w14:val="none"/>
        </w:rPr>
        <w:t>adequate power under the most conservative assumptions supports equal or greater power under more favorable scenarios</w:t>
      </w:r>
    </w:p>
    <w:p w14:paraId="4365B784" w14:textId="77777777" w:rsidR="00622DC3" w:rsidRDefault="006301FD" w:rsidP="00622DC3">
      <w:pPr>
        <w:spacing w:line="480" w:lineRule="auto"/>
        <w:jc w:val="both"/>
        <w:rPr>
          <w:rFonts w:asciiTheme="minorBidi" w:eastAsia="Times New Roman" w:hAnsiTheme="minorBidi"/>
          <w:kern w:val="0"/>
          <w14:ligatures w14:val="none"/>
        </w:rPr>
      </w:pPr>
      <w:r w:rsidRPr="006301FD">
        <w:rPr>
          <w:rFonts w:asciiTheme="minorBidi" w:eastAsia="Times New Roman" w:hAnsiTheme="minorBidi"/>
          <w:b/>
          <w:bCs/>
          <w:kern w:val="0"/>
          <w14:ligatures w14:val="none"/>
        </w:rPr>
        <w:lastRenderedPageBreak/>
        <w:t>Aim 2</w:t>
      </w:r>
      <w:r w:rsidR="002C0E66">
        <w:rPr>
          <w:rFonts w:asciiTheme="minorBidi" w:eastAsia="Times New Roman" w:hAnsiTheme="minorBidi"/>
          <w:b/>
          <w:bCs/>
          <w:kern w:val="0"/>
          <w14:ligatures w14:val="none"/>
        </w:rPr>
        <w:t xml:space="preserve"> Power</w:t>
      </w:r>
      <w:r w:rsidR="002B5868" w:rsidRPr="002B5868">
        <w:rPr>
          <w:rFonts w:asciiTheme="minorBidi" w:eastAsia="Times New Roman" w:hAnsiTheme="minorBidi"/>
          <w:kern w:val="0"/>
          <w14:ligatures w14:val="none"/>
        </w:rPr>
        <w:t>:</w:t>
      </w:r>
      <w:r w:rsidR="002B5868" w:rsidRPr="002B5868">
        <w:t xml:space="preserve"> </w:t>
      </w:r>
      <w:r w:rsidR="00622DC3" w:rsidRPr="00622DC3">
        <w:rPr>
          <w:rFonts w:asciiTheme="minorBidi" w:eastAsia="Times New Roman" w:hAnsiTheme="minorBidi"/>
          <w:kern w:val="0"/>
          <w14:ligatures w14:val="none"/>
        </w:rPr>
        <w:t>Power for Aim 2 was calculated using two-sample correlation comparisons (corr.2samp), approximating the interaction as a difference in correlations between amyloid-negative and amyloid-positive groups. Amyloid was dichotomized using the SUVR threshold (≥ 1.10 vs. &lt; 1.10) for power calculation. For memory outcomes, the baseline marker–outcome correlation in the amyloid-negative group was conservatively set to -0.10; for cortical thickness, the corresponding baseline correlation was set to -0.25. Small, moderate, and large interaction effects were represented as absolute differences in correlations (</w:t>
      </w:r>
      <w:proofErr w:type="spellStart"/>
      <w:r w:rsidR="00622DC3" w:rsidRPr="00622DC3">
        <w:rPr>
          <w:rFonts w:asciiTheme="minorBidi" w:eastAsia="Times New Roman" w:hAnsiTheme="minorBidi"/>
          <w:kern w:val="0"/>
          <w14:ligatures w14:val="none"/>
        </w:rPr>
        <w:t>Δρ</w:t>
      </w:r>
      <w:proofErr w:type="spellEnd"/>
      <w:r w:rsidR="00622DC3" w:rsidRPr="00622DC3">
        <w:rPr>
          <w:rFonts w:asciiTheme="minorBidi" w:eastAsia="Times New Roman" w:hAnsiTheme="minorBidi"/>
          <w:kern w:val="0"/>
          <w14:ligatures w14:val="none"/>
        </w:rPr>
        <w:t>) of 0.15, 0.25, and 0.35 across amyloid groups, with the amyloid-positive group assumed to have a more negative marker–outcome association. Unequal group sizes (50/50 to 70/30) were assumed to reflect realistic amyloid prevalence. Power for memory outcomes ranged from approximately 0.17 to 0.63, increasing with larger interaction effects and more balanced group sizes. Power for cortical thickness was higher, ranging from approximately 0.19 to 0.82. Overall, power was lowest under the smallest interaction scenarios and under greater group imbalance, indicating better ability to detect moderate to large effects than small effects.</w:t>
      </w:r>
    </w:p>
    <w:p w14:paraId="0C3372A4" w14:textId="3DC18059" w:rsidR="00214B02" w:rsidRDefault="00DA3D42" w:rsidP="00622DC3">
      <w:pPr>
        <w:spacing w:line="480" w:lineRule="auto"/>
        <w:jc w:val="both"/>
        <w:rPr>
          <w:rFonts w:asciiTheme="minorBidi" w:hAnsiTheme="minorBidi"/>
        </w:rPr>
      </w:pPr>
      <w:r w:rsidRPr="00DA3D42">
        <w:rPr>
          <w:rFonts w:asciiTheme="minorBidi" w:hAnsiTheme="minorBidi"/>
          <w:b/>
          <w:bCs/>
        </w:rPr>
        <w:t>Type I Error Control</w:t>
      </w:r>
      <w:r w:rsidR="00CC555A">
        <w:rPr>
          <w:rFonts w:asciiTheme="minorBidi" w:hAnsiTheme="minorBidi"/>
          <w:b/>
          <w:bCs/>
        </w:rPr>
        <w:t xml:space="preserve">: </w:t>
      </w:r>
      <w:r w:rsidR="00214B02" w:rsidRPr="00214B02">
        <w:rPr>
          <w:rFonts w:asciiTheme="minorBidi" w:hAnsiTheme="minorBidi"/>
        </w:rPr>
        <w:t>Analyses will be conducted at a two-sided α = 0.05. For Aim 1, no formal Bonferroni or FDR correction will be applied, as primary inflammatory markers are pre-specified and biologically related. Given correlations among markers, inference will emphasize consistency in direction, magnitude, and pattern of associations across outcomes rather than isolated statistically significant findings. For Aim 2, interaction effects will be interpreted cautiously, with emphasis on effect sizes, confidence intervals, and consistency across outcomes</w:t>
      </w:r>
      <w:r w:rsidR="00A55B27">
        <w:rPr>
          <w:rFonts w:asciiTheme="minorBidi" w:hAnsiTheme="minorBidi"/>
        </w:rPr>
        <w:t>.</w:t>
      </w:r>
    </w:p>
    <w:p w14:paraId="6D44995B" w14:textId="77777777" w:rsidR="00797A9D" w:rsidRDefault="00797A9D" w:rsidP="00622DC3">
      <w:pPr>
        <w:spacing w:line="480" w:lineRule="auto"/>
        <w:jc w:val="both"/>
        <w:rPr>
          <w:rFonts w:asciiTheme="minorBidi" w:hAnsiTheme="minorBidi"/>
        </w:rPr>
      </w:pPr>
    </w:p>
    <w:p w14:paraId="68247EBF" w14:textId="118004A2" w:rsidR="00556DB3" w:rsidRPr="00CF51E7" w:rsidRDefault="00CF51E7" w:rsidP="00CF51E7">
      <w:pPr>
        <w:spacing w:line="480" w:lineRule="auto"/>
        <w:rPr>
          <w:rFonts w:asciiTheme="minorBidi" w:hAnsiTheme="minorBidi"/>
          <w:b/>
          <w:bCs/>
        </w:rPr>
      </w:pPr>
      <w:r w:rsidRPr="00CF51E7">
        <w:rPr>
          <w:rFonts w:asciiTheme="minorBidi" w:hAnsiTheme="minorBidi"/>
          <w:b/>
          <w:bCs/>
        </w:rPr>
        <w:lastRenderedPageBreak/>
        <w:t>Table 1. Primary Exposures and Covariates by Aim</w:t>
      </w:r>
    </w:p>
    <w:tbl>
      <w:tblPr>
        <w:tblStyle w:val="TableGrid"/>
        <w:tblW w:w="0" w:type="auto"/>
        <w:tblInd w:w="-365" w:type="dxa"/>
        <w:tblLook w:val="04A0" w:firstRow="1" w:lastRow="0" w:firstColumn="1" w:lastColumn="0" w:noHBand="0" w:noVBand="1"/>
      </w:tblPr>
      <w:tblGrid>
        <w:gridCol w:w="1044"/>
        <w:gridCol w:w="2235"/>
        <w:gridCol w:w="2335"/>
        <w:gridCol w:w="4101"/>
      </w:tblGrid>
      <w:tr w:rsidR="00C47282" w:rsidRPr="00C47282" w14:paraId="219F2A66" w14:textId="77777777" w:rsidTr="00E329B2">
        <w:tc>
          <w:tcPr>
            <w:tcW w:w="1044" w:type="dxa"/>
            <w:hideMark/>
          </w:tcPr>
          <w:p w14:paraId="774CC856" w14:textId="77777777" w:rsidR="00C47282" w:rsidRPr="00C47282" w:rsidRDefault="00C47282" w:rsidP="00A10628">
            <w:pPr>
              <w:spacing w:after="160" w:line="480" w:lineRule="auto"/>
              <w:rPr>
                <w:rFonts w:asciiTheme="minorBidi" w:hAnsiTheme="minorBidi"/>
                <w:b/>
                <w:bCs/>
              </w:rPr>
            </w:pPr>
            <w:r w:rsidRPr="00C47282">
              <w:rPr>
                <w:rFonts w:asciiTheme="minorBidi" w:hAnsiTheme="minorBidi"/>
                <w:b/>
                <w:bCs/>
              </w:rPr>
              <w:t>Aim</w:t>
            </w:r>
          </w:p>
        </w:tc>
        <w:tc>
          <w:tcPr>
            <w:tcW w:w="0" w:type="auto"/>
            <w:hideMark/>
          </w:tcPr>
          <w:p w14:paraId="57AE8047" w14:textId="77777777" w:rsidR="00C47282" w:rsidRPr="00C47282" w:rsidRDefault="00C47282" w:rsidP="00A10628">
            <w:pPr>
              <w:spacing w:after="160" w:line="480" w:lineRule="auto"/>
              <w:rPr>
                <w:rFonts w:asciiTheme="minorBidi" w:hAnsiTheme="minorBidi"/>
                <w:b/>
                <w:bCs/>
              </w:rPr>
            </w:pPr>
            <w:r w:rsidRPr="00C47282">
              <w:rPr>
                <w:rFonts w:asciiTheme="minorBidi" w:hAnsiTheme="minorBidi"/>
                <w:b/>
                <w:bCs/>
              </w:rPr>
              <w:t>Primary Exposures</w:t>
            </w:r>
          </w:p>
        </w:tc>
        <w:tc>
          <w:tcPr>
            <w:tcW w:w="0" w:type="auto"/>
            <w:hideMark/>
          </w:tcPr>
          <w:p w14:paraId="5C7C1981" w14:textId="77777777" w:rsidR="00C47282" w:rsidRPr="00C47282" w:rsidRDefault="00C47282" w:rsidP="00A10628">
            <w:pPr>
              <w:spacing w:after="160" w:line="480" w:lineRule="auto"/>
              <w:rPr>
                <w:rFonts w:asciiTheme="minorBidi" w:hAnsiTheme="minorBidi"/>
                <w:b/>
                <w:bCs/>
              </w:rPr>
            </w:pPr>
            <w:r w:rsidRPr="00C47282">
              <w:rPr>
                <w:rFonts w:asciiTheme="minorBidi" w:hAnsiTheme="minorBidi"/>
                <w:b/>
                <w:bCs/>
              </w:rPr>
              <w:t>Key Biomarkers</w:t>
            </w:r>
          </w:p>
        </w:tc>
        <w:tc>
          <w:tcPr>
            <w:tcW w:w="0" w:type="auto"/>
            <w:hideMark/>
          </w:tcPr>
          <w:p w14:paraId="1FEB516B" w14:textId="77777777" w:rsidR="00C47282" w:rsidRPr="00C47282" w:rsidRDefault="00C47282" w:rsidP="00A10628">
            <w:pPr>
              <w:spacing w:after="160" w:line="480" w:lineRule="auto"/>
              <w:rPr>
                <w:rFonts w:asciiTheme="minorBidi" w:hAnsiTheme="minorBidi"/>
                <w:b/>
                <w:bCs/>
              </w:rPr>
            </w:pPr>
            <w:r w:rsidRPr="00C47282">
              <w:rPr>
                <w:rFonts w:asciiTheme="minorBidi" w:hAnsiTheme="minorBidi"/>
                <w:b/>
                <w:bCs/>
              </w:rPr>
              <w:t>Covariates</w:t>
            </w:r>
          </w:p>
        </w:tc>
      </w:tr>
      <w:tr w:rsidR="00C47282" w:rsidRPr="00C47282" w14:paraId="776EAAFA" w14:textId="77777777" w:rsidTr="00E329B2">
        <w:tc>
          <w:tcPr>
            <w:tcW w:w="1044" w:type="dxa"/>
            <w:hideMark/>
          </w:tcPr>
          <w:p w14:paraId="722A4B31" w14:textId="77777777" w:rsidR="00C47282" w:rsidRPr="00C47282" w:rsidRDefault="00C47282" w:rsidP="00A10628">
            <w:pPr>
              <w:spacing w:after="160" w:line="480" w:lineRule="auto"/>
              <w:rPr>
                <w:rFonts w:asciiTheme="minorBidi" w:hAnsiTheme="minorBidi"/>
              </w:rPr>
            </w:pPr>
            <w:r w:rsidRPr="00C47282">
              <w:rPr>
                <w:rFonts w:asciiTheme="minorBidi" w:hAnsiTheme="minorBidi"/>
                <w:b/>
                <w:bCs/>
              </w:rPr>
              <w:t>Aim 1</w:t>
            </w:r>
          </w:p>
        </w:tc>
        <w:tc>
          <w:tcPr>
            <w:tcW w:w="0" w:type="auto"/>
            <w:hideMark/>
          </w:tcPr>
          <w:p w14:paraId="5B938338"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Peripheral inflammatory markers (baseline and 1-year change)</w:t>
            </w:r>
          </w:p>
        </w:tc>
        <w:tc>
          <w:tcPr>
            <w:tcW w:w="0" w:type="auto"/>
            <w:hideMark/>
          </w:tcPr>
          <w:p w14:paraId="451DF541" w14:textId="77777777" w:rsidR="00C47282" w:rsidRPr="00C47282" w:rsidRDefault="00C47282" w:rsidP="00A10628">
            <w:pPr>
              <w:spacing w:after="160" w:line="480" w:lineRule="auto"/>
              <w:rPr>
                <w:rFonts w:asciiTheme="minorBidi" w:hAnsiTheme="minorBidi"/>
                <w:lang w:val="fr-FR"/>
              </w:rPr>
            </w:pPr>
            <w:r w:rsidRPr="00C47282">
              <w:rPr>
                <w:rFonts w:asciiTheme="minorBidi" w:hAnsiTheme="minorBidi"/>
                <w:lang w:val="fr-FR"/>
              </w:rPr>
              <w:t>IL-6, TNF-</w:t>
            </w:r>
            <w:r w:rsidRPr="00C47282">
              <w:rPr>
                <w:rFonts w:asciiTheme="minorBidi" w:hAnsiTheme="minorBidi"/>
              </w:rPr>
              <w:t>α</w:t>
            </w:r>
            <w:r w:rsidRPr="00C47282">
              <w:rPr>
                <w:rFonts w:asciiTheme="minorBidi" w:hAnsiTheme="minorBidi"/>
                <w:lang w:val="fr-FR"/>
              </w:rPr>
              <w:t>, MCP-1, Eotaxin-1</w:t>
            </w:r>
          </w:p>
        </w:tc>
        <w:tc>
          <w:tcPr>
            <w:tcW w:w="0" w:type="auto"/>
            <w:hideMark/>
          </w:tcPr>
          <w:p w14:paraId="29568665" w14:textId="3FACBBDC" w:rsidR="00C47282" w:rsidRPr="00C47282" w:rsidRDefault="00C47282" w:rsidP="00A10628">
            <w:pPr>
              <w:spacing w:after="160" w:line="480" w:lineRule="auto"/>
              <w:rPr>
                <w:rFonts w:asciiTheme="minorBidi" w:hAnsiTheme="minorBidi"/>
              </w:rPr>
            </w:pPr>
            <w:r w:rsidRPr="00C47282">
              <w:rPr>
                <w:rFonts w:asciiTheme="minorBidi" w:hAnsiTheme="minorBidi"/>
              </w:rPr>
              <w:t>Age, sex</w:t>
            </w:r>
            <w:r w:rsidR="000E35EE">
              <w:rPr>
                <w:rFonts w:asciiTheme="minorBidi" w:hAnsiTheme="minorBidi"/>
              </w:rPr>
              <w:t>;</w:t>
            </w:r>
            <w:r w:rsidRPr="00C47282">
              <w:rPr>
                <w:rFonts w:asciiTheme="minorBidi" w:hAnsiTheme="minorBidi"/>
              </w:rPr>
              <w:t xml:space="preserve"> additional covariates </w:t>
            </w:r>
            <w:r w:rsidR="00E53361">
              <w:rPr>
                <w:rFonts w:asciiTheme="minorBidi" w:hAnsiTheme="minorBidi"/>
              </w:rPr>
              <w:t>(</w:t>
            </w:r>
            <w:r w:rsidR="0080737E" w:rsidRPr="00C47282">
              <w:rPr>
                <w:rFonts w:asciiTheme="minorBidi" w:hAnsiTheme="minorBidi"/>
              </w:rPr>
              <w:t xml:space="preserve">education </w:t>
            </w:r>
            <w:r w:rsidR="0080737E">
              <w:rPr>
                <w:rFonts w:asciiTheme="minorBidi" w:hAnsiTheme="minorBidi"/>
              </w:rPr>
              <w:t>,</w:t>
            </w:r>
            <w:r w:rsidRPr="00C47282">
              <w:rPr>
                <w:rFonts w:asciiTheme="minorBidi" w:hAnsiTheme="minorBidi"/>
              </w:rPr>
              <w:t>APOE genotype, BMI, hypercholesterolemia, NSAID use, immune-related conditions</w:t>
            </w:r>
            <w:r w:rsidR="00E53361">
              <w:rPr>
                <w:rFonts w:asciiTheme="minorBidi" w:hAnsiTheme="minorBidi"/>
              </w:rPr>
              <w:t>)</w:t>
            </w:r>
            <w:r w:rsidRPr="00C47282">
              <w:rPr>
                <w:rFonts w:asciiTheme="minorBidi" w:hAnsiTheme="minorBidi"/>
              </w:rPr>
              <w:t xml:space="preserve"> will be evaluated in sensitivity analyses</w:t>
            </w:r>
          </w:p>
        </w:tc>
      </w:tr>
      <w:tr w:rsidR="00C47282" w:rsidRPr="00C47282" w14:paraId="4527B03D" w14:textId="77777777" w:rsidTr="00E329B2">
        <w:tc>
          <w:tcPr>
            <w:tcW w:w="1044" w:type="dxa"/>
            <w:hideMark/>
          </w:tcPr>
          <w:p w14:paraId="6BA2344D" w14:textId="77777777" w:rsidR="00C47282" w:rsidRPr="00C47282" w:rsidRDefault="00C47282" w:rsidP="00A10628">
            <w:pPr>
              <w:spacing w:after="160" w:line="480" w:lineRule="auto"/>
              <w:rPr>
                <w:rFonts w:asciiTheme="minorBidi" w:hAnsiTheme="minorBidi"/>
              </w:rPr>
            </w:pPr>
          </w:p>
        </w:tc>
        <w:tc>
          <w:tcPr>
            <w:tcW w:w="0" w:type="auto"/>
            <w:hideMark/>
          </w:tcPr>
          <w:p w14:paraId="48BD5500"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Exploratory inflammatory markers</w:t>
            </w:r>
          </w:p>
        </w:tc>
        <w:tc>
          <w:tcPr>
            <w:tcW w:w="0" w:type="auto"/>
            <w:hideMark/>
          </w:tcPr>
          <w:p w14:paraId="2272B18D"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Additional cytokines (MSD panel)</w:t>
            </w:r>
          </w:p>
        </w:tc>
        <w:tc>
          <w:tcPr>
            <w:tcW w:w="0" w:type="auto"/>
            <w:hideMark/>
          </w:tcPr>
          <w:p w14:paraId="25122BD1"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Same as Aim 1</w:t>
            </w:r>
          </w:p>
        </w:tc>
      </w:tr>
      <w:tr w:rsidR="00C47282" w:rsidRPr="00C47282" w14:paraId="13EA1795" w14:textId="77777777" w:rsidTr="00E329B2">
        <w:tc>
          <w:tcPr>
            <w:tcW w:w="1044" w:type="dxa"/>
            <w:hideMark/>
          </w:tcPr>
          <w:p w14:paraId="1EA100A9" w14:textId="77777777" w:rsidR="00C47282" w:rsidRPr="00C47282" w:rsidRDefault="00C47282" w:rsidP="00A10628">
            <w:pPr>
              <w:spacing w:after="160" w:line="480" w:lineRule="auto"/>
              <w:rPr>
                <w:rFonts w:asciiTheme="minorBidi" w:hAnsiTheme="minorBidi"/>
              </w:rPr>
            </w:pPr>
          </w:p>
        </w:tc>
        <w:tc>
          <w:tcPr>
            <w:tcW w:w="0" w:type="auto"/>
            <w:hideMark/>
          </w:tcPr>
          <w:p w14:paraId="21A30779"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AD-related inflammatory markers</w:t>
            </w:r>
          </w:p>
        </w:tc>
        <w:tc>
          <w:tcPr>
            <w:tcW w:w="0" w:type="auto"/>
            <w:hideMark/>
          </w:tcPr>
          <w:p w14:paraId="066269A7"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 xml:space="preserve">Beta-2 </w:t>
            </w:r>
            <w:proofErr w:type="spellStart"/>
            <w:r w:rsidRPr="00C47282">
              <w:rPr>
                <w:rFonts w:asciiTheme="minorBidi" w:hAnsiTheme="minorBidi"/>
              </w:rPr>
              <w:t>microglobulin</w:t>
            </w:r>
            <w:proofErr w:type="spellEnd"/>
            <w:r w:rsidRPr="00C47282">
              <w:rPr>
                <w:rFonts w:asciiTheme="minorBidi" w:hAnsiTheme="minorBidi"/>
              </w:rPr>
              <w:t xml:space="preserve">, Alpha-1 </w:t>
            </w:r>
            <w:proofErr w:type="spellStart"/>
            <w:r w:rsidRPr="00C47282">
              <w:rPr>
                <w:rFonts w:asciiTheme="minorBidi" w:hAnsiTheme="minorBidi"/>
              </w:rPr>
              <w:t>antichymotrypsin</w:t>
            </w:r>
            <w:proofErr w:type="spellEnd"/>
          </w:p>
        </w:tc>
        <w:tc>
          <w:tcPr>
            <w:tcW w:w="0" w:type="auto"/>
            <w:hideMark/>
          </w:tcPr>
          <w:p w14:paraId="087BE418"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Same as Aim 1</w:t>
            </w:r>
          </w:p>
        </w:tc>
      </w:tr>
      <w:tr w:rsidR="00C47282" w:rsidRPr="00C47282" w14:paraId="4ACC6D0D" w14:textId="77777777" w:rsidTr="00E329B2">
        <w:tc>
          <w:tcPr>
            <w:tcW w:w="1044" w:type="dxa"/>
            <w:hideMark/>
          </w:tcPr>
          <w:p w14:paraId="16975EB6" w14:textId="77777777" w:rsidR="00C47282" w:rsidRPr="00C47282" w:rsidRDefault="00C47282" w:rsidP="00A10628">
            <w:pPr>
              <w:spacing w:after="160" w:line="480" w:lineRule="auto"/>
              <w:rPr>
                <w:rFonts w:asciiTheme="minorBidi" w:hAnsiTheme="minorBidi"/>
              </w:rPr>
            </w:pPr>
            <w:r w:rsidRPr="00C47282">
              <w:rPr>
                <w:rFonts w:asciiTheme="minorBidi" w:hAnsiTheme="minorBidi"/>
                <w:b/>
                <w:bCs/>
              </w:rPr>
              <w:t>Aim 2</w:t>
            </w:r>
          </w:p>
        </w:tc>
        <w:tc>
          <w:tcPr>
            <w:tcW w:w="0" w:type="auto"/>
            <w:hideMark/>
          </w:tcPr>
          <w:p w14:paraId="48192CB5"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Amyloid burden, inflammatory markers, amyloid × inflammation interaction</w:t>
            </w:r>
          </w:p>
        </w:tc>
        <w:tc>
          <w:tcPr>
            <w:tcW w:w="0" w:type="auto"/>
            <w:hideMark/>
          </w:tcPr>
          <w:p w14:paraId="08D4E543"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Same inflammatory markers as Aim 1</w:t>
            </w:r>
          </w:p>
        </w:tc>
        <w:tc>
          <w:tcPr>
            <w:tcW w:w="0" w:type="auto"/>
            <w:hideMark/>
          </w:tcPr>
          <w:p w14:paraId="6A6BF615" w14:textId="77777777" w:rsidR="00C47282" w:rsidRPr="00C47282" w:rsidRDefault="00C47282" w:rsidP="00A10628">
            <w:pPr>
              <w:spacing w:after="160" w:line="480" w:lineRule="auto"/>
              <w:rPr>
                <w:rFonts w:asciiTheme="minorBidi" w:hAnsiTheme="minorBidi"/>
              </w:rPr>
            </w:pPr>
            <w:r w:rsidRPr="00C47282">
              <w:rPr>
                <w:rFonts w:asciiTheme="minorBidi" w:hAnsiTheme="minorBidi"/>
              </w:rPr>
              <w:t>Same as Aim 1</w:t>
            </w:r>
          </w:p>
        </w:tc>
      </w:tr>
    </w:tbl>
    <w:p w14:paraId="7863C1D3" w14:textId="77777777" w:rsidR="005859AC" w:rsidRDefault="005859AC" w:rsidP="00A10628">
      <w:pPr>
        <w:spacing w:line="480" w:lineRule="auto"/>
        <w:rPr>
          <w:rFonts w:asciiTheme="minorBidi" w:hAnsiTheme="minorBidi"/>
        </w:rPr>
      </w:pPr>
    </w:p>
    <w:p w14:paraId="2DA2485F" w14:textId="52AE3357" w:rsidR="00063F33" w:rsidRDefault="00063F33" w:rsidP="00A10628">
      <w:pPr>
        <w:spacing w:line="480" w:lineRule="auto"/>
        <w:rPr>
          <w:rFonts w:asciiTheme="minorBidi" w:hAnsiTheme="minorBidi"/>
        </w:rPr>
      </w:pPr>
    </w:p>
    <w:p w14:paraId="556BACFF" w14:textId="3546EA19" w:rsidR="00063F33" w:rsidRDefault="0059550F" w:rsidP="00A10628">
      <w:pPr>
        <w:spacing w:line="480" w:lineRule="auto"/>
        <w:rPr>
          <w:rFonts w:asciiTheme="minorBidi" w:hAnsiTheme="minorBidi"/>
        </w:rPr>
      </w:pPr>
      <w:r>
        <w:rPr>
          <w:rFonts w:asciiTheme="minorBidi" w:hAnsiTheme="minorBidi"/>
          <w:noProof/>
        </w:rPr>
        <w:drawing>
          <wp:anchor distT="0" distB="0" distL="114300" distR="114300" simplePos="0" relativeHeight="251658240" behindDoc="1" locked="0" layoutInCell="1" allowOverlap="1" wp14:anchorId="0453AAE0" wp14:editId="7A5E1C96">
            <wp:simplePos x="0" y="0"/>
            <wp:positionH relativeFrom="margin">
              <wp:align>right</wp:align>
            </wp:positionH>
            <wp:positionV relativeFrom="paragraph">
              <wp:posOffset>448945</wp:posOffset>
            </wp:positionV>
            <wp:extent cx="5943600" cy="3511550"/>
            <wp:effectExtent l="0" t="0" r="0" b="0"/>
            <wp:wrapTight wrapText="bothSides">
              <wp:wrapPolygon edited="0">
                <wp:start x="0" y="0"/>
                <wp:lineTo x="0" y="21444"/>
                <wp:lineTo x="21531" y="21444"/>
                <wp:lineTo x="21531" y="0"/>
                <wp:lineTo x="0" y="0"/>
              </wp:wrapPolygon>
            </wp:wrapTight>
            <wp:docPr id="1712795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95401" name="Picture 17127954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11550"/>
                    </a:xfrm>
                    <a:prstGeom prst="rect">
                      <a:avLst/>
                    </a:prstGeom>
                  </pic:spPr>
                </pic:pic>
              </a:graphicData>
            </a:graphic>
            <wp14:sizeRelV relativeFrom="margin">
              <wp14:pctHeight>0</wp14:pctHeight>
            </wp14:sizeRelV>
          </wp:anchor>
        </w:drawing>
      </w:r>
    </w:p>
    <w:p w14:paraId="40FE7514" w14:textId="43A53DF6" w:rsidR="00063F33" w:rsidRDefault="00063F33" w:rsidP="00A10628">
      <w:pPr>
        <w:spacing w:line="480" w:lineRule="auto"/>
        <w:rPr>
          <w:rFonts w:asciiTheme="minorBidi" w:hAnsiTheme="minorBidi"/>
        </w:rPr>
      </w:pPr>
    </w:p>
    <w:p w14:paraId="73CB9EEA" w14:textId="77777777" w:rsidR="00063F33" w:rsidRDefault="00063F33" w:rsidP="00063F33">
      <w:pPr>
        <w:rPr>
          <w:rFonts w:asciiTheme="minorBidi" w:hAnsiTheme="minorBidi"/>
        </w:rPr>
      </w:pPr>
    </w:p>
    <w:p w14:paraId="3B23ABFE" w14:textId="628A07D6" w:rsidR="00063F33" w:rsidRDefault="00063F33" w:rsidP="00063F33">
      <w:pPr>
        <w:tabs>
          <w:tab w:val="left" w:pos="2504"/>
        </w:tabs>
        <w:rPr>
          <w:rFonts w:asciiTheme="minorBidi" w:hAnsiTheme="minorBidi"/>
        </w:rPr>
      </w:pPr>
      <w:r>
        <w:rPr>
          <w:rFonts w:asciiTheme="minorBidi" w:hAnsiTheme="minorBidi"/>
        </w:rPr>
        <w:tab/>
      </w:r>
    </w:p>
    <w:p w14:paraId="27E61581" w14:textId="77777777" w:rsidR="00063F33" w:rsidRDefault="00063F33" w:rsidP="00063F33">
      <w:pPr>
        <w:tabs>
          <w:tab w:val="left" w:pos="2504"/>
        </w:tabs>
        <w:rPr>
          <w:rFonts w:asciiTheme="minorBidi" w:hAnsiTheme="minorBidi"/>
        </w:rPr>
      </w:pPr>
    </w:p>
    <w:p w14:paraId="16221D1B" w14:textId="77777777" w:rsidR="00063F33" w:rsidRDefault="00063F33" w:rsidP="00063F33">
      <w:pPr>
        <w:tabs>
          <w:tab w:val="left" w:pos="2504"/>
        </w:tabs>
        <w:rPr>
          <w:rFonts w:asciiTheme="minorBidi" w:hAnsiTheme="minorBidi"/>
        </w:rPr>
      </w:pPr>
    </w:p>
    <w:p w14:paraId="1E65B974" w14:textId="77777777" w:rsidR="00063F33" w:rsidRDefault="00063F33" w:rsidP="00063F33">
      <w:pPr>
        <w:tabs>
          <w:tab w:val="left" w:pos="2504"/>
        </w:tabs>
        <w:rPr>
          <w:rFonts w:asciiTheme="minorBidi" w:hAnsiTheme="minorBidi"/>
        </w:rPr>
      </w:pPr>
    </w:p>
    <w:p w14:paraId="6E74B519" w14:textId="77777777" w:rsidR="00063F33" w:rsidRDefault="00063F33" w:rsidP="00063F33">
      <w:pPr>
        <w:tabs>
          <w:tab w:val="left" w:pos="2504"/>
        </w:tabs>
        <w:rPr>
          <w:rFonts w:asciiTheme="minorBidi" w:hAnsiTheme="minorBidi"/>
        </w:rPr>
      </w:pPr>
    </w:p>
    <w:p w14:paraId="57B6A5B3" w14:textId="77777777" w:rsidR="00063F33" w:rsidRDefault="00063F33" w:rsidP="00063F33">
      <w:pPr>
        <w:tabs>
          <w:tab w:val="left" w:pos="2504"/>
        </w:tabs>
        <w:rPr>
          <w:rFonts w:asciiTheme="minorBidi" w:hAnsiTheme="minorBidi"/>
        </w:rPr>
      </w:pPr>
    </w:p>
    <w:p w14:paraId="30D0575C" w14:textId="77777777" w:rsidR="00063F33" w:rsidRDefault="00063F33" w:rsidP="00063F33">
      <w:pPr>
        <w:tabs>
          <w:tab w:val="left" w:pos="2504"/>
        </w:tabs>
        <w:rPr>
          <w:rFonts w:asciiTheme="minorBidi" w:hAnsiTheme="minorBidi"/>
        </w:rPr>
      </w:pPr>
    </w:p>
    <w:p w14:paraId="73978F97" w14:textId="77777777" w:rsidR="00063F33" w:rsidRDefault="00063F33" w:rsidP="00063F33">
      <w:pPr>
        <w:tabs>
          <w:tab w:val="left" w:pos="2504"/>
        </w:tabs>
        <w:rPr>
          <w:rFonts w:asciiTheme="minorBidi" w:hAnsiTheme="minorBidi"/>
        </w:rPr>
      </w:pPr>
    </w:p>
    <w:p w14:paraId="1442E59F" w14:textId="46B1DABC" w:rsidR="00063F33" w:rsidRDefault="00063F33" w:rsidP="00063F33">
      <w:pPr>
        <w:tabs>
          <w:tab w:val="left" w:pos="2504"/>
        </w:tabs>
        <w:rPr>
          <w:rFonts w:asciiTheme="minorBidi" w:hAnsiTheme="minorBidi"/>
        </w:rPr>
      </w:pPr>
    </w:p>
    <w:p w14:paraId="0B8B5BDC" w14:textId="1227F7F4" w:rsidR="00063F33" w:rsidRDefault="00063F33" w:rsidP="00063F33">
      <w:pPr>
        <w:tabs>
          <w:tab w:val="left" w:pos="2504"/>
        </w:tabs>
        <w:rPr>
          <w:rFonts w:asciiTheme="minorBidi" w:hAnsiTheme="minorBidi"/>
          <w:noProof/>
        </w:rPr>
      </w:pPr>
    </w:p>
    <w:p w14:paraId="58800B6C" w14:textId="179AF156" w:rsidR="00B97723" w:rsidRDefault="00B97723" w:rsidP="00063F33">
      <w:pPr>
        <w:tabs>
          <w:tab w:val="left" w:pos="2504"/>
        </w:tabs>
        <w:rPr>
          <w:rFonts w:asciiTheme="minorBidi" w:hAnsiTheme="minorBidi"/>
          <w:noProof/>
        </w:rPr>
      </w:pPr>
    </w:p>
    <w:p w14:paraId="519AB703" w14:textId="6263D323" w:rsidR="00B97723" w:rsidRDefault="00B97723" w:rsidP="00063F33">
      <w:pPr>
        <w:tabs>
          <w:tab w:val="left" w:pos="2504"/>
        </w:tabs>
        <w:rPr>
          <w:rFonts w:asciiTheme="minorBidi" w:hAnsiTheme="minorBidi"/>
          <w:noProof/>
        </w:rPr>
      </w:pPr>
    </w:p>
    <w:p w14:paraId="00C59841" w14:textId="77777777" w:rsidR="0052179D" w:rsidRDefault="0052179D" w:rsidP="00063F33">
      <w:pPr>
        <w:tabs>
          <w:tab w:val="left" w:pos="2504"/>
        </w:tabs>
        <w:rPr>
          <w:rFonts w:asciiTheme="minorBidi" w:hAnsiTheme="minorBidi"/>
          <w:noProof/>
        </w:rPr>
      </w:pPr>
    </w:p>
    <w:p w14:paraId="3C18EC6F" w14:textId="2151D806" w:rsidR="0052179D" w:rsidRDefault="00BA2CC2" w:rsidP="00063F33">
      <w:pPr>
        <w:tabs>
          <w:tab w:val="left" w:pos="2504"/>
        </w:tabs>
        <w:rPr>
          <w:rFonts w:asciiTheme="minorBidi" w:hAnsiTheme="minorBidi"/>
          <w:noProof/>
        </w:rPr>
      </w:pPr>
      <w:r>
        <w:rPr>
          <w:rFonts w:asciiTheme="minorBidi" w:hAnsiTheme="minorBidi"/>
          <w:noProof/>
        </w:rPr>
        <w:drawing>
          <wp:inline distT="0" distB="0" distL="0" distR="0" wp14:anchorId="5BD930F9" wp14:editId="0E45F919">
            <wp:extent cx="5943600" cy="3467100"/>
            <wp:effectExtent l="0" t="0" r="0" b="0"/>
            <wp:docPr id="1301141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1033" name="Picture 13011410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43D4426" w14:textId="6D6C5932" w:rsidR="0052179D" w:rsidRDefault="0052179D" w:rsidP="0052179D">
      <w:pPr>
        <w:tabs>
          <w:tab w:val="left" w:pos="2504"/>
        </w:tabs>
        <w:rPr>
          <w:rFonts w:asciiTheme="minorBidi" w:hAnsiTheme="minorBidi"/>
        </w:rPr>
      </w:pPr>
      <w:r>
        <w:rPr>
          <w:rFonts w:asciiTheme="minorBidi" w:hAnsiTheme="minorBidi"/>
        </w:rPr>
        <w:tab/>
      </w:r>
    </w:p>
    <w:p w14:paraId="3C84F076" w14:textId="77777777" w:rsidR="005B2BB0" w:rsidRDefault="005B2BB0" w:rsidP="0052179D">
      <w:pPr>
        <w:tabs>
          <w:tab w:val="left" w:pos="2504"/>
        </w:tabs>
        <w:rPr>
          <w:rFonts w:asciiTheme="minorBidi" w:hAnsiTheme="minorBidi"/>
        </w:rPr>
      </w:pPr>
    </w:p>
    <w:p w14:paraId="051AC334" w14:textId="77777777" w:rsidR="003E19AC" w:rsidRDefault="003E19AC" w:rsidP="0052179D">
      <w:pPr>
        <w:tabs>
          <w:tab w:val="left" w:pos="2504"/>
        </w:tabs>
        <w:rPr>
          <w:rFonts w:asciiTheme="minorBidi" w:hAnsiTheme="minorBidi"/>
        </w:rPr>
      </w:pPr>
    </w:p>
    <w:p w14:paraId="3E4EBC68" w14:textId="77777777" w:rsidR="003E19AC" w:rsidRDefault="003E19AC" w:rsidP="0052179D">
      <w:pPr>
        <w:tabs>
          <w:tab w:val="left" w:pos="2504"/>
        </w:tabs>
        <w:rPr>
          <w:rFonts w:asciiTheme="minorBidi" w:hAnsiTheme="minorBidi"/>
        </w:rPr>
      </w:pPr>
    </w:p>
    <w:p w14:paraId="7BB929A4" w14:textId="77777777" w:rsidR="003E19AC" w:rsidRDefault="003E19AC" w:rsidP="0052179D">
      <w:pPr>
        <w:tabs>
          <w:tab w:val="left" w:pos="2504"/>
        </w:tabs>
        <w:rPr>
          <w:rFonts w:asciiTheme="minorBidi" w:hAnsiTheme="minorBidi"/>
        </w:rPr>
      </w:pPr>
    </w:p>
    <w:p w14:paraId="780A7C44" w14:textId="77777777" w:rsidR="003E19AC" w:rsidRDefault="003E19AC" w:rsidP="0052179D">
      <w:pPr>
        <w:tabs>
          <w:tab w:val="left" w:pos="2504"/>
        </w:tabs>
        <w:rPr>
          <w:rFonts w:asciiTheme="minorBidi" w:hAnsiTheme="minorBidi"/>
        </w:rPr>
      </w:pPr>
    </w:p>
    <w:p w14:paraId="638698FE" w14:textId="77777777" w:rsidR="003E19AC" w:rsidRDefault="003E19AC" w:rsidP="0052179D">
      <w:pPr>
        <w:tabs>
          <w:tab w:val="left" w:pos="2504"/>
        </w:tabs>
        <w:rPr>
          <w:rFonts w:asciiTheme="minorBidi" w:hAnsiTheme="minorBidi"/>
        </w:rPr>
      </w:pPr>
    </w:p>
    <w:p w14:paraId="784B0C05" w14:textId="77777777" w:rsidR="003E19AC" w:rsidRDefault="003E19AC" w:rsidP="0052179D">
      <w:pPr>
        <w:tabs>
          <w:tab w:val="left" w:pos="2504"/>
        </w:tabs>
        <w:rPr>
          <w:rFonts w:asciiTheme="minorBidi" w:hAnsiTheme="minorBidi"/>
        </w:rPr>
      </w:pPr>
    </w:p>
    <w:p w14:paraId="47C22415" w14:textId="77777777" w:rsidR="003E19AC" w:rsidRDefault="003E19AC" w:rsidP="0052179D">
      <w:pPr>
        <w:tabs>
          <w:tab w:val="left" w:pos="2504"/>
        </w:tabs>
        <w:rPr>
          <w:rFonts w:asciiTheme="minorBidi" w:hAnsiTheme="minorBidi"/>
        </w:rPr>
      </w:pPr>
    </w:p>
    <w:p w14:paraId="47424623" w14:textId="14898272" w:rsidR="003E19AC" w:rsidRDefault="003E19AC" w:rsidP="0052179D">
      <w:pPr>
        <w:tabs>
          <w:tab w:val="left" w:pos="2504"/>
        </w:tabs>
        <w:rPr>
          <w:rFonts w:asciiTheme="minorBidi" w:hAnsiTheme="minorBidi"/>
        </w:rPr>
      </w:pPr>
    </w:p>
    <w:p w14:paraId="383EDB12" w14:textId="77777777" w:rsidR="005B2BB0" w:rsidRDefault="005B2BB0" w:rsidP="0052179D">
      <w:pPr>
        <w:tabs>
          <w:tab w:val="left" w:pos="2504"/>
        </w:tabs>
        <w:rPr>
          <w:rFonts w:asciiTheme="minorBidi" w:hAnsiTheme="minorBidi"/>
        </w:rPr>
      </w:pPr>
    </w:p>
    <w:p w14:paraId="34F105A5" w14:textId="77777777" w:rsidR="005B2BB0" w:rsidRDefault="005B2BB0" w:rsidP="0052179D">
      <w:pPr>
        <w:tabs>
          <w:tab w:val="left" w:pos="2504"/>
        </w:tabs>
        <w:rPr>
          <w:rFonts w:asciiTheme="minorBidi" w:hAnsiTheme="minorBidi"/>
        </w:rPr>
      </w:pPr>
    </w:p>
    <w:p w14:paraId="455DE330" w14:textId="77777777" w:rsidR="005B2BB0" w:rsidRDefault="005B2BB0" w:rsidP="0052179D">
      <w:pPr>
        <w:tabs>
          <w:tab w:val="left" w:pos="2504"/>
        </w:tabs>
        <w:rPr>
          <w:rFonts w:asciiTheme="minorBidi" w:hAnsiTheme="minorBidi"/>
        </w:rPr>
      </w:pPr>
    </w:p>
    <w:p w14:paraId="488FB830" w14:textId="77777777" w:rsidR="004D0CBF" w:rsidRDefault="004D0CBF" w:rsidP="004D0CBF">
      <w:pPr>
        <w:ind w:firstLine="720"/>
        <w:rPr>
          <w:rFonts w:ascii="Calibri" w:hAnsi="Calibri" w:cs="Calibri"/>
          <w:b/>
          <w:bCs/>
        </w:rPr>
      </w:pPr>
      <w:r w:rsidRPr="006D72F9">
        <w:rPr>
          <w:rFonts w:ascii="Calibri" w:hAnsi="Calibri" w:cs="Calibri"/>
          <w:b/>
          <w:bCs/>
        </w:rPr>
        <w:t>Raw Data</w:t>
      </w:r>
    </w:p>
    <w:p w14:paraId="4C99DEA1" w14:textId="7DBADDF9" w:rsidR="004D0CBF" w:rsidRPr="00C95017" w:rsidRDefault="004D0CBF" w:rsidP="004D0CBF">
      <w:pPr>
        <w:ind w:left="720"/>
        <w:rPr>
          <w:rFonts w:ascii="Calibri" w:hAnsi="Calibri" w:cs="Calibri"/>
        </w:rPr>
      </w:pPr>
      <w:r w:rsidRPr="00C95017">
        <w:rPr>
          <w:rFonts w:ascii="Calibri" w:hAnsi="Calibri" w:cs="Calibri"/>
        </w:rPr>
        <w:t xml:space="preserve">Because </w:t>
      </w:r>
      <w:r>
        <w:rPr>
          <w:rFonts w:ascii="Calibri" w:hAnsi="Calibri" w:cs="Calibri"/>
        </w:rPr>
        <w:t>preliminary dataset</w:t>
      </w:r>
      <w:r w:rsidRPr="00C95017">
        <w:rPr>
          <w:rFonts w:ascii="Calibri" w:hAnsi="Calibri" w:cs="Calibri"/>
        </w:rPr>
        <w:t xml:space="preserve"> is not publicly accessible, it has not been uploaded to GitHub. The original raw data were obtained from the BIOS6624 Canvas site under the </w:t>
      </w:r>
      <w:r>
        <w:rPr>
          <w:rFonts w:ascii="Calibri" w:hAnsi="Calibri" w:cs="Calibri"/>
        </w:rPr>
        <w:t>Project 2 module</w:t>
      </w:r>
      <w:r w:rsidRPr="00C95017">
        <w:rPr>
          <w:rFonts w:ascii="Calibri" w:hAnsi="Calibri" w:cs="Calibri"/>
        </w:rPr>
        <w:t xml:space="preserve">. </w:t>
      </w:r>
      <w:r>
        <w:rPr>
          <w:rFonts w:ascii="Calibri" w:hAnsi="Calibri" w:cs="Calibri"/>
        </w:rPr>
        <w:t>This dataset is</w:t>
      </w:r>
      <w:r w:rsidRPr="00C95017">
        <w:rPr>
          <w:rFonts w:ascii="Calibri" w:hAnsi="Calibri" w:cs="Calibri"/>
        </w:rPr>
        <w:t xml:space="preserve"> used to produce these </w:t>
      </w:r>
      <w:r>
        <w:rPr>
          <w:rFonts w:ascii="Calibri" w:hAnsi="Calibri" w:cs="Calibri"/>
        </w:rPr>
        <w:t>correlation</w:t>
      </w:r>
      <w:r w:rsidRPr="00C95017">
        <w:rPr>
          <w:rFonts w:ascii="Calibri" w:hAnsi="Calibri" w:cs="Calibri"/>
        </w:rPr>
        <w:t xml:space="preserve"> stored locally on my computer at:</w:t>
      </w:r>
    </w:p>
    <w:p w14:paraId="0E86AF6D" w14:textId="77777777" w:rsidR="004D0CBF" w:rsidRDefault="004D0CBF" w:rsidP="004D0CBF">
      <w:pPr>
        <w:ind w:firstLine="720"/>
        <w:rPr>
          <w:rFonts w:ascii="Calibri" w:hAnsi="Calibri" w:cs="Calibri"/>
          <w:b/>
          <w:bCs/>
          <w:color w:val="0B769F" w:themeColor="accent4" w:themeShade="BF"/>
        </w:rPr>
      </w:pPr>
      <w:r w:rsidRPr="004D0CBF">
        <w:rPr>
          <w:rFonts w:ascii="Calibri" w:hAnsi="Calibri" w:cs="Calibri"/>
          <w:b/>
          <w:bCs/>
          <w:color w:val="0B769F" w:themeColor="accent4" w:themeShade="BF"/>
        </w:rPr>
        <w:t>C:\Users\mojde\Desktop\Documents\BIOS-6624-Projects\Project2\DataPrelim</w:t>
      </w:r>
    </w:p>
    <w:p w14:paraId="575EC566" w14:textId="0C009CA9" w:rsidR="004D0CBF" w:rsidRDefault="004D0CBF" w:rsidP="004D0CBF">
      <w:pPr>
        <w:ind w:firstLine="720"/>
        <w:rPr>
          <w:rFonts w:ascii="Calibri" w:hAnsi="Calibri" w:cs="Calibri"/>
          <w:b/>
          <w:bCs/>
          <w:lang w:bidi="fa-IR"/>
        </w:rPr>
      </w:pPr>
      <w:r>
        <w:rPr>
          <w:rFonts w:ascii="Calibri" w:hAnsi="Calibri" w:cs="Calibri"/>
          <w:b/>
          <w:bCs/>
        </w:rPr>
        <w:t>R code</w:t>
      </w:r>
    </w:p>
    <w:p w14:paraId="64DA1908" w14:textId="513BC4B6" w:rsidR="005B2BB0" w:rsidRPr="00653469" w:rsidRDefault="000824CF" w:rsidP="00653469">
      <w:pPr>
        <w:tabs>
          <w:tab w:val="left" w:pos="2504"/>
        </w:tabs>
        <w:ind w:left="720"/>
        <w:rPr>
          <w:rFonts w:asciiTheme="minorBidi" w:hAnsiTheme="minorBidi"/>
          <w:b/>
          <w:bCs/>
          <w:color w:val="0B769F" w:themeColor="accent4" w:themeShade="BF"/>
        </w:rPr>
      </w:pPr>
      <w:hyperlink r:id="rId9" w:history="1">
        <w:r w:rsidR="00653469" w:rsidRPr="000824CF">
          <w:rPr>
            <w:rStyle w:val="Hyperlink"/>
            <w:b/>
            <w:bCs/>
          </w:rPr>
          <w:t>https://github.com/mojdemir/BIOS-6624-Projects/tree/main/Project2/Code</w:t>
        </w:r>
      </w:hyperlink>
      <w:r>
        <w:rPr>
          <w:b/>
          <w:bCs/>
          <w:color w:val="0B769F" w:themeColor="accent4" w:themeShade="BF"/>
        </w:rPr>
        <w:t xml:space="preserve"> </w:t>
      </w:r>
    </w:p>
    <w:p w14:paraId="6081E543" w14:textId="77777777" w:rsidR="005B2BB0" w:rsidRDefault="005B2BB0" w:rsidP="0052179D">
      <w:pPr>
        <w:tabs>
          <w:tab w:val="left" w:pos="2504"/>
        </w:tabs>
        <w:rPr>
          <w:rFonts w:asciiTheme="minorBidi" w:hAnsiTheme="minorBidi"/>
        </w:rPr>
      </w:pPr>
    </w:p>
    <w:p w14:paraId="7CAEF46B" w14:textId="2B37A78A" w:rsidR="005B2BB0" w:rsidRPr="0052179D" w:rsidRDefault="005B2BB0" w:rsidP="0052179D">
      <w:pPr>
        <w:tabs>
          <w:tab w:val="left" w:pos="2504"/>
        </w:tabs>
        <w:rPr>
          <w:rFonts w:asciiTheme="minorBidi" w:hAnsiTheme="minorBidi"/>
        </w:rPr>
      </w:pPr>
    </w:p>
    <w:sectPr w:rsidR="005B2BB0" w:rsidRPr="0052179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30F64" w14:textId="77777777" w:rsidR="00D1730E" w:rsidRDefault="00D1730E" w:rsidP="003375D4">
      <w:pPr>
        <w:spacing w:after="0" w:line="240" w:lineRule="auto"/>
      </w:pPr>
      <w:r>
        <w:separator/>
      </w:r>
    </w:p>
  </w:endnote>
  <w:endnote w:type="continuationSeparator" w:id="0">
    <w:p w14:paraId="43AF797E" w14:textId="77777777" w:rsidR="00D1730E" w:rsidRDefault="00D1730E" w:rsidP="00337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658754"/>
      <w:docPartObj>
        <w:docPartGallery w:val="Page Numbers (Bottom of Page)"/>
        <w:docPartUnique/>
      </w:docPartObj>
    </w:sdtPr>
    <w:sdtEndPr>
      <w:rPr>
        <w:color w:val="7F7F7F" w:themeColor="background1" w:themeShade="7F"/>
        <w:spacing w:val="60"/>
      </w:rPr>
    </w:sdtEndPr>
    <w:sdtContent>
      <w:p w14:paraId="2A125888" w14:textId="1CDFF0E0" w:rsidR="003375D4" w:rsidRDefault="003375D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4502241" w14:textId="77777777" w:rsidR="003375D4" w:rsidRDefault="00337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2FD51" w14:textId="77777777" w:rsidR="00D1730E" w:rsidRDefault="00D1730E" w:rsidP="003375D4">
      <w:pPr>
        <w:spacing w:after="0" w:line="240" w:lineRule="auto"/>
      </w:pPr>
      <w:r>
        <w:separator/>
      </w:r>
    </w:p>
  </w:footnote>
  <w:footnote w:type="continuationSeparator" w:id="0">
    <w:p w14:paraId="70D9979D" w14:textId="77777777" w:rsidR="00D1730E" w:rsidRDefault="00D1730E" w:rsidP="00337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900"/>
    <w:multiLevelType w:val="multilevel"/>
    <w:tmpl w:val="369E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46F7B"/>
    <w:multiLevelType w:val="multilevel"/>
    <w:tmpl w:val="1B96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420330">
    <w:abstractNumId w:val="0"/>
  </w:num>
  <w:num w:numId="2" w16cid:durableId="115182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9AC"/>
    <w:rsid w:val="00004929"/>
    <w:rsid w:val="0001302C"/>
    <w:rsid w:val="00031464"/>
    <w:rsid w:val="00063F33"/>
    <w:rsid w:val="00064020"/>
    <w:rsid w:val="0007749E"/>
    <w:rsid w:val="00081315"/>
    <w:rsid w:val="000824CF"/>
    <w:rsid w:val="00082C82"/>
    <w:rsid w:val="00085BDC"/>
    <w:rsid w:val="000A5B93"/>
    <w:rsid w:val="000A6320"/>
    <w:rsid w:val="000C3770"/>
    <w:rsid w:val="000D4170"/>
    <w:rsid w:val="000D7E26"/>
    <w:rsid w:val="000E0E77"/>
    <w:rsid w:val="000E35EE"/>
    <w:rsid w:val="000E43AF"/>
    <w:rsid w:val="000E45AF"/>
    <w:rsid w:val="000E7FC0"/>
    <w:rsid w:val="000F40E5"/>
    <w:rsid w:val="0010338E"/>
    <w:rsid w:val="00105B0E"/>
    <w:rsid w:val="0011658A"/>
    <w:rsid w:val="001333D5"/>
    <w:rsid w:val="00135BDF"/>
    <w:rsid w:val="0014488D"/>
    <w:rsid w:val="00147D4E"/>
    <w:rsid w:val="001617D0"/>
    <w:rsid w:val="00164864"/>
    <w:rsid w:val="00165D46"/>
    <w:rsid w:val="00184F5B"/>
    <w:rsid w:val="00187D55"/>
    <w:rsid w:val="00196899"/>
    <w:rsid w:val="00197656"/>
    <w:rsid w:val="001A0A7A"/>
    <w:rsid w:val="001C2FE4"/>
    <w:rsid w:val="001D407F"/>
    <w:rsid w:val="001E11F7"/>
    <w:rsid w:val="001F6490"/>
    <w:rsid w:val="00202FA1"/>
    <w:rsid w:val="00214B02"/>
    <w:rsid w:val="0021720A"/>
    <w:rsid w:val="00226458"/>
    <w:rsid w:val="0024071A"/>
    <w:rsid w:val="00242CD0"/>
    <w:rsid w:val="00245A92"/>
    <w:rsid w:val="00282125"/>
    <w:rsid w:val="0028382C"/>
    <w:rsid w:val="002B5868"/>
    <w:rsid w:val="002B5A3C"/>
    <w:rsid w:val="002C0E66"/>
    <w:rsid w:val="002D117B"/>
    <w:rsid w:val="002E249E"/>
    <w:rsid w:val="002F264F"/>
    <w:rsid w:val="0030230F"/>
    <w:rsid w:val="00302B7E"/>
    <w:rsid w:val="00307EFC"/>
    <w:rsid w:val="003245DB"/>
    <w:rsid w:val="00326BFB"/>
    <w:rsid w:val="00335E27"/>
    <w:rsid w:val="003375D4"/>
    <w:rsid w:val="0035321C"/>
    <w:rsid w:val="00353649"/>
    <w:rsid w:val="00365449"/>
    <w:rsid w:val="003945C0"/>
    <w:rsid w:val="003B3611"/>
    <w:rsid w:val="003B4903"/>
    <w:rsid w:val="003C20D0"/>
    <w:rsid w:val="003C5E61"/>
    <w:rsid w:val="003D4310"/>
    <w:rsid w:val="003E0868"/>
    <w:rsid w:val="003E19AC"/>
    <w:rsid w:val="003E2ECA"/>
    <w:rsid w:val="003F406A"/>
    <w:rsid w:val="00405DC7"/>
    <w:rsid w:val="00411D29"/>
    <w:rsid w:val="00414D67"/>
    <w:rsid w:val="00425C3C"/>
    <w:rsid w:val="00431BF0"/>
    <w:rsid w:val="004322BB"/>
    <w:rsid w:val="004335E9"/>
    <w:rsid w:val="00435632"/>
    <w:rsid w:val="0046210C"/>
    <w:rsid w:val="00474279"/>
    <w:rsid w:val="00475A6E"/>
    <w:rsid w:val="004871E7"/>
    <w:rsid w:val="004A38CA"/>
    <w:rsid w:val="004A6D16"/>
    <w:rsid w:val="004B49CF"/>
    <w:rsid w:val="004D0CBF"/>
    <w:rsid w:val="004D5299"/>
    <w:rsid w:val="004E555F"/>
    <w:rsid w:val="004F17CA"/>
    <w:rsid w:val="00507F04"/>
    <w:rsid w:val="00511961"/>
    <w:rsid w:val="00512BD6"/>
    <w:rsid w:val="0052179D"/>
    <w:rsid w:val="005566BD"/>
    <w:rsid w:val="00556DB3"/>
    <w:rsid w:val="005735F4"/>
    <w:rsid w:val="00576713"/>
    <w:rsid w:val="00576F1B"/>
    <w:rsid w:val="005817A2"/>
    <w:rsid w:val="00585562"/>
    <w:rsid w:val="005859AC"/>
    <w:rsid w:val="0059550F"/>
    <w:rsid w:val="00595D7B"/>
    <w:rsid w:val="005A350B"/>
    <w:rsid w:val="005B2BB0"/>
    <w:rsid w:val="005E159C"/>
    <w:rsid w:val="00610591"/>
    <w:rsid w:val="006153A8"/>
    <w:rsid w:val="006214D8"/>
    <w:rsid w:val="00622DC3"/>
    <w:rsid w:val="006301FD"/>
    <w:rsid w:val="006344A7"/>
    <w:rsid w:val="006524A4"/>
    <w:rsid w:val="00653469"/>
    <w:rsid w:val="00663785"/>
    <w:rsid w:val="00671791"/>
    <w:rsid w:val="0067231F"/>
    <w:rsid w:val="006745C1"/>
    <w:rsid w:val="00691A88"/>
    <w:rsid w:val="006A1970"/>
    <w:rsid w:val="006B470D"/>
    <w:rsid w:val="006C7C8A"/>
    <w:rsid w:val="006F4B8A"/>
    <w:rsid w:val="006F4F7A"/>
    <w:rsid w:val="00700320"/>
    <w:rsid w:val="00701C43"/>
    <w:rsid w:val="007054A9"/>
    <w:rsid w:val="0072332F"/>
    <w:rsid w:val="00733BE6"/>
    <w:rsid w:val="0074423B"/>
    <w:rsid w:val="0075152E"/>
    <w:rsid w:val="00770097"/>
    <w:rsid w:val="00797A9D"/>
    <w:rsid w:val="007D1030"/>
    <w:rsid w:val="007D347E"/>
    <w:rsid w:val="007D437D"/>
    <w:rsid w:val="007D493C"/>
    <w:rsid w:val="007E55C0"/>
    <w:rsid w:val="007F16BF"/>
    <w:rsid w:val="0080737E"/>
    <w:rsid w:val="008108C3"/>
    <w:rsid w:val="00855731"/>
    <w:rsid w:val="00865BA3"/>
    <w:rsid w:val="0088020F"/>
    <w:rsid w:val="00886F35"/>
    <w:rsid w:val="008A083D"/>
    <w:rsid w:val="008A633D"/>
    <w:rsid w:val="008B14AA"/>
    <w:rsid w:val="008C6477"/>
    <w:rsid w:val="008D1884"/>
    <w:rsid w:val="008D4BEE"/>
    <w:rsid w:val="008D7AA3"/>
    <w:rsid w:val="008D7ABB"/>
    <w:rsid w:val="008E2B18"/>
    <w:rsid w:val="008E7E93"/>
    <w:rsid w:val="008F0692"/>
    <w:rsid w:val="008F3FCA"/>
    <w:rsid w:val="008F4D2B"/>
    <w:rsid w:val="00902BE1"/>
    <w:rsid w:val="00903088"/>
    <w:rsid w:val="00905896"/>
    <w:rsid w:val="00920871"/>
    <w:rsid w:val="009221BF"/>
    <w:rsid w:val="009235D2"/>
    <w:rsid w:val="009428B1"/>
    <w:rsid w:val="00972234"/>
    <w:rsid w:val="00982446"/>
    <w:rsid w:val="00992E40"/>
    <w:rsid w:val="009B4BEB"/>
    <w:rsid w:val="009C3858"/>
    <w:rsid w:val="009E165A"/>
    <w:rsid w:val="009F050A"/>
    <w:rsid w:val="009F2DE8"/>
    <w:rsid w:val="009F3CB6"/>
    <w:rsid w:val="009F69BE"/>
    <w:rsid w:val="00A10628"/>
    <w:rsid w:val="00A11D59"/>
    <w:rsid w:val="00A52661"/>
    <w:rsid w:val="00A52877"/>
    <w:rsid w:val="00A55B27"/>
    <w:rsid w:val="00A610F2"/>
    <w:rsid w:val="00A619CB"/>
    <w:rsid w:val="00A800B8"/>
    <w:rsid w:val="00A853E1"/>
    <w:rsid w:val="00A950C1"/>
    <w:rsid w:val="00AA115C"/>
    <w:rsid w:val="00AA1EA1"/>
    <w:rsid w:val="00AA6EA3"/>
    <w:rsid w:val="00AA76D9"/>
    <w:rsid w:val="00AB0A0C"/>
    <w:rsid w:val="00AB5838"/>
    <w:rsid w:val="00AC79C7"/>
    <w:rsid w:val="00AD0FCE"/>
    <w:rsid w:val="00AE4DBD"/>
    <w:rsid w:val="00AF09D8"/>
    <w:rsid w:val="00AF605B"/>
    <w:rsid w:val="00B07DA1"/>
    <w:rsid w:val="00B13D20"/>
    <w:rsid w:val="00B27780"/>
    <w:rsid w:val="00B40DB4"/>
    <w:rsid w:val="00B500A3"/>
    <w:rsid w:val="00B61D2A"/>
    <w:rsid w:val="00B90024"/>
    <w:rsid w:val="00B9141F"/>
    <w:rsid w:val="00B9501D"/>
    <w:rsid w:val="00B97723"/>
    <w:rsid w:val="00BA2CC2"/>
    <w:rsid w:val="00BB1D67"/>
    <w:rsid w:val="00BC19B3"/>
    <w:rsid w:val="00BC1BF1"/>
    <w:rsid w:val="00BC592F"/>
    <w:rsid w:val="00BF53D3"/>
    <w:rsid w:val="00BF60EA"/>
    <w:rsid w:val="00BF7FA5"/>
    <w:rsid w:val="00C052D8"/>
    <w:rsid w:val="00C217CA"/>
    <w:rsid w:val="00C218F0"/>
    <w:rsid w:val="00C30181"/>
    <w:rsid w:val="00C3106F"/>
    <w:rsid w:val="00C31FA7"/>
    <w:rsid w:val="00C34372"/>
    <w:rsid w:val="00C3581E"/>
    <w:rsid w:val="00C36540"/>
    <w:rsid w:val="00C47282"/>
    <w:rsid w:val="00C721AA"/>
    <w:rsid w:val="00C74660"/>
    <w:rsid w:val="00C97239"/>
    <w:rsid w:val="00CA01D7"/>
    <w:rsid w:val="00CB2288"/>
    <w:rsid w:val="00CC11B3"/>
    <w:rsid w:val="00CC555A"/>
    <w:rsid w:val="00CF51E7"/>
    <w:rsid w:val="00D03871"/>
    <w:rsid w:val="00D1730E"/>
    <w:rsid w:val="00D40C0D"/>
    <w:rsid w:val="00D61C4F"/>
    <w:rsid w:val="00D753F5"/>
    <w:rsid w:val="00DA3D42"/>
    <w:rsid w:val="00DC3912"/>
    <w:rsid w:val="00DE2B85"/>
    <w:rsid w:val="00DF63A3"/>
    <w:rsid w:val="00E005D7"/>
    <w:rsid w:val="00E0445C"/>
    <w:rsid w:val="00E0539E"/>
    <w:rsid w:val="00E329B2"/>
    <w:rsid w:val="00E357D2"/>
    <w:rsid w:val="00E45735"/>
    <w:rsid w:val="00E53361"/>
    <w:rsid w:val="00E6424B"/>
    <w:rsid w:val="00E65792"/>
    <w:rsid w:val="00E66389"/>
    <w:rsid w:val="00E67D62"/>
    <w:rsid w:val="00E87953"/>
    <w:rsid w:val="00E90726"/>
    <w:rsid w:val="00EC1887"/>
    <w:rsid w:val="00EC3488"/>
    <w:rsid w:val="00F253DA"/>
    <w:rsid w:val="00F368B2"/>
    <w:rsid w:val="00F428DE"/>
    <w:rsid w:val="00F64B4B"/>
    <w:rsid w:val="00F737D0"/>
    <w:rsid w:val="00F8025B"/>
    <w:rsid w:val="00F84CBE"/>
    <w:rsid w:val="00F84DF3"/>
    <w:rsid w:val="00F87198"/>
    <w:rsid w:val="00F91350"/>
    <w:rsid w:val="00F96A8E"/>
    <w:rsid w:val="00FA47FE"/>
    <w:rsid w:val="00FB2A0E"/>
    <w:rsid w:val="00FC3035"/>
    <w:rsid w:val="00FD281B"/>
    <w:rsid w:val="00FE270A"/>
    <w:rsid w:val="00FF20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A5FF"/>
  <w15:chartTrackingRefBased/>
  <w15:docId w15:val="{E975FBD3-F6C1-42CC-B787-725BBDBA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9AC"/>
    <w:rPr>
      <w:rFonts w:eastAsiaTheme="majorEastAsia" w:cstheme="majorBidi"/>
      <w:color w:val="272727" w:themeColor="text1" w:themeTint="D8"/>
    </w:rPr>
  </w:style>
  <w:style w:type="paragraph" w:styleId="Title">
    <w:name w:val="Title"/>
    <w:basedOn w:val="Normal"/>
    <w:next w:val="Normal"/>
    <w:link w:val="TitleChar"/>
    <w:uiPriority w:val="10"/>
    <w:qFormat/>
    <w:rsid w:val="00585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9AC"/>
    <w:pPr>
      <w:spacing w:before="160"/>
      <w:jc w:val="center"/>
    </w:pPr>
    <w:rPr>
      <w:i/>
      <w:iCs/>
      <w:color w:val="404040" w:themeColor="text1" w:themeTint="BF"/>
    </w:rPr>
  </w:style>
  <w:style w:type="character" w:customStyle="1" w:styleId="QuoteChar">
    <w:name w:val="Quote Char"/>
    <w:basedOn w:val="DefaultParagraphFont"/>
    <w:link w:val="Quote"/>
    <w:uiPriority w:val="29"/>
    <w:rsid w:val="005859AC"/>
    <w:rPr>
      <w:i/>
      <w:iCs/>
      <w:color w:val="404040" w:themeColor="text1" w:themeTint="BF"/>
    </w:rPr>
  </w:style>
  <w:style w:type="paragraph" w:styleId="ListParagraph">
    <w:name w:val="List Paragraph"/>
    <w:basedOn w:val="Normal"/>
    <w:uiPriority w:val="34"/>
    <w:qFormat/>
    <w:rsid w:val="005859AC"/>
    <w:pPr>
      <w:ind w:left="720"/>
      <w:contextualSpacing/>
    </w:pPr>
  </w:style>
  <w:style w:type="character" w:styleId="IntenseEmphasis">
    <w:name w:val="Intense Emphasis"/>
    <w:basedOn w:val="DefaultParagraphFont"/>
    <w:uiPriority w:val="21"/>
    <w:qFormat/>
    <w:rsid w:val="005859AC"/>
    <w:rPr>
      <w:i/>
      <w:iCs/>
      <w:color w:val="0F4761" w:themeColor="accent1" w:themeShade="BF"/>
    </w:rPr>
  </w:style>
  <w:style w:type="paragraph" w:styleId="IntenseQuote">
    <w:name w:val="Intense Quote"/>
    <w:basedOn w:val="Normal"/>
    <w:next w:val="Normal"/>
    <w:link w:val="IntenseQuoteChar"/>
    <w:uiPriority w:val="30"/>
    <w:qFormat/>
    <w:rsid w:val="00585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9AC"/>
    <w:rPr>
      <w:i/>
      <w:iCs/>
      <w:color w:val="0F4761" w:themeColor="accent1" w:themeShade="BF"/>
    </w:rPr>
  </w:style>
  <w:style w:type="character" w:styleId="IntenseReference">
    <w:name w:val="Intense Reference"/>
    <w:basedOn w:val="DefaultParagraphFont"/>
    <w:uiPriority w:val="32"/>
    <w:qFormat/>
    <w:rsid w:val="005859AC"/>
    <w:rPr>
      <w:b/>
      <w:bCs/>
      <w:smallCaps/>
      <w:color w:val="0F4761" w:themeColor="accent1" w:themeShade="BF"/>
      <w:spacing w:val="5"/>
    </w:rPr>
  </w:style>
  <w:style w:type="table" w:styleId="TableGrid">
    <w:name w:val="Table Grid"/>
    <w:basedOn w:val="TableNormal"/>
    <w:uiPriority w:val="39"/>
    <w:rsid w:val="006C7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40DB4"/>
    <w:rPr>
      <w:rFonts w:ascii="Times New Roman" w:hAnsi="Times New Roman" w:cs="Times New Roman"/>
    </w:rPr>
  </w:style>
  <w:style w:type="paragraph" w:styleId="Header">
    <w:name w:val="header"/>
    <w:basedOn w:val="Normal"/>
    <w:link w:val="HeaderChar"/>
    <w:uiPriority w:val="99"/>
    <w:unhideWhenUsed/>
    <w:rsid w:val="003375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5D4"/>
  </w:style>
  <w:style w:type="paragraph" w:styleId="Footer">
    <w:name w:val="footer"/>
    <w:basedOn w:val="Normal"/>
    <w:link w:val="FooterChar"/>
    <w:uiPriority w:val="99"/>
    <w:unhideWhenUsed/>
    <w:rsid w:val="003375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5D4"/>
  </w:style>
  <w:style w:type="character" w:styleId="CommentReference">
    <w:name w:val="annotation reference"/>
    <w:basedOn w:val="DefaultParagraphFont"/>
    <w:uiPriority w:val="99"/>
    <w:semiHidden/>
    <w:unhideWhenUsed/>
    <w:rsid w:val="00D03871"/>
    <w:rPr>
      <w:sz w:val="16"/>
      <w:szCs w:val="16"/>
    </w:rPr>
  </w:style>
  <w:style w:type="paragraph" w:styleId="CommentText">
    <w:name w:val="annotation text"/>
    <w:basedOn w:val="Normal"/>
    <w:link w:val="CommentTextChar"/>
    <w:uiPriority w:val="99"/>
    <w:unhideWhenUsed/>
    <w:rsid w:val="00D03871"/>
    <w:pPr>
      <w:spacing w:line="240" w:lineRule="auto"/>
    </w:pPr>
    <w:rPr>
      <w:sz w:val="20"/>
      <w:szCs w:val="20"/>
    </w:rPr>
  </w:style>
  <w:style w:type="character" w:customStyle="1" w:styleId="CommentTextChar">
    <w:name w:val="Comment Text Char"/>
    <w:basedOn w:val="DefaultParagraphFont"/>
    <w:link w:val="CommentText"/>
    <w:uiPriority w:val="99"/>
    <w:rsid w:val="00D03871"/>
    <w:rPr>
      <w:sz w:val="20"/>
      <w:szCs w:val="20"/>
    </w:rPr>
  </w:style>
  <w:style w:type="character" w:styleId="Hyperlink">
    <w:name w:val="Hyperlink"/>
    <w:basedOn w:val="DefaultParagraphFont"/>
    <w:uiPriority w:val="99"/>
    <w:unhideWhenUsed/>
    <w:rsid w:val="004D0CBF"/>
    <w:rPr>
      <w:color w:val="467886" w:themeColor="hyperlink"/>
      <w:u w:val="single"/>
    </w:rPr>
  </w:style>
  <w:style w:type="character" w:styleId="UnresolvedMention">
    <w:name w:val="Unresolved Mention"/>
    <w:basedOn w:val="DefaultParagraphFont"/>
    <w:uiPriority w:val="99"/>
    <w:semiHidden/>
    <w:unhideWhenUsed/>
    <w:rsid w:val="0008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mojdemir/BIOS-6624-Projects/tree/main/Project2/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1135</TotalTime>
  <Pages>7</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Mojde Mir</dc:creator>
  <cp:keywords/>
  <dc:description/>
  <cp:lastModifiedBy>Mojde Mir</cp:lastModifiedBy>
  <cp:revision>57</cp:revision>
  <dcterms:created xsi:type="dcterms:W3CDTF">2026-03-29T02:27:00Z</dcterms:created>
  <dcterms:modified xsi:type="dcterms:W3CDTF">2026-03-30T04:52:00Z</dcterms:modified>
</cp:coreProperties>
</file>