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71E35" w:rsidRPr="00A92569" w:rsidRDefault="0033532B" w:rsidP="0033532B">
      <w:pPr>
        <w:jc w:val="center"/>
        <w:rPr>
          <w:rFonts w:ascii="Courier New" w:hAnsi="Courier New"/>
          <w:sz w:val="20"/>
        </w:rPr>
      </w:pPr>
      <w:r>
        <w:rPr>
          <w:rFonts w:ascii="Courier New" w:hAnsi="Courier New"/>
          <w:sz w:val="20"/>
        </w:rPr>
        <w:t>1. ------</w:t>
      </w:r>
      <w:r w:rsidR="00971E35">
        <w:rPr>
          <w:rFonts w:ascii="Courier New" w:hAnsi="Courier New"/>
          <w:sz w:val="20"/>
        </w:rPr>
        <w:t>IND- 2020 0791 F-- EN- ------ 20201221 --- --- PROJET</w:t>
      </w:r>
    </w:p>
    <w:tbl>
      <w:tblPr>
        <w:tblW w:w="0" w:type="auto"/>
        <w:tblInd w:w="114" w:type="dxa"/>
        <w:tblLayout w:type="fixed"/>
        <w:tblCellMar>
          <w:top w:w="57" w:type="dxa"/>
          <w:left w:w="57" w:type="dxa"/>
          <w:bottom w:w="57" w:type="dxa"/>
          <w:right w:w="57" w:type="dxa"/>
        </w:tblCellMar>
        <w:tblLook w:val="0000" w:firstRow="0" w:lastRow="0" w:firstColumn="0" w:lastColumn="0" w:noHBand="0" w:noVBand="0"/>
      </w:tblPr>
      <w:tblGrid>
        <w:gridCol w:w="1527"/>
        <w:gridCol w:w="968"/>
        <w:gridCol w:w="1487"/>
      </w:tblGrid>
      <w:tr w:rsidR="00121B80" w:rsidRPr="006C397D">
        <w:trPr>
          <w:cantSplit/>
        </w:trPr>
        <w:tc>
          <w:tcPr>
            <w:tcW w:w="3982" w:type="dxa"/>
            <w:gridSpan w:val="3"/>
            <w:shd w:val="clear" w:color="auto" w:fill="auto"/>
          </w:tcPr>
          <w:p w:rsidR="00121B80" w:rsidRPr="006C397D" w:rsidRDefault="00121B80" w:rsidP="0033532B">
            <w:pPr>
              <w:pStyle w:val="SNREPUBLIQUE"/>
              <w:snapToGrid w:val="0"/>
            </w:pPr>
            <w:r>
              <w:t>FRENCH REPUBLIC</w:t>
            </w:r>
          </w:p>
        </w:tc>
      </w:tr>
      <w:tr w:rsidR="00D85F5D" w:rsidRPr="006C397D" w:rsidTr="00A73D1D">
        <w:trPr>
          <w:cantSplit/>
          <w:trHeight w:hRule="exact" w:val="113"/>
        </w:trPr>
        <w:tc>
          <w:tcPr>
            <w:tcW w:w="1527" w:type="dxa"/>
            <w:shd w:val="clear" w:color="auto" w:fill="auto"/>
          </w:tcPr>
          <w:p w:rsidR="00121B80" w:rsidRPr="006C397D" w:rsidRDefault="00121B80" w:rsidP="0033532B">
            <w:pPr>
              <w:snapToGrid w:val="0"/>
            </w:pPr>
          </w:p>
        </w:tc>
        <w:tc>
          <w:tcPr>
            <w:tcW w:w="968" w:type="dxa"/>
            <w:tcBorders>
              <w:bottom w:val="single" w:sz="4" w:space="0" w:color="auto"/>
            </w:tcBorders>
            <w:shd w:val="clear" w:color="auto" w:fill="auto"/>
          </w:tcPr>
          <w:p w:rsidR="00121B80" w:rsidRPr="006C397D" w:rsidRDefault="00121B80" w:rsidP="0033532B">
            <w:pPr>
              <w:snapToGrid w:val="0"/>
            </w:pPr>
          </w:p>
        </w:tc>
        <w:tc>
          <w:tcPr>
            <w:tcW w:w="1487" w:type="dxa"/>
            <w:shd w:val="clear" w:color="auto" w:fill="auto"/>
          </w:tcPr>
          <w:p w:rsidR="00121B80" w:rsidRPr="006C397D" w:rsidRDefault="00121B80" w:rsidP="0033532B">
            <w:pPr>
              <w:snapToGrid w:val="0"/>
            </w:pPr>
          </w:p>
        </w:tc>
      </w:tr>
      <w:tr w:rsidR="00121B80" w:rsidRPr="006C397D">
        <w:trPr>
          <w:cantSplit/>
        </w:trPr>
        <w:tc>
          <w:tcPr>
            <w:tcW w:w="3982" w:type="dxa"/>
            <w:gridSpan w:val="3"/>
            <w:shd w:val="clear" w:color="auto" w:fill="auto"/>
          </w:tcPr>
          <w:p w:rsidR="00121B80" w:rsidRPr="006C397D" w:rsidRDefault="00121B80" w:rsidP="0033532B">
            <w:pPr>
              <w:pStyle w:val="SNTimbre"/>
              <w:widowControl/>
            </w:pPr>
            <w:r>
              <w:t xml:space="preserve">Ministry of the Ecological Transition </w:t>
            </w:r>
          </w:p>
        </w:tc>
      </w:tr>
      <w:tr w:rsidR="00121B80" w:rsidRPr="006C397D">
        <w:trPr>
          <w:cantSplit/>
        </w:trPr>
        <w:tc>
          <w:tcPr>
            <w:tcW w:w="3982" w:type="dxa"/>
            <w:gridSpan w:val="3"/>
            <w:shd w:val="clear" w:color="auto" w:fill="auto"/>
          </w:tcPr>
          <w:p w:rsidR="00121B80" w:rsidRPr="006C397D" w:rsidRDefault="00304F7E" w:rsidP="0033532B">
            <w:pPr>
              <w:pStyle w:val="SNTimbre"/>
              <w:widowControl/>
              <w:jc w:val="left"/>
            </w:pPr>
            <w:r>
              <w:rPr>
                <w:noProof/>
                <w:lang w:val="en-US" w:eastAsia="en-US" w:bidi="hi-IN"/>
              </w:rPr>
              <mc:AlternateContent>
                <mc:Choice Requires="wps">
                  <w:drawing>
                    <wp:anchor distT="0" distB="0" distL="114300" distR="114300" simplePos="0" relativeHeight="251657728" behindDoc="0" locked="0" layoutInCell="1" allowOverlap="1">
                      <wp:simplePos x="0" y="0"/>
                      <wp:positionH relativeFrom="column">
                        <wp:posOffset>977900</wp:posOffset>
                      </wp:positionH>
                      <wp:positionV relativeFrom="paragraph">
                        <wp:posOffset>129540</wp:posOffset>
                      </wp:positionV>
                      <wp:extent cx="613410" cy="635"/>
                      <wp:effectExtent l="7620" t="12065" r="7620" b="635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 cy="635"/>
                              </a:xfrm>
                              <a:prstGeom prst="line">
                                <a:avLst/>
                              </a:prstGeom>
                              <a:noFill/>
                              <a:ln w="648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DD6C169" id="Connecteur droit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pt,10.2pt" to="125.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" strokeweight=".18mm">
                      <v:stroke joinstyle="miter"/>
                    </v:line>
                  </w:pict>
                </mc:Fallback>
              </mc:AlternateContent>
            </w:r>
          </w:p>
        </w:tc>
      </w:tr>
      <w:tr w:rsidR="00121B80" w:rsidRPr="006C397D">
        <w:trPr>
          <w:cantSplit/>
        </w:trPr>
        <w:tc>
          <w:tcPr>
            <w:tcW w:w="3982" w:type="dxa"/>
            <w:gridSpan w:val="3"/>
            <w:shd w:val="clear" w:color="auto" w:fill="auto"/>
          </w:tcPr>
          <w:p w:rsidR="00121B80" w:rsidRPr="006C397D" w:rsidRDefault="00121B80" w:rsidP="0033532B">
            <w:pPr>
              <w:pStyle w:val="SNTimbre"/>
              <w:widowControl/>
              <w:spacing w:before="0" w:after="160"/>
            </w:pPr>
            <w:r>
              <w:t>Housing</w:t>
            </w:r>
          </w:p>
        </w:tc>
      </w:tr>
      <w:tr w:rsidR="00121B80" w:rsidRPr="006C397D">
        <w:trPr>
          <w:cantSplit/>
        </w:trPr>
        <w:tc>
          <w:tcPr>
            <w:tcW w:w="3982" w:type="dxa"/>
            <w:gridSpan w:val="3"/>
            <w:shd w:val="clear" w:color="auto" w:fill="auto"/>
          </w:tcPr>
          <w:p w:rsidR="00121B80" w:rsidRPr="006C397D" w:rsidRDefault="00121B80" w:rsidP="0033532B">
            <w:pPr>
              <w:pStyle w:val="SNTimbre"/>
              <w:widowControl/>
              <w:jc w:val="left"/>
              <w:rPr>
                <w:highlight w:val="yellow"/>
              </w:rPr>
            </w:pPr>
          </w:p>
        </w:tc>
      </w:tr>
    </w:tbl>
    <w:p w:rsidR="00121B80" w:rsidRPr="006C397D" w:rsidRDefault="00121B80" w:rsidP="0033532B">
      <w:pPr>
        <w:spacing w:after="0" w:line="240" w:lineRule="auto"/>
        <w:jc w:val="center"/>
      </w:pPr>
      <w:r>
        <w:rPr>
          <w:rFonts w:ascii="Times New Roman" w:hAnsi="Times New Roman"/>
          <w:b/>
          <w:bCs/>
          <w:sz w:val="24"/>
          <w:szCs w:val="24"/>
        </w:rPr>
        <w:t>Order of [date]</w:t>
      </w:r>
    </w:p>
    <w:p w:rsidR="00121B80" w:rsidRPr="006C397D" w:rsidRDefault="00371CC6" w:rsidP="0033532B">
      <w:pPr>
        <w:spacing w:after="0" w:line="240" w:lineRule="auto"/>
        <w:jc w:val="center"/>
      </w:pPr>
      <w:r>
        <w:rPr>
          <w:rFonts w:ascii="Times New Roman" w:hAnsi="Times New Roman"/>
          <w:b/>
          <w:bCs/>
          <w:sz w:val="24"/>
          <w:szCs w:val="24"/>
        </w:rPr>
        <w:t>Approving the calculation method provided for in Article R111-20-5 of the Construction and Housing Code</w:t>
      </w:r>
    </w:p>
    <w:p w:rsidR="00121B80" w:rsidRPr="006C397D" w:rsidRDefault="00121B80" w:rsidP="0033532B">
      <w:pPr>
        <w:pStyle w:val="SNNORCentr"/>
      </w:pPr>
      <w:r>
        <w:t xml:space="preserve">NOR: </w:t>
      </w:r>
    </w:p>
    <w:p w:rsidR="00121B80" w:rsidRPr="006C397D" w:rsidRDefault="00121B80" w:rsidP="0033532B">
      <w:pPr>
        <w:jc w:val="both"/>
        <w:rPr>
          <w:rFonts w:ascii="Times New Roman" w:eastAsia="Arial" w:hAnsi="Times New Roman" w:cs="Times New Roman"/>
          <w:bCs/>
          <w:i/>
          <w:iCs/>
          <w:sz w:val="24"/>
          <w:szCs w:val="24"/>
          <w:u w:val="single"/>
        </w:rPr>
      </w:pPr>
    </w:p>
    <w:p w:rsidR="00121B80" w:rsidRPr="006C397D" w:rsidRDefault="00121B80" w:rsidP="0033532B">
      <w:pPr>
        <w:jc w:val="both"/>
      </w:pPr>
      <w:r>
        <w:rPr>
          <w:rFonts w:ascii="Times New Roman" w:hAnsi="Times New Roman"/>
          <w:bCs/>
          <w:i/>
          <w:iCs/>
          <w:sz w:val="24"/>
          <w:szCs w:val="24"/>
          <w:u w:val="single"/>
        </w:rPr>
        <w:t>Groups concerned:</w:t>
      </w:r>
      <w:r>
        <w:rPr>
          <w:rFonts w:ascii="Times New Roman" w:hAnsi="Times New Roman"/>
          <w:bCs/>
          <w:i/>
          <w:iCs/>
          <w:sz w:val="24"/>
          <w:szCs w:val="24"/>
        </w:rPr>
        <w:t xml:space="preserve"> </w:t>
      </w:r>
      <w:r>
        <w:rPr>
          <w:rFonts w:ascii="Times New Roman" w:hAnsi="Times New Roman"/>
          <w:i/>
          <w:iCs/>
          <w:sz w:val="24"/>
          <w:szCs w:val="24"/>
        </w:rPr>
        <w:t>owners, contractors, builders and developers, architects, heating and environment consultants, building economists, technical inspectors, construction companies, manufacturers of building materials and technical building systems and energy providers in metropolitan France.</w:t>
      </w:r>
    </w:p>
    <w:p w:rsidR="00121B80" w:rsidRPr="006C397D" w:rsidRDefault="00121B80" w:rsidP="0033532B">
      <w:pPr>
        <w:jc w:val="both"/>
      </w:pPr>
      <w:r>
        <w:rPr>
          <w:rFonts w:ascii="Times New Roman" w:hAnsi="Times New Roman"/>
          <w:i/>
          <w:iCs/>
          <w:sz w:val="24"/>
          <w:szCs w:val="24"/>
          <w:u w:val="single"/>
        </w:rPr>
        <w:t>Purpose</w:t>
      </w:r>
      <w:r>
        <w:rPr>
          <w:rFonts w:ascii="Times New Roman" w:hAnsi="Times New Roman"/>
          <w:i/>
          <w:iCs/>
          <w:sz w:val="24"/>
          <w:szCs w:val="24"/>
        </w:rPr>
        <w:t xml:space="preserve">: to establish the method used to calculate the energy and environmental performance of residential, office or primary or secondary education buildings in metropolitan France, for application of the Order of </w:t>
      </w:r>
      <w:r>
        <w:rPr>
          <w:rFonts w:ascii="Times New Roman" w:hAnsi="Times New Roman"/>
          <w:i/>
          <w:iCs/>
          <w:sz w:val="24"/>
          <w:szCs w:val="24"/>
          <w:highlight w:val="yellow"/>
        </w:rPr>
        <w:t>XXX</w:t>
      </w:r>
      <w:r>
        <w:rPr>
          <w:rFonts w:ascii="Times New Roman" w:hAnsi="Times New Roman"/>
          <w:i/>
          <w:iCs/>
          <w:sz w:val="24"/>
          <w:szCs w:val="24"/>
        </w:rPr>
        <w:t xml:space="preserve"> relating to the energy and environmental performance requirements of residential, office or primary or secondary education buildings in metropolitan France</w:t>
      </w:r>
    </w:p>
    <w:p w:rsidR="00371CC6" w:rsidRPr="006C397D" w:rsidRDefault="00121B80" w:rsidP="0033532B">
      <w:pPr>
        <w:spacing w:after="0" w:line="240" w:lineRule="auto"/>
        <w:jc w:val="both"/>
        <w:rPr>
          <w:rFonts w:ascii="Times New Roman" w:eastAsia="Times New Roman" w:hAnsi="Times New Roman" w:cs="Times New Roman"/>
          <w:i/>
          <w:iCs/>
          <w:kern w:val="2"/>
          <w:sz w:val="24"/>
          <w:szCs w:val="24"/>
        </w:rPr>
      </w:pPr>
      <w:r>
        <w:rPr>
          <w:rFonts w:ascii="Times New Roman" w:hAnsi="Times New Roman"/>
          <w:i/>
          <w:iCs/>
          <w:sz w:val="24"/>
          <w:szCs w:val="24"/>
          <w:u w:val="single"/>
        </w:rPr>
        <w:t>Entry into force</w:t>
      </w:r>
      <w:r>
        <w:rPr>
          <w:rFonts w:ascii="Times New Roman" w:hAnsi="Times New Roman"/>
          <w:i/>
          <w:iCs/>
          <w:sz w:val="24"/>
          <w:szCs w:val="24"/>
        </w:rPr>
        <w:t>: this Order shall apply from 1 July 2021 onwards.</w:t>
      </w:r>
    </w:p>
    <w:p w:rsidR="00371CC6" w:rsidRPr="006C397D" w:rsidRDefault="00371CC6" w:rsidP="0033532B">
      <w:pPr>
        <w:spacing w:after="0" w:line="240" w:lineRule="auto"/>
        <w:jc w:val="both"/>
        <w:rPr>
          <w:rFonts w:ascii="Times New Roman" w:eastAsia="Times New Roman" w:hAnsi="Times New Roman" w:cs="Times New Roman"/>
          <w:i/>
          <w:iCs/>
          <w:kern w:val="2"/>
          <w:sz w:val="24"/>
          <w:szCs w:val="24"/>
          <w:lang w:eastAsia="zh-CN"/>
        </w:rPr>
      </w:pPr>
    </w:p>
    <w:p w:rsidR="00371CC6" w:rsidRPr="006C397D" w:rsidRDefault="00121B80" w:rsidP="0033532B">
      <w:pPr>
        <w:keepNext/>
        <w:spacing w:after="0" w:line="240" w:lineRule="auto"/>
        <w:jc w:val="both"/>
        <w:rPr>
          <w:rFonts w:ascii="Times New Roman" w:hAnsi="Times New Roman" w:cs="Times New Roman"/>
          <w:i/>
          <w:iCs/>
          <w:sz w:val="24"/>
          <w:szCs w:val="24"/>
        </w:rPr>
      </w:pPr>
      <w:r>
        <w:rPr>
          <w:rFonts w:ascii="Times New Roman" w:hAnsi="Times New Roman"/>
          <w:i/>
          <w:iCs/>
          <w:sz w:val="24"/>
          <w:szCs w:val="24"/>
          <w:u w:val="single"/>
        </w:rPr>
        <w:t>Notice:</w:t>
      </w:r>
      <w:r>
        <w:rPr>
          <w:rFonts w:ascii="Times New Roman" w:hAnsi="Times New Roman"/>
          <w:i/>
          <w:iCs/>
          <w:sz w:val="24"/>
          <w:szCs w:val="24"/>
        </w:rPr>
        <w:t xml:space="preserve"> the Order establishes the method used to calculate the energy and environmental performance of residential, office or primary or secondary education buildings in metropolitan France, through three annexes:</w:t>
      </w:r>
    </w:p>
    <w:p w:rsidR="00371CC6" w:rsidRPr="006C397D" w:rsidRDefault="00371CC6" w:rsidP="0033532B">
      <w:pPr>
        <w:numPr>
          <w:ilvl w:val="0"/>
          <w:numId w:val="1"/>
        </w:numPr>
        <w:spacing w:after="0" w:line="240" w:lineRule="auto"/>
        <w:jc w:val="both"/>
        <w:rPr>
          <w:rFonts w:ascii="Times New Roman" w:eastAsia="Times New Roman" w:hAnsi="Times New Roman" w:cs="Times New Roman"/>
          <w:i/>
          <w:iCs/>
          <w:kern w:val="2"/>
          <w:sz w:val="24"/>
          <w:szCs w:val="24"/>
        </w:rPr>
      </w:pPr>
      <w:r>
        <w:rPr>
          <w:rFonts w:ascii="Times New Roman" w:hAnsi="Times New Roman"/>
          <w:i/>
          <w:iCs/>
          <w:sz w:val="24"/>
          <w:szCs w:val="24"/>
        </w:rPr>
        <w:t>Annex I: General rules for the calculation of energy and environmental performance</w:t>
      </w:r>
    </w:p>
    <w:p w:rsidR="00371CC6" w:rsidRPr="006C397D" w:rsidRDefault="00371CC6" w:rsidP="0033532B">
      <w:pPr>
        <w:numPr>
          <w:ilvl w:val="0"/>
          <w:numId w:val="1"/>
        </w:numPr>
        <w:spacing w:after="0" w:line="240" w:lineRule="auto"/>
        <w:jc w:val="both"/>
        <w:rPr>
          <w:rFonts w:ascii="Times New Roman" w:eastAsia="Times New Roman" w:hAnsi="Times New Roman" w:cs="Times New Roman"/>
          <w:i/>
          <w:iCs/>
          <w:kern w:val="2"/>
          <w:sz w:val="24"/>
          <w:szCs w:val="24"/>
        </w:rPr>
      </w:pPr>
      <w:r>
        <w:rPr>
          <w:rFonts w:ascii="Times New Roman" w:hAnsi="Times New Roman"/>
          <w:i/>
          <w:iCs/>
          <w:sz w:val="24"/>
          <w:szCs w:val="24"/>
        </w:rPr>
        <w:t>Annex II: The Th-BCE 2020 calculation method, detailing the energy performance calculation rules associated with the calculation tool provided for in Article L111-9-1-A of the Construction and Housing Code</w:t>
      </w:r>
    </w:p>
    <w:p w:rsidR="00371CC6" w:rsidRPr="006C397D" w:rsidRDefault="00371CC6" w:rsidP="0033532B">
      <w:pPr>
        <w:numPr>
          <w:ilvl w:val="0"/>
          <w:numId w:val="1"/>
        </w:numPr>
        <w:spacing w:after="0" w:line="240" w:lineRule="auto"/>
        <w:jc w:val="both"/>
        <w:rPr>
          <w:rFonts w:ascii="Times New Roman" w:eastAsia="Times New Roman" w:hAnsi="Times New Roman" w:cs="Times New Roman"/>
          <w:i/>
          <w:iCs/>
          <w:kern w:val="2"/>
          <w:sz w:val="24"/>
          <w:szCs w:val="24"/>
        </w:rPr>
      </w:pPr>
      <w:r>
        <w:rPr>
          <w:rFonts w:ascii="Times New Roman" w:hAnsi="Times New Roman"/>
          <w:i/>
          <w:iCs/>
          <w:sz w:val="24"/>
          <w:szCs w:val="24"/>
        </w:rPr>
        <w:t>Annex III: The Th-Bat 2020 rules, used to determine the input data for the building energy performance calculations for the regulatory calculation</w:t>
      </w:r>
    </w:p>
    <w:p w:rsidR="00121B80" w:rsidRPr="006C397D" w:rsidRDefault="00121B80" w:rsidP="0033532B">
      <w:pPr>
        <w:spacing w:after="0" w:line="240" w:lineRule="auto"/>
        <w:jc w:val="both"/>
      </w:pPr>
    </w:p>
    <w:p w:rsidR="00121B80" w:rsidRPr="006C397D" w:rsidRDefault="00121B80" w:rsidP="0033532B">
      <w:pPr>
        <w:jc w:val="both"/>
      </w:pPr>
      <w:r>
        <w:rPr>
          <w:rFonts w:ascii="Times New Roman" w:hAnsi="Times New Roman"/>
          <w:i/>
          <w:iCs/>
          <w:sz w:val="24"/>
          <w:szCs w:val="24"/>
          <w:u w:val="single"/>
        </w:rPr>
        <w:t>References:</w:t>
      </w:r>
      <w:r>
        <w:rPr>
          <w:rFonts w:ascii="Times New Roman" w:hAnsi="Times New Roman"/>
          <w:i/>
          <w:iCs/>
          <w:sz w:val="24"/>
          <w:szCs w:val="24"/>
        </w:rPr>
        <w:t xml:space="preserve"> the text as </w:t>
      </w:r>
      <w:r>
        <w:rPr>
          <w:rFonts w:ascii="Times New Roman" w:hAnsi="Times New Roman"/>
          <w:i/>
          <w:iCs/>
          <w:sz w:val="24"/>
          <w:szCs w:val="24"/>
          <w:highlight w:val="yellow"/>
        </w:rPr>
        <w:t>amended</w:t>
      </w:r>
      <w:r>
        <w:rPr>
          <w:rFonts w:ascii="Times New Roman" w:hAnsi="Times New Roman"/>
          <w:i/>
          <w:iCs/>
          <w:sz w:val="24"/>
          <w:szCs w:val="24"/>
        </w:rPr>
        <w:t xml:space="preserve"> by this Order may be consulted on the Légifrance website (</w:t>
      </w:r>
      <w:hyperlink r:id="rId7" w:history="1">
        <w:r>
          <w:rPr>
            <w:rStyle w:val="Hyperlink"/>
            <w:rFonts w:ascii="Times New Roman" w:hAnsi="Times New Roman"/>
            <w:i/>
            <w:iCs/>
            <w:sz w:val="24"/>
            <w:szCs w:val="24"/>
          </w:rPr>
          <w:t>www.legifrance.gouv.fr</w:t>
        </w:r>
      </w:hyperlink>
      <w:r>
        <w:rPr>
          <w:rFonts w:ascii="Times New Roman" w:hAnsi="Times New Roman"/>
          <w:i/>
          <w:iCs/>
          <w:sz w:val="24"/>
          <w:szCs w:val="24"/>
        </w:rPr>
        <w:t>).</w:t>
      </w:r>
    </w:p>
    <w:p w:rsidR="00121B80" w:rsidRPr="006C397D" w:rsidRDefault="00121B80" w:rsidP="0033532B">
      <w:pPr>
        <w:rPr>
          <w:rFonts w:ascii="Times New Roman" w:eastAsia="Times New Roman" w:hAnsi="Times New Roman" w:cs="Times New Roman"/>
          <w:kern w:val="2"/>
          <w:sz w:val="24"/>
          <w:szCs w:val="24"/>
        </w:rPr>
      </w:pPr>
    </w:p>
    <w:p w:rsidR="00371CC6" w:rsidRPr="006C397D" w:rsidRDefault="00121B80" w:rsidP="0033532B">
      <w:pPr>
        <w:pStyle w:val="SNAutorit"/>
        <w:suppressAutoHyphens w:val="0"/>
        <w:ind w:firstLine="0"/>
        <w:jc w:val="both"/>
        <w:rPr>
          <w:b w:val="0"/>
        </w:rPr>
      </w:pPr>
      <w:r>
        <w:rPr>
          <w:b w:val="0"/>
          <w:highlight w:val="yellow"/>
        </w:rPr>
        <w:t>The Minister for the Ecological Transition, the Minister Delegate for Housing, attached to the Minister for the Ecological Transition,</w:t>
      </w:r>
    </w:p>
    <w:p w:rsidR="000A64C4" w:rsidRPr="006C397D" w:rsidRDefault="00972FD1" w:rsidP="0033532B">
      <w:pPr>
        <w:jc w:val="both"/>
        <w:rPr>
          <w:rFonts w:ascii="Times New Roman" w:hAnsi="Times New Roman" w:cs="Times New Roman"/>
          <w:sz w:val="24"/>
          <w:szCs w:val="24"/>
        </w:rPr>
      </w:pPr>
      <w:r>
        <w:rPr>
          <w:rFonts w:ascii="Times New Roman" w:hAnsi="Times New Roman"/>
          <w:sz w:val="24"/>
          <w:szCs w:val="24"/>
        </w:rPr>
        <w:t xml:space="preserve">Having regard to Directive (EU) 2015/1535 of the European Parliament and of the Council of 9 September 2015 laying down a procedure for the provision of information in the field of technical regulations and of rules on Information Society services (codified text), and in particular Notification No </w:t>
      </w:r>
      <w:r>
        <w:rPr>
          <w:rFonts w:ascii="Times New Roman" w:hAnsi="Times New Roman"/>
          <w:sz w:val="24"/>
          <w:szCs w:val="24"/>
          <w:highlight w:val="yellow"/>
        </w:rPr>
        <w:t>year/XXX/F</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lastRenderedPageBreak/>
        <w:t>Having regard to Directive 2010/31/EC of the European Parliament and of the Council of 19 May 2010 on the energy performance of buildings, as amended by Directive 2018/844 of the European Parliament and of the Council of 30 May 2018, in particular Articles 3, 4 and 6 thereof;</w:t>
      </w:r>
    </w:p>
    <w:p w:rsidR="00837B47" w:rsidRPr="006C397D" w:rsidRDefault="00837B47" w:rsidP="0033532B">
      <w:pPr>
        <w:jc w:val="both"/>
        <w:rPr>
          <w:rFonts w:ascii="Times New Roman" w:hAnsi="Times New Roman" w:cs="Times New Roman"/>
          <w:sz w:val="24"/>
          <w:szCs w:val="24"/>
        </w:rPr>
      </w:pPr>
      <w:r>
        <w:rPr>
          <w:rFonts w:ascii="Times New Roman" w:hAnsi="Times New Roman"/>
          <w:sz w:val="24"/>
          <w:szCs w:val="24"/>
        </w:rPr>
        <w:t>Having regard to the Construction and Housing Code, in particular Article R111-20-5 thereof;</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Order of </w:t>
      </w:r>
      <w:r>
        <w:rPr>
          <w:rFonts w:ascii="Times New Roman" w:hAnsi="Times New Roman"/>
          <w:sz w:val="24"/>
          <w:szCs w:val="24"/>
          <w:highlight w:val="yellow"/>
        </w:rPr>
        <w:t>XXX</w:t>
      </w:r>
      <w:r>
        <w:rPr>
          <w:rFonts w:ascii="Times New Roman" w:hAnsi="Times New Roman"/>
          <w:sz w:val="24"/>
          <w:szCs w:val="24"/>
        </w:rPr>
        <w:t xml:space="preserve"> on the energy and environmental performance of residential, office or primary or secondary education buildings in metropolitan France;</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observations made during the public consultation carried out from </w:t>
      </w:r>
      <w:r>
        <w:rPr>
          <w:rFonts w:ascii="Times New Roman" w:hAnsi="Times New Roman"/>
          <w:sz w:val="24"/>
          <w:szCs w:val="24"/>
          <w:highlight w:val="yellow"/>
        </w:rPr>
        <w:t xml:space="preserve">XXX </w:t>
      </w:r>
      <w:r>
        <w:rPr>
          <w:rFonts w:ascii="Times New Roman" w:hAnsi="Times New Roman"/>
          <w:sz w:val="24"/>
          <w:szCs w:val="24"/>
        </w:rPr>
        <w:t xml:space="preserve">to </w:t>
      </w:r>
      <w:r>
        <w:rPr>
          <w:rFonts w:ascii="Times New Roman" w:hAnsi="Times New Roman"/>
          <w:sz w:val="24"/>
          <w:szCs w:val="24"/>
          <w:highlight w:val="yellow"/>
        </w:rPr>
        <w:t>XXX</w:t>
      </w:r>
      <w:r>
        <w:rPr>
          <w:rFonts w:ascii="Times New Roman" w:hAnsi="Times New Roman"/>
          <w:sz w:val="24"/>
          <w:szCs w:val="24"/>
        </w:rPr>
        <w:t>, pursuant to Article L120-1 of the Environmental Code;</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opinion of the </w:t>
      </w:r>
      <w:r>
        <w:rPr>
          <w:rFonts w:ascii="Times New Roman" w:hAnsi="Times New Roman"/>
          <w:sz w:val="24"/>
          <w:szCs w:val="24"/>
          <w:highlight w:val="yellow"/>
        </w:rPr>
        <w:t>National Council for the Evaluation of Standards (CNEN),</w:t>
      </w:r>
      <w:r>
        <w:rPr>
          <w:rFonts w:ascii="Times New Roman" w:hAnsi="Times New Roman"/>
          <w:sz w:val="24"/>
          <w:szCs w:val="24"/>
        </w:rPr>
        <w:t xml:space="preserve">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opinion of the </w:t>
      </w:r>
      <w:r>
        <w:rPr>
          <w:rFonts w:ascii="Times New Roman" w:hAnsi="Times New Roman"/>
          <w:sz w:val="24"/>
          <w:szCs w:val="24"/>
          <w:highlight w:val="yellow"/>
        </w:rPr>
        <w:t>Higher Energy Council (CSE)</w:t>
      </w:r>
      <w:r>
        <w:rPr>
          <w:rFonts w:ascii="Times New Roman" w:hAnsi="Times New Roman"/>
          <w:sz w:val="24"/>
          <w:szCs w:val="24"/>
        </w:rPr>
        <w:t xml:space="preserve">, issued on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opinion of the Higher Council on Construction and Energy Efficiency (CSCEE), issued on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referral letter from the Assembly of Guyana,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referral letter from the Assembly of Martinique,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referral letter from the Departmental Council of Guadeloupe,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referral letter from the Departmental Council of Reunion Island,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referral letter from the Regional Council of Guadeloupe,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referral letter from the Regional Council of Reunion Island, dated </w:t>
      </w:r>
      <w:r>
        <w:rPr>
          <w:rFonts w:ascii="Times New Roman" w:hAnsi="Times New Roman"/>
          <w:sz w:val="24"/>
          <w:szCs w:val="24"/>
          <w:highlight w:val="yellow"/>
        </w:rPr>
        <w:t>XXX</w:t>
      </w:r>
      <w:r>
        <w:rPr>
          <w:rFonts w:ascii="Times New Roman" w:hAnsi="Times New Roman"/>
          <w:sz w:val="24"/>
          <w:szCs w:val="24"/>
        </w:rPr>
        <w:t>;</w:t>
      </w:r>
    </w:p>
    <w:p w:rsidR="00121B80" w:rsidRPr="006C397D" w:rsidRDefault="00371CC6" w:rsidP="0033532B">
      <w:pPr>
        <w:jc w:val="both"/>
        <w:rPr>
          <w:rFonts w:ascii="Times New Roman" w:hAnsi="Times New Roman" w:cs="Times New Roman"/>
          <w:sz w:val="24"/>
          <w:szCs w:val="24"/>
        </w:rPr>
      </w:pPr>
      <w:r>
        <w:rPr>
          <w:rFonts w:ascii="Times New Roman" w:hAnsi="Times New Roman"/>
          <w:sz w:val="24"/>
          <w:szCs w:val="24"/>
        </w:rPr>
        <w:t xml:space="preserve">Having regard to the letter of referral from the Departmental Council of Mayotte, dated </w:t>
      </w:r>
      <w:r>
        <w:rPr>
          <w:rFonts w:ascii="Times New Roman" w:hAnsi="Times New Roman"/>
          <w:sz w:val="24"/>
          <w:szCs w:val="24"/>
          <w:highlight w:val="yellow"/>
        </w:rPr>
        <w:t>XXX</w:t>
      </w:r>
      <w:r>
        <w:rPr>
          <w:rFonts w:ascii="Times New Roman" w:hAnsi="Times New Roman"/>
          <w:sz w:val="24"/>
          <w:szCs w:val="24"/>
        </w:rPr>
        <w:t>;</w:t>
      </w:r>
    </w:p>
    <w:p w:rsidR="00371CC6" w:rsidRPr="006C397D" w:rsidRDefault="00371CC6" w:rsidP="0033532B">
      <w:pPr>
        <w:jc w:val="both"/>
        <w:rPr>
          <w:rFonts w:ascii="Times New Roman" w:hAnsi="Times New Roman" w:cs="Times New Roman"/>
          <w:sz w:val="24"/>
          <w:szCs w:val="24"/>
        </w:rPr>
      </w:pPr>
    </w:p>
    <w:p w:rsidR="00121B80" w:rsidRPr="006C397D" w:rsidRDefault="00121B80" w:rsidP="0033532B">
      <w:pPr>
        <w:spacing w:after="0" w:line="240" w:lineRule="auto"/>
        <w:rPr>
          <w:rFonts w:ascii="Times New Roman" w:hAnsi="Times New Roman" w:cs="Times New Roman"/>
          <w:sz w:val="24"/>
          <w:szCs w:val="24"/>
        </w:rPr>
      </w:pPr>
    </w:p>
    <w:p w:rsidR="00121B80" w:rsidRPr="006C397D" w:rsidRDefault="00121B80" w:rsidP="0033532B">
      <w:pPr>
        <w:keepNext/>
        <w:spacing w:after="0" w:line="240" w:lineRule="auto"/>
        <w:jc w:val="center"/>
      </w:pPr>
      <w:r>
        <w:rPr>
          <w:rFonts w:ascii="Times New Roman" w:hAnsi="Times New Roman"/>
          <w:b/>
          <w:sz w:val="24"/>
          <w:szCs w:val="24"/>
        </w:rPr>
        <w:t>Hereby order the following:</w:t>
      </w:r>
    </w:p>
    <w:p w:rsidR="00121B80" w:rsidRPr="006C397D" w:rsidRDefault="00121B80" w:rsidP="0033532B">
      <w:pPr>
        <w:keepNext/>
        <w:spacing w:after="0" w:line="240" w:lineRule="auto"/>
      </w:pPr>
      <w:r>
        <w:rPr>
          <w:rFonts w:ascii="Times New Roman" w:hAnsi="Times New Roman"/>
          <w:sz w:val="24"/>
          <w:szCs w:val="24"/>
        </w:rPr>
        <w:t> </w:t>
      </w:r>
    </w:p>
    <w:p w:rsidR="00121B80" w:rsidRPr="006C397D" w:rsidRDefault="00121B80" w:rsidP="0033532B">
      <w:pPr>
        <w:keepNext/>
        <w:tabs>
          <w:tab w:val="left" w:pos="3030"/>
        </w:tabs>
        <w:spacing w:after="0" w:line="240" w:lineRule="auto"/>
      </w:pPr>
      <w:r>
        <w:rPr>
          <w:rFonts w:ascii="Times New Roman" w:hAnsi="Times New Roman"/>
          <w:sz w:val="24"/>
          <w:szCs w:val="24"/>
        </w:rPr>
        <w:t> </w:t>
      </w:r>
    </w:p>
    <w:p w:rsidR="00121B80" w:rsidRPr="006C397D" w:rsidRDefault="00121B80" w:rsidP="0033532B">
      <w:pPr>
        <w:pStyle w:val="SNArticle"/>
        <w:keepNext/>
        <w:rPr>
          <w:rFonts w:ascii="Times New Roman" w:hAnsi="Times New Roman" w:cs="Times New Roman"/>
        </w:rPr>
      </w:pPr>
      <w:r>
        <w:rPr>
          <w:rFonts w:ascii="Times New Roman" w:hAnsi="Times New Roman"/>
        </w:rPr>
        <w:t>Article 1</w:t>
      </w:r>
    </w:p>
    <w:p w:rsidR="00121B80" w:rsidRPr="006C397D" w:rsidRDefault="00371CC6" w:rsidP="0033532B">
      <w:pPr>
        <w:spacing w:after="0" w:line="240" w:lineRule="auto"/>
        <w:rPr>
          <w:rFonts w:ascii="Times New Roman" w:hAnsi="Times New Roman" w:cs="Times New Roman"/>
          <w:bCs/>
          <w:sz w:val="24"/>
          <w:szCs w:val="24"/>
        </w:rPr>
      </w:pPr>
      <w:r>
        <w:rPr>
          <w:rFonts w:ascii="Times New Roman" w:hAnsi="Times New Roman"/>
          <w:bCs/>
          <w:sz w:val="24"/>
          <w:szCs w:val="24"/>
        </w:rPr>
        <w:t>The calculation method annexed to this Order and provided for in Article R111-20-5 of the Construction and Housing Code is hereby approved.</w:t>
      </w:r>
    </w:p>
    <w:p w:rsidR="001776C9" w:rsidRPr="006C397D" w:rsidRDefault="001776C9" w:rsidP="0033532B">
      <w:pPr>
        <w:spacing w:after="0" w:line="240" w:lineRule="auto"/>
        <w:rPr>
          <w:rFonts w:ascii="Times New Roman" w:hAnsi="Times New Roman" w:cs="Times New Roman"/>
          <w:bCs/>
          <w:sz w:val="24"/>
          <w:szCs w:val="24"/>
        </w:rPr>
      </w:pPr>
    </w:p>
    <w:p w:rsidR="006C397D" w:rsidRPr="006C397D" w:rsidRDefault="006C397D" w:rsidP="0033532B">
      <w:pPr>
        <w:spacing w:after="0" w:line="240" w:lineRule="auto"/>
        <w:rPr>
          <w:rFonts w:ascii="Times New Roman" w:hAnsi="Times New Roman" w:cs="Times New Roman"/>
          <w:bCs/>
          <w:sz w:val="24"/>
          <w:szCs w:val="24"/>
        </w:rPr>
      </w:pPr>
    </w:p>
    <w:p w:rsidR="00121B80" w:rsidRPr="006C397D" w:rsidRDefault="00121B80" w:rsidP="0033532B">
      <w:pPr>
        <w:keepNext/>
        <w:spacing w:after="0" w:line="240" w:lineRule="auto"/>
        <w:jc w:val="center"/>
      </w:pPr>
      <w:r>
        <w:rPr>
          <w:rFonts w:ascii="Times New Roman" w:hAnsi="Times New Roman"/>
          <w:b/>
          <w:bCs/>
          <w:sz w:val="24"/>
          <w:szCs w:val="24"/>
        </w:rPr>
        <w:t>Article 2</w:t>
      </w:r>
    </w:p>
    <w:p w:rsidR="00121B80" w:rsidRPr="006C397D" w:rsidRDefault="00121B80" w:rsidP="0033532B">
      <w:pPr>
        <w:keepNext/>
        <w:spacing w:after="0" w:line="240" w:lineRule="auto"/>
        <w:jc w:val="center"/>
        <w:rPr>
          <w:rFonts w:ascii="Times New Roman" w:hAnsi="Times New Roman" w:cs="Times New Roman"/>
          <w:sz w:val="24"/>
          <w:szCs w:val="24"/>
        </w:rPr>
      </w:pPr>
    </w:p>
    <w:p w:rsidR="00121B80" w:rsidRPr="006C397D" w:rsidRDefault="00371CC6" w:rsidP="0033532B">
      <w:pPr>
        <w:spacing w:after="0" w:line="240" w:lineRule="auto"/>
        <w:jc w:val="both"/>
      </w:pPr>
      <w:r>
        <w:rPr>
          <w:rFonts w:ascii="Times New Roman" w:hAnsi="Times New Roman"/>
          <w:color w:val="000000"/>
          <w:sz w:val="24"/>
          <w:szCs w:val="24"/>
        </w:rPr>
        <w:t>The Director for Housing, Urban Development and Landscapes and the Director General for Energy and Climate shall be responsible, each within the scope of their respective competences, for the implementation of this Order, which shall be published in the Official Journal of the Ministry of the Ecological and Inclusive Transition.</w:t>
      </w:r>
    </w:p>
    <w:p w:rsidR="00121B80" w:rsidRPr="006C397D" w:rsidRDefault="00121B80" w:rsidP="0033532B">
      <w:pPr>
        <w:spacing w:after="0" w:line="240" w:lineRule="auto"/>
        <w:jc w:val="both"/>
      </w:pPr>
    </w:p>
    <w:p w:rsidR="00121B80" w:rsidRPr="006C397D" w:rsidRDefault="00121B80" w:rsidP="0033532B">
      <w:pPr>
        <w:spacing w:after="0" w:line="240" w:lineRule="auto"/>
      </w:pPr>
    </w:p>
    <w:p w:rsidR="00121B80" w:rsidRPr="006C397D" w:rsidRDefault="00121B80" w:rsidP="0033532B">
      <w:pPr>
        <w:pStyle w:val="SNSignature"/>
        <w:ind w:firstLine="0"/>
        <w:jc w:val="right"/>
      </w:pPr>
    </w:p>
    <w:p w:rsidR="00121B80" w:rsidRPr="006C397D" w:rsidRDefault="00121B80" w:rsidP="0033532B">
      <w:pPr>
        <w:pStyle w:val="SNSignature"/>
        <w:ind w:firstLine="0"/>
        <w:jc w:val="right"/>
      </w:pPr>
    </w:p>
    <w:p w:rsidR="00121B80" w:rsidRPr="006C397D" w:rsidRDefault="00121B80" w:rsidP="0033532B">
      <w:pPr>
        <w:pStyle w:val="SNSignature"/>
        <w:ind w:firstLine="0"/>
      </w:pPr>
    </w:p>
    <w:p w:rsidR="00121B80" w:rsidRPr="006C397D" w:rsidRDefault="00121B80" w:rsidP="0033532B">
      <w:pPr>
        <w:spacing w:after="0" w:line="240" w:lineRule="auto"/>
      </w:pPr>
    </w:p>
    <w:p w:rsidR="00121B80" w:rsidRPr="006C397D" w:rsidRDefault="00121B80" w:rsidP="0033532B">
      <w:pPr>
        <w:pStyle w:val="SNSignatureDroite"/>
        <w:keepNext/>
        <w:keepLines/>
        <w:jc w:val="left"/>
      </w:pPr>
      <w:r>
        <w:t xml:space="preserve">The Minister for the Ecological Transition </w:t>
      </w:r>
    </w:p>
    <w:p w:rsidR="00121B80" w:rsidRPr="006C397D" w:rsidRDefault="00121B80" w:rsidP="0033532B">
      <w:pPr>
        <w:pStyle w:val="SNSignatureDroite"/>
        <w:keepNext/>
        <w:keepLines/>
        <w:jc w:val="left"/>
      </w:pPr>
      <w:r>
        <w:t>For and on behalf of the Minister:</w:t>
      </w:r>
    </w:p>
    <w:p w:rsidR="00371CC6" w:rsidRPr="006C397D" w:rsidRDefault="00121B80" w:rsidP="0033532B">
      <w:pPr>
        <w:pStyle w:val="SNSignatureDroite"/>
        <w:jc w:val="left"/>
      </w:pPr>
      <w:r>
        <w:t>the Director of Housing, Urban Development and Landscapes,</w:t>
      </w:r>
    </w:p>
    <w:p w:rsidR="00121B80" w:rsidRPr="006C397D" w:rsidRDefault="00121B80" w:rsidP="0033532B">
      <w:pPr>
        <w:pStyle w:val="SNSignatureDroite"/>
        <w:jc w:val="left"/>
      </w:pPr>
    </w:p>
    <w:p w:rsidR="00121B80" w:rsidRPr="006C397D" w:rsidRDefault="00121B80" w:rsidP="0033532B">
      <w:pPr>
        <w:pStyle w:val="SNSignatureDroite"/>
        <w:jc w:val="left"/>
      </w:pPr>
    </w:p>
    <w:p w:rsidR="00121B80" w:rsidRPr="006C397D" w:rsidRDefault="00121B80" w:rsidP="0033532B">
      <w:pPr>
        <w:pStyle w:val="SNSignatureDroite"/>
        <w:jc w:val="left"/>
      </w:pPr>
    </w:p>
    <w:p w:rsidR="00121B80" w:rsidRPr="006C397D" w:rsidRDefault="00121B80" w:rsidP="0033532B">
      <w:pPr>
        <w:pStyle w:val="SNSignatureDroite"/>
        <w:jc w:val="left"/>
      </w:pPr>
    </w:p>
    <w:p w:rsidR="00121B80" w:rsidRPr="006C397D" w:rsidRDefault="00121B80" w:rsidP="0033532B">
      <w:pPr>
        <w:pStyle w:val="SNSignatureDroite"/>
        <w:jc w:val="left"/>
      </w:pPr>
    </w:p>
    <w:p w:rsidR="00121B80" w:rsidRPr="006C397D" w:rsidRDefault="00121B80" w:rsidP="0033532B">
      <w:pPr>
        <w:pStyle w:val="SNSignature"/>
        <w:ind w:firstLine="0"/>
      </w:pPr>
    </w:p>
    <w:p w:rsidR="00121B80" w:rsidRPr="006C397D" w:rsidRDefault="00121B80" w:rsidP="0033532B">
      <w:pPr>
        <w:pStyle w:val="SNSignature"/>
        <w:keepNext/>
        <w:keepLines/>
        <w:ind w:firstLine="0"/>
        <w:jc w:val="right"/>
      </w:pPr>
      <w:r>
        <w:t>The Minister for the Ecological Transition</w:t>
      </w:r>
    </w:p>
    <w:p w:rsidR="00121B80" w:rsidRPr="006C397D" w:rsidRDefault="00121B80" w:rsidP="0033532B">
      <w:pPr>
        <w:pStyle w:val="SNSignature"/>
        <w:keepNext/>
        <w:keepLines/>
        <w:ind w:firstLine="0"/>
        <w:jc w:val="right"/>
      </w:pPr>
      <w:r>
        <w:t>For and on behalf of the Minister:</w:t>
      </w:r>
    </w:p>
    <w:p w:rsidR="00121B80" w:rsidRPr="006C397D" w:rsidRDefault="00121B80" w:rsidP="0033532B">
      <w:pPr>
        <w:pStyle w:val="SNSignature"/>
        <w:ind w:firstLine="0"/>
        <w:jc w:val="right"/>
      </w:pPr>
      <w:r>
        <w:t>the Director-General for Energy and Climate,</w:t>
      </w:r>
    </w:p>
    <w:p w:rsidR="00121B80" w:rsidRPr="006C397D" w:rsidRDefault="00121B80" w:rsidP="0033532B">
      <w:pPr>
        <w:pStyle w:val="SNSignature"/>
        <w:ind w:firstLine="0"/>
        <w:jc w:val="right"/>
      </w:pPr>
    </w:p>
    <w:p w:rsidR="00121B80" w:rsidRPr="006C397D" w:rsidRDefault="00121B80" w:rsidP="0033532B">
      <w:pPr>
        <w:pStyle w:val="SNSignature"/>
        <w:ind w:firstLine="0"/>
        <w:jc w:val="right"/>
      </w:pPr>
    </w:p>
    <w:p w:rsidR="00121B80" w:rsidRPr="006C397D" w:rsidRDefault="00121B80" w:rsidP="0033532B">
      <w:pPr>
        <w:pStyle w:val="SNSignature"/>
        <w:ind w:firstLine="0"/>
        <w:jc w:val="right"/>
      </w:pPr>
    </w:p>
    <w:p w:rsidR="00121B80" w:rsidRPr="006C397D" w:rsidRDefault="00121B80" w:rsidP="0033532B">
      <w:pPr>
        <w:pStyle w:val="SNSignature"/>
        <w:ind w:firstLine="0"/>
      </w:pPr>
    </w:p>
    <w:p w:rsidR="00121B80" w:rsidRPr="006C397D" w:rsidRDefault="00121B80" w:rsidP="0033532B">
      <w:pPr>
        <w:pStyle w:val="SNSignature"/>
        <w:ind w:firstLine="0"/>
      </w:pPr>
      <w:bookmarkStart w:id="0" w:name="_GoBack"/>
      <w:bookmarkEnd w:id="0"/>
    </w:p>
    <w:p w:rsidR="00121B80" w:rsidRPr="006C397D" w:rsidRDefault="00121B80" w:rsidP="00BF71D1">
      <w:pPr>
        <w:pStyle w:val="SNSignatureDroite"/>
        <w:keepNext/>
        <w:keepLines/>
        <w:jc w:val="left"/>
      </w:pPr>
      <w:r>
        <w:t xml:space="preserve">The Minister Delegate for Housing, attached to the Minister for the Ecological Transition </w:t>
      </w:r>
    </w:p>
    <w:p w:rsidR="00121B80" w:rsidRPr="006C397D" w:rsidRDefault="00121B80" w:rsidP="0033532B">
      <w:pPr>
        <w:pStyle w:val="SNSignatureDroite"/>
        <w:keepNext/>
        <w:keepLines/>
        <w:jc w:val="left"/>
      </w:pPr>
      <w:r>
        <w:t>For and on behalf of the Minister:</w:t>
      </w:r>
    </w:p>
    <w:p w:rsidR="00121B80" w:rsidRPr="006C397D" w:rsidRDefault="00121B80" w:rsidP="0033532B">
      <w:pPr>
        <w:pStyle w:val="SNSignatureDroite"/>
        <w:jc w:val="left"/>
      </w:pPr>
      <w:r>
        <w:t>the Director of Housing, Urban Development and Landscapes,</w:t>
      </w:r>
    </w:p>
    <w:sectPr w:rsidR="00121B80" w:rsidRPr="006C397D">
      <w:pgSz w:w="11906" w:h="16838"/>
      <w:pgMar w:top="1133" w:right="1133" w:bottom="1133" w:left="1133" w:header="720" w:footer="720" w:gutter="0"/>
      <w:cols w:space="72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362" w:rsidRDefault="00F40362" w:rsidP="0079276F">
      <w:pPr>
        <w:spacing w:after="0" w:line="240" w:lineRule="auto"/>
      </w:pPr>
      <w:r>
        <w:separator/>
      </w:r>
    </w:p>
  </w:endnote>
  <w:endnote w:type="continuationSeparator" w:id="0">
    <w:p w:rsidR="00F40362" w:rsidRDefault="00F40362" w:rsidP="00792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font443">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charset w:val="00"/>
    <w:family w:val="swiss"/>
    <w:pitch w:val="variable"/>
    <w:sig w:usb0="E0000AFF" w:usb1="500078FF" w:usb2="00000021" w:usb3="00000000" w:csb0="000001BF" w:csb1="00000000"/>
  </w:font>
  <w:font w:name="Microsoft YaHei">
    <w:altName w:val="微软雅黑"/>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DengXian">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362" w:rsidRDefault="00F40362" w:rsidP="0079276F">
      <w:pPr>
        <w:spacing w:after="0" w:line="240" w:lineRule="auto"/>
      </w:pPr>
      <w:r>
        <w:separator/>
      </w:r>
    </w:p>
  </w:footnote>
  <w:footnote w:type="continuationSeparator" w:id="0">
    <w:p w:rsidR="00F40362" w:rsidRDefault="00F40362" w:rsidP="007927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8612A"/>
    <w:multiLevelType w:val="hybridMultilevel"/>
    <w:tmpl w:val="596E649E"/>
    <w:lvl w:ilvl="0" w:tplc="DC8EE016">
      <w:start w:val="2"/>
      <w:numFmt w:val="bullet"/>
      <w:lvlText w:val="-"/>
      <w:lvlJc w:val="left"/>
      <w:pPr>
        <w:ind w:left="720" w:hanging="360"/>
      </w:pPr>
      <w:rPr>
        <w:rFonts w:ascii="Times New Roman" w:eastAsia="font443"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oNotHyphenateCaps/>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C7E"/>
    <w:rsid w:val="000352B4"/>
    <w:rsid w:val="000370CB"/>
    <w:rsid w:val="000A64C4"/>
    <w:rsid w:val="00121B80"/>
    <w:rsid w:val="001776C9"/>
    <w:rsid w:val="002B5C7E"/>
    <w:rsid w:val="00304F7E"/>
    <w:rsid w:val="003305DB"/>
    <w:rsid w:val="0033532B"/>
    <w:rsid w:val="00371CC6"/>
    <w:rsid w:val="0049409A"/>
    <w:rsid w:val="006C397D"/>
    <w:rsid w:val="0078501D"/>
    <w:rsid w:val="0079276F"/>
    <w:rsid w:val="00837B47"/>
    <w:rsid w:val="00890FE9"/>
    <w:rsid w:val="008F5F95"/>
    <w:rsid w:val="00971E35"/>
    <w:rsid w:val="00972FD1"/>
    <w:rsid w:val="00A73D1D"/>
    <w:rsid w:val="00A92569"/>
    <w:rsid w:val="00AA1C12"/>
    <w:rsid w:val="00AF75F5"/>
    <w:rsid w:val="00BF71D1"/>
    <w:rsid w:val="00D125B4"/>
    <w:rsid w:val="00D269A1"/>
    <w:rsid w:val="00D85F5D"/>
    <w:rsid w:val="00F40362"/>
    <w:rsid w:val="00F475E9"/>
  </w:rsids>
  <m:mathPr>
    <m:mathFont m:val="Cambria Math"/>
    <m:brkBin m:val="before"/>
    <m:brkBinSub m:val="--"/>
    <m:smallFrac m:val="0"/>
    <m:dispDef/>
    <m:lMargin m:val="0"/>
    <m:rMargin m:val="0"/>
    <m:defJc m:val="centerGroup"/>
    <m:wrapIndent m:val="1440"/>
    <m:intLim m:val="subSup"/>
    <m:naryLim m:val="undOvr"/>
  </m:mathPr>
  <w:themeFontLang w:val="fr-FR"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43D3994F-6DA6-47FF-AAD0-60A77FDF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rFonts w:ascii="Calibri" w:eastAsia="font443" w:hAnsi="Calibri" w:cs="font44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style>
  <w:style w:type="character" w:customStyle="1" w:styleId="lev1">
    <w:name w:val="Élevé1"/>
    <w:rPr>
      <w:b/>
      <w:bCs/>
    </w:rPr>
  </w:style>
  <w:style w:type="character" w:customStyle="1" w:styleId="CorpsdetexteCar">
    <w:name w:val="Corps de texte Car"/>
    <w:rPr>
      <w:rFonts w:ascii="Times New Roman" w:eastAsia="Times New Roman" w:hAnsi="Times New Roman" w:cs="Times New Roman"/>
      <w:kern w:val="2"/>
      <w:sz w:val="24"/>
      <w:szCs w:val="24"/>
      <w:lang w:eastAsia="zh-CN"/>
    </w:rPr>
  </w:style>
  <w:style w:type="character" w:customStyle="1" w:styleId="SNArticleCar">
    <w:name w:val="SNArticle Car"/>
    <w:rPr>
      <w:b/>
      <w:sz w:val="24"/>
      <w:szCs w:val="24"/>
    </w:rPr>
  </w:style>
  <w:style w:type="character" w:styleId="Hyperlink">
    <w:name w:val="Hyperlink"/>
    <w:rPr>
      <w:color w:val="0563C1"/>
      <w:u w:val="single"/>
    </w:rPr>
  </w:style>
  <w:style w:type="character" w:customStyle="1" w:styleId="Marquedecommentaire1">
    <w:name w:val="Marque de commentaire1"/>
    <w:rPr>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TextedebullesCar">
    <w:name w:val="Texte de bulles Car"/>
    <w:rPr>
      <w:rFonts w:ascii="Segoe UI" w:hAnsi="Segoe UI" w:cs="Segoe UI"/>
      <w:sz w:val="18"/>
      <w:szCs w:val="18"/>
    </w:rPr>
  </w:style>
  <w:style w:type="character" w:customStyle="1" w:styleId="En-tteCar">
    <w:name w:val="En-tête Car"/>
    <w:basedOn w:val="Policepardfaut1"/>
  </w:style>
  <w:style w:type="character" w:customStyle="1" w:styleId="PieddepageCar">
    <w:name w:val="Pied de page Car"/>
    <w:basedOn w:val="Policepardfaut1"/>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eastAsia="font443" w:cs="Times New Roman"/>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eastAsia="font443" w:cs="Times New Roman"/>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ascii="Times New Roman" w:hAnsi="Times New Roman" w:cs="Times New Roman"/>
      <w:i/>
      <w:iCs/>
      <w:sz w:val="24"/>
      <w:szCs w:val="24"/>
    </w:rPr>
  </w:style>
  <w:style w:type="paragraph" w:customStyle="1" w:styleId="Titre1">
    <w:name w:val="Titre1"/>
    <w:basedOn w:val="Normal"/>
    <w:next w:val="BodyTex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20" w:line="240" w:lineRule="auto"/>
      <w:jc w:val="both"/>
    </w:pPr>
    <w:rPr>
      <w:rFonts w:ascii="Times New Roman" w:eastAsia="Times New Roman" w:hAnsi="Times New Roman" w:cs="Times New Roman"/>
      <w:kern w:val="2"/>
      <w:sz w:val="24"/>
      <w:szCs w:val="24"/>
      <w:lang w:eastAsia="zh-CN"/>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pPr>
      <w:suppressLineNumbers/>
    </w:pPr>
    <w:rPr>
      <w:rFonts w:cs="Lucida Sans"/>
    </w:rPr>
  </w:style>
  <w:style w:type="paragraph" w:customStyle="1" w:styleId="SNNORCentr">
    <w:name w:val="SNNOR+Centré"/>
    <w:next w:val="Normal"/>
    <w:pPr>
      <w:suppressAutoHyphens/>
      <w:jc w:val="center"/>
    </w:pPr>
    <w:rPr>
      <w:bCs/>
      <w:kern w:val="2"/>
      <w:sz w:val="24"/>
      <w:lang w:eastAsia="zh-CN"/>
    </w:rPr>
  </w:style>
  <w:style w:type="paragraph" w:customStyle="1" w:styleId="Corpsdetexte21">
    <w:name w:val="Corps de texte 21"/>
    <w:basedOn w:val="Normal"/>
    <w:pPr>
      <w:spacing w:after="0" w:line="240" w:lineRule="auto"/>
      <w:jc w:val="center"/>
    </w:pPr>
    <w:rPr>
      <w:rFonts w:ascii="Times New Roman" w:eastAsia="Times New Roman" w:hAnsi="Times New Roman" w:cs="Times New Roman"/>
      <w:b/>
      <w:bCs/>
      <w:kern w:val="2"/>
      <w:sz w:val="24"/>
      <w:szCs w:val="24"/>
      <w:lang w:eastAsia="zh-CN"/>
    </w:rPr>
  </w:style>
  <w:style w:type="paragraph" w:customStyle="1" w:styleId="western">
    <w:name w:val="western"/>
    <w:basedOn w:val="Normal"/>
    <w:pPr>
      <w:spacing w:before="100" w:after="119" w:line="240" w:lineRule="auto"/>
      <w:jc w:val="both"/>
    </w:pPr>
    <w:rPr>
      <w:rFonts w:ascii="Times New Roman" w:eastAsia="Times New Roman" w:hAnsi="Times New Roman" w:cs="Times New Roman"/>
      <w:kern w:val="2"/>
      <w:sz w:val="24"/>
      <w:szCs w:val="24"/>
      <w:lang w:eastAsia="zh-CN"/>
    </w:rPr>
  </w:style>
  <w:style w:type="paragraph" w:customStyle="1" w:styleId="SNSignature">
    <w:name w:val="SNSignature"/>
    <w:basedOn w:val="Normal"/>
    <w:pPr>
      <w:spacing w:after="0" w:line="240" w:lineRule="auto"/>
      <w:ind w:firstLine="720"/>
    </w:pPr>
    <w:rPr>
      <w:rFonts w:ascii="Times New Roman" w:eastAsia="Times New Roman" w:hAnsi="Times New Roman" w:cs="Times New Roman"/>
      <w:kern w:val="2"/>
      <w:sz w:val="24"/>
      <w:szCs w:val="24"/>
      <w:lang w:eastAsia="zh-CN"/>
    </w:rPr>
  </w:style>
  <w:style w:type="paragraph" w:customStyle="1" w:styleId="SNSignatureDroite">
    <w:name w:val="SNSignature Droite"/>
    <w:basedOn w:val="Normal"/>
    <w:pPr>
      <w:spacing w:after="0" w:line="240" w:lineRule="auto"/>
      <w:jc w:val="right"/>
    </w:pPr>
    <w:rPr>
      <w:rFonts w:ascii="Times New Roman" w:eastAsia="Times New Roman" w:hAnsi="Times New Roman" w:cs="Times New Roman"/>
      <w:kern w:val="2"/>
      <w:sz w:val="24"/>
      <w:szCs w:val="24"/>
      <w:lang w:eastAsia="zh-CN"/>
    </w:rPr>
  </w:style>
  <w:style w:type="paragraph" w:customStyle="1" w:styleId="SNAutorit">
    <w:name w:val="SNAutorité"/>
    <w:basedOn w:val="Normal"/>
    <w:pPr>
      <w:spacing w:before="720" w:after="240" w:line="240" w:lineRule="auto"/>
      <w:ind w:firstLine="720"/>
    </w:pPr>
    <w:rPr>
      <w:rFonts w:ascii="Times New Roman" w:eastAsia="Times New Roman" w:hAnsi="Times New Roman" w:cs="Times New Roman"/>
      <w:b/>
      <w:kern w:val="2"/>
      <w:sz w:val="24"/>
      <w:szCs w:val="24"/>
      <w:lang w:eastAsia="zh-CN"/>
    </w:rPr>
  </w:style>
  <w:style w:type="paragraph" w:customStyle="1" w:styleId="SNVisa">
    <w:name w:val="SNVisa"/>
    <w:basedOn w:val="Normal"/>
    <w:pPr>
      <w:spacing w:before="120" w:after="120" w:line="240" w:lineRule="auto"/>
      <w:ind w:firstLine="720"/>
    </w:pPr>
    <w:rPr>
      <w:rFonts w:ascii="Times New Roman" w:eastAsia="Times New Roman" w:hAnsi="Times New Roman" w:cs="Times New Roman"/>
      <w:sz w:val="24"/>
      <w:szCs w:val="24"/>
    </w:rPr>
  </w:style>
  <w:style w:type="paragraph" w:styleId="NormalWeb">
    <w:name w:val="Normal (Web)"/>
    <w:basedOn w:val="Normal"/>
    <w:pPr>
      <w:spacing w:before="280" w:after="142" w:line="288" w:lineRule="auto"/>
    </w:pPr>
    <w:rPr>
      <w:rFonts w:ascii="Times New Roman" w:eastAsia="Times New Roman" w:hAnsi="Times New Roman" w:cs="Times New Roman"/>
      <w:sz w:val="24"/>
      <w:szCs w:val="24"/>
    </w:rPr>
  </w:style>
  <w:style w:type="paragraph" w:customStyle="1" w:styleId="SNArticle">
    <w:name w:val="SNArticle"/>
    <w:basedOn w:val="Normal"/>
    <w:next w:val="BodyText"/>
    <w:pPr>
      <w:spacing w:before="240" w:after="240" w:line="240" w:lineRule="auto"/>
      <w:jc w:val="center"/>
    </w:pPr>
    <w:rPr>
      <w:b/>
      <w:sz w:val="24"/>
      <w:szCs w:val="24"/>
    </w:rPr>
  </w:style>
  <w:style w:type="paragraph" w:customStyle="1" w:styleId="Paragraphedeliste1">
    <w:name w:val="Paragraphe de liste1"/>
    <w:basedOn w:val="Normal"/>
    <w:pPr>
      <w:ind w:left="720"/>
      <w:contextualSpacing/>
    </w:pPr>
  </w:style>
  <w:style w:type="paragraph" w:customStyle="1" w:styleId="SNREPUBLIQUE">
    <w:name w:val="SNREPUBLIQUE"/>
    <w:basedOn w:val="Normal"/>
    <w:pPr>
      <w:spacing w:after="0" w:line="240" w:lineRule="auto"/>
      <w:jc w:val="center"/>
    </w:pPr>
    <w:rPr>
      <w:rFonts w:ascii="Times New Roman" w:eastAsia="Times New Roman" w:hAnsi="Times New Roman" w:cs="Times New Roman"/>
      <w:b/>
      <w:bCs/>
      <w:kern w:val="2"/>
      <w:sz w:val="24"/>
      <w:szCs w:val="20"/>
      <w:lang w:eastAsia="zh-CN"/>
    </w:rPr>
  </w:style>
  <w:style w:type="paragraph" w:customStyle="1" w:styleId="SNTimbre">
    <w:name w:val="SNTimbre"/>
    <w:basedOn w:val="Normal"/>
    <w:pPr>
      <w:widowControl w:val="0"/>
      <w:snapToGrid w:val="0"/>
      <w:spacing w:before="120" w:after="0" w:line="240" w:lineRule="auto"/>
      <w:jc w:val="center"/>
    </w:pPr>
    <w:rPr>
      <w:rFonts w:ascii="Times New Roman" w:eastAsia="Lucida Sans Unicode" w:hAnsi="Times New Roman" w:cs="Times New Roman"/>
      <w:kern w:val="2"/>
      <w:sz w:val="24"/>
      <w:szCs w:val="24"/>
      <w:lang w:eastAsia="zh-CN"/>
    </w:rPr>
  </w:style>
  <w:style w:type="paragraph" w:customStyle="1" w:styleId="Commentaire1">
    <w:name w:val="Commentaire1"/>
    <w:basedOn w:val="Normal"/>
    <w:pPr>
      <w:spacing w:line="240" w:lineRule="auto"/>
    </w:pPr>
    <w:rPr>
      <w:sz w:val="20"/>
      <w:szCs w:val="20"/>
    </w:rPr>
  </w:style>
  <w:style w:type="paragraph" w:customStyle="1" w:styleId="Objetducommentaire1">
    <w:name w:val="Objet du commentaire1"/>
    <w:basedOn w:val="Commentaire1"/>
    <w:next w:val="Commentaire1"/>
    <w:rPr>
      <w:b/>
      <w:bCs/>
    </w:rPr>
  </w:style>
  <w:style w:type="paragraph" w:customStyle="1" w:styleId="Textedebulles1">
    <w:name w:val="Texte de bulles1"/>
    <w:basedOn w:val="Normal"/>
    <w:pPr>
      <w:spacing w:after="0" w:line="240" w:lineRule="auto"/>
    </w:pPr>
    <w:rPr>
      <w:rFonts w:ascii="Segoe UI" w:hAnsi="Segoe UI" w:cs="Segoe UI"/>
      <w:sz w:val="18"/>
      <w:szCs w:val="18"/>
    </w:rPr>
  </w:style>
  <w:style w:type="paragraph" w:styleId="Header">
    <w:name w:val="header"/>
    <w:basedOn w:val="Normal"/>
    <w:pPr>
      <w:tabs>
        <w:tab w:val="center" w:pos="4536"/>
        <w:tab w:val="right" w:pos="9072"/>
      </w:tabs>
      <w:spacing w:after="0" w:line="240" w:lineRule="auto"/>
    </w:pPr>
  </w:style>
  <w:style w:type="paragraph" w:styleId="Footer">
    <w:name w:val="footer"/>
    <w:basedOn w:val="Normal"/>
    <w:pPr>
      <w:tabs>
        <w:tab w:val="center" w:pos="4536"/>
        <w:tab w:val="right" w:pos="9072"/>
      </w:tabs>
      <w:spacing w:after="0" w:line="240" w:lineRule="auto"/>
    </w:pPr>
  </w:style>
  <w:style w:type="paragraph" w:customStyle="1" w:styleId="Rvision1">
    <w:name w:val="Révision1"/>
    <w:pPr>
      <w:suppressAutoHyphens/>
    </w:pPr>
    <w:rPr>
      <w:rFonts w:ascii="Calibri" w:eastAsia="font443" w:hAnsi="Calibri" w:cs="font443"/>
      <w:sz w:val="22"/>
      <w:szCs w:val="22"/>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link w:val="CommentText"/>
    <w:uiPriority w:val="99"/>
    <w:semiHidden/>
    <w:rsid w:val="00371CC6"/>
    <w:rPr>
      <w:rFonts w:ascii="Calibri" w:eastAsia="font443" w:hAnsi="Calibri" w:cs="font443"/>
    </w:rPr>
  </w:style>
  <w:style w:type="paragraph" w:styleId="CommentSubject">
    <w:name w:val="annotation subject"/>
    <w:basedOn w:val="CommentText"/>
    <w:next w:val="CommentText"/>
    <w:link w:val="CommentSubjectChar"/>
    <w:uiPriority w:val="99"/>
    <w:semiHidden/>
    <w:unhideWhenUsed/>
    <w:rsid w:val="00371CC6"/>
    <w:rPr>
      <w:b/>
      <w:bCs/>
    </w:rPr>
  </w:style>
  <w:style w:type="character" w:customStyle="1" w:styleId="CommentSubjectChar">
    <w:name w:val="Comment Subject Char"/>
    <w:link w:val="CommentSubject"/>
    <w:uiPriority w:val="99"/>
    <w:semiHidden/>
    <w:rsid w:val="00371CC6"/>
    <w:rPr>
      <w:rFonts w:ascii="Calibri" w:eastAsia="font443" w:hAnsi="Calibri" w:cs="font443"/>
      <w:b/>
      <w:bCs/>
    </w:rPr>
  </w:style>
  <w:style w:type="paragraph" w:styleId="BalloonText">
    <w:name w:val="Balloon Text"/>
    <w:basedOn w:val="Normal"/>
    <w:link w:val="BalloonTextChar"/>
    <w:uiPriority w:val="99"/>
    <w:semiHidden/>
    <w:unhideWhenUsed/>
    <w:rsid w:val="00371CC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71CC6"/>
    <w:rPr>
      <w:rFonts w:ascii="Segoe UI" w:eastAsia="font443"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85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gifrance.gouv.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725</Words>
  <Characters>4138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4854</CharactersWithSpaces>
  <SharedDoc>false</SharedDoc>
  <HLinks>
    <vt:vector size="6" baseType="variant">
      <vt:variant>
        <vt:i4>3801195</vt:i4>
      </vt:variant>
      <vt:variant>
        <vt:i4>0</vt:i4>
      </vt:variant>
      <vt:variant>
        <vt:i4>0</vt:i4>
      </vt:variant>
      <vt:variant>
        <vt:i4>5</vt:i4>
      </vt:variant>
      <vt:variant>
        <vt:lpwstr>http://www.legifrance.gouv.fr/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THIEBAUT Alois V0.10</dc:creator>
  <cp:keywords/>
  <cp:lastModifiedBy>Ke, Tingting</cp:lastModifiedBy>
  <cp:revision>7</cp:revision>
  <cp:lastPrinted>1899-12-31T23:00:00Z</cp:lastPrinted>
  <dcterms:created xsi:type="dcterms:W3CDTF">2020-12-11T13:33:00Z</dcterms:created>
  <dcterms:modified xsi:type="dcterms:W3CDTF">2020-12-17T01:26:00Z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jforCreatedThisOn">
    <vt:lpwstr>Wed Jan 15 14:01:39 CET 2020</vt:lpwstr>
  </property>
  <property fmtid="{D5CDD505-2E9C-101B-9397-08002B2CF9AE}" pid="9" name="jforVersion">
    <vt:lpwstr>jfor V0.7.2rc1 - see http://www.jfor.org</vt:lpwstr>
  </property>
</Properties>
</file>