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7571F" w14:textId="416B1B7A" w:rsidR="005D7637" w:rsidRPr="005D7637" w:rsidRDefault="004318C9" w:rsidP="005D7637">
      <w:pPr>
        <w:pStyle w:val="Ttulo1"/>
      </w:pPr>
      <w:r>
        <w:t xml:space="preserve">CEFIC REPLY TO THE TRIS NOTIFICATION </w:t>
      </w:r>
      <w:r w:rsidR="005D7637">
        <w:t>2020/832/F and 2020/833/F</w:t>
      </w:r>
    </w:p>
    <w:p w14:paraId="54A7B4D1" w14:textId="34309399" w:rsidR="00113094" w:rsidRPr="00113094" w:rsidRDefault="00655DDB" w:rsidP="001B0CA8">
      <w:pPr>
        <w:pStyle w:val="Ttulo2"/>
      </w:pPr>
      <w:r>
        <w:t>T</w:t>
      </w:r>
      <w:r w:rsidR="005D7637">
        <w:t>o identify and manage Endocrine Disruptors</w:t>
      </w:r>
      <w:r>
        <w:t>, regulatory actions deemed necessary should be taken at EU level, in the form of a Regulation,</w:t>
      </w:r>
      <w:r w:rsidR="005D7637">
        <w:t xml:space="preserve"> across all EU Member States. Such approach would lead to consistency on all actions and measures across the </w:t>
      </w:r>
      <w:r w:rsidR="00CD36C0">
        <w:t>European Internal Market. Cefic is concern</w:t>
      </w:r>
      <w:r>
        <w:t>ed</w:t>
      </w:r>
      <w:r w:rsidR="00CD36C0">
        <w:t xml:space="preserve"> on the introduction of </w:t>
      </w:r>
      <w:r w:rsidR="00C30150">
        <w:t xml:space="preserve">French national </w:t>
      </w:r>
      <w:r w:rsidR="00CD36C0">
        <w:t>measure</w:t>
      </w:r>
      <w:r w:rsidR="00C30150">
        <w:t>s</w:t>
      </w:r>
      <w:r w:rsidR="00CD36C0">
        <w:t xml:space="preserve"> which are not aligned with the European </w:t>
      </w:r>
      <w:r w:rsidR="00C30150">
        <w:t xml:space="preserve">actions foreseen under the Chemicals Strategy for Sustainability </w:t>
      </w:r>
      <w:r w:rsidR="00CD36C0">
        <w:t>and that could jeopardise the good functioning of the internal market.</w:t>
      </w:r>
      <w:r w:rsidR="000213B4">
        <w:t xml:space="preserve"> </w:t>
      </w:r>
    </w:p>
    <w:p w14:paraId="6707DB52" w14:textId="77777777" w:rsidR="00A87C86" w:rsidRDefault="00A87C86" w:rsidP="0011701B">
      <w:pPr>
        <w:pStyle w:val="Ttulo3"/>
      </w:pPr>
    </w:p>
    <w:p w14:paraId="40D09430" w14:textId="48895EC4" w:rsidR="00113094" w:rsidRPr="0011701B" w:rsidRDefault="00CD36C0" w:rsidP="0011701B">
      <w:pPr>
        <w:pStyle w:val="Ttulo3"/>
      </w:pPr>
      <w:r>
        <w:t>Background</w:t>
      </w:r>
      <w:r w:rsidR="00113094" w:rsidRPr="0011701B">
        <w:t>:</w:t>
      </w:r>
    </w:p>
    <w:p w14:paraId="667CB408" w14:textId="445D00BB" w:rsidR="001B0CA8" w:rsidRPr="00924173" w:rsidRDefault="001B0CA8" w:rsidP="00CD36C0">
      <w:pPr>
        <w:pStyle w:val="Listacommarcas2"/>
        <w:numPr>
          <w:ilvl w:val="0"/>
          <w:numId w:val="0"/>
        </w:numPr>
        <w:ind w:left="1551"/>
        <w:jc w:val="both"/>
        <w:rPr>
          <w:b/>
          <w:bCs/>
          <w:color w:val="393335" w:themeColor="text1" w:themeTint="E6"/>
          <w:lang w:val="en-GB"/>
        </w:rPr>
      </w:pPr>
    </w:p>
    <w:p w14:paraId="1BA309B0" w14:textId="49330266" w:rsidR="00541A13" w:rsidRDefault="00CD36C0" w:rsidP="00CD36C0">
      <w:pPr>
        <w:pStyle w:val="Ttulo4"/>
        <w:numPr>
          <w:ilvl w:val="0"/>
          <w:numId w:val="0"/>
        </w:numPr>
        <w:rPr>
          <w:lang w:val="en-GB"/>
        </w:rPr>
      </w:pPr>
      <w:r>
        <w:rPr>
          <w:lang w:val="en-GB"/>
        </w:rPr>
        <w:t>On 22 December 2020, France notified the European Commission, via the TRIS Notification system</w:t>
      </w:r>
      <w:r w:rsidR="00913210">
        <w:rPr>
          <w:lang w:val="en-GB"/>
        </w:rPr>
        <w:t xml:space="preserve">, </w:t>
      </w:r>
      <w:r>
        <w:rPr>
          <w:lang w:val="en-GB"/>
        </w:rPr>
        <w:t>two draft Decrees which lay down the conditions governing the application of the legislative provisions related to the creation of a list of hazardous substances and the implementation of the obligation to provide information which identified the presence of Endocrine Disruptors (EDs) in products</w:t>
      </w:r>
      <w:r w:rsidR="00913210">
        <w:rPr>
          <w:lang w:val="en-GB"/>
        </w:rPr>
        <w:t xml:space="preserve"> (notification number TRIS 2020/832/F and TRIS 2020/833/F).</w:t>
      </w:r>
    </w:p>
    <w:p w14:paraId="34326B2A" w14:textId="77777777" w:rsidR="004A6999" w:rsidRDefault="004A6999" w:rsidP="004A6999">
      <w:pPr>
        <w:rPr>
          <w:rFonts w:eastAsia="Times New Roman" w:cs="Calibri-Light"/>
          <w:color w:val="00ACA1" w:themeColor="text2"/>
          <w:sz w:val="32"/>
          <w:szCs w:val="42"/>
          <w:lang w:val="en-GB" w:eastAsia="fr-FR"/>
        </w:rPr>
      </w:pPr>
    </w:p>
    <w:p w14:paraId="3179B788" w14:textId="289C3F4B" w:rsidR="004A6999" w:rsidRPr="004A6999" w:rsidRDefault="004A6999" w:rsidP="004A6999">
      <w:pPr>
        <w:rPr>
          <w:rFonts w:eastAsia="Times New Roman" w:cs="Calibri-Light"/>
          <w:color w:val="00ACA1" w:themeColor="text2"/>
          <w:sz w:val="32"/>
          <w:szCs w:val="42"/>
          <w:lang w:val="en-GB" w:eastAsia="fr-FR"/>
        </w:rPr>
      </w:pPr>
      <w:r>
        <w:rPr>
          <w:rFonts w:eastAsia="Times New Roman" w:cs="Calibri-Light"/>
          <w:color w:val="00ACA1" w:themeColor="text2"/>
          <w:sz w:val="32"/>
          <w:szCs w:val="42"/>
          <w:lang w:val="en-GB" w:eastAsia="fr-FR"/>
        </w:rPr>
        <w:t xml:space="preserve">General Considerations </w:t>
      </w:r>
    </w:p>
    <w:p w14:paraId="27CAC2B4" w14:textId="77777777" w:rsidR="00FA7E63" w:rsidRDefault="00FA7E63" w:rsidP="00FA7E63">
      <w:pPr>
        <w:pStyle w:val="PargrafodaLista"/>
        <w:numPr>
          <w:ilvl w:val="0"/>
          <w:numId w:val="34"/>
        </w:numPr>
        <w:autoSpaceDE w:val="0"/>
        <w:autoSpaceDN w:val="0"/>
        <w:adjustRightInd w:val="0"/>
        <w:spacing w:before="0" w:line="240" w:lineRule="auto"/>
        <w:ind w:left="0"/>
      </w:pPr>
    </w:p>
    <w:p w14:paraId="6C12CF2A" w14:textId="2BD1121E" w:rsidR="00FA7E63" w:rsidRPr="00FA7E63" w:rsidRDefault="00FA7E63" w:rsidP="00FA7E63">
      <w:pPr>
        <w:pStyle w:val="PargrafodaLista"/>
        <w:numPr>
          <w:ilvl w:val="0"/>
          <w:numId w:val="34"/>
        </w:numPr>
        <w:autoSpaceDE w:val="0"/>
        <w:autoSpaceDN w:val="0"/>
        <w:adjustRightInd w:val="0"/>
        <w:spacing w:before="0" w:line="240" w:lineRule="auto"/>
        <w:ind w:left="0"/>
      </w:pPr>
      <w:r w:rsidRPr="00FA7E63">
        <w:rPr>
          <w:b/>
          <w:bCs/>
        </w:rPr>
        <w:t>The introduction of new national mandatory requirements, not aligned with European requirements, and jeopardise the level playing field within the EU and the good functioning of its market.</w:t>
      </w:r>
      <w:r w:rsidRPr="00FA7E63">
        <w:t xml:space="preserve"> Furthermore, these additional obligations will increase the complexity of information gathering along the value chain for companies placing products on the French market. In addition, potential labelling requirements, not in line with EU obligations, would be likely to affect the free circulation of goods within the EU. Finally, these requirements would lead to legal uncertainty due to the lack of</w:t>
      </w:r>
      <w:r w:rsidR="007C5962">
        <w:t xml:space="preserve"> clarity o</w:t>
      </w:r>
      <w:r w:rsidRPr="00FA7E63">
        <w:t xml:space="preserve">n the scope of these requirements, the lists of substances and the methodology for their adoption and update. </w:t>
      </w:r>
    </w:p>
    <w:p w14:paraId="28A2691B" w14:textId="77777777" w:rsidR="00FA7E63" w:rsidRPr="00FA7E63" w:rsidRDefault="00FA7E63" w:rsidP="00FA7E63">
      <w:pPr>
        <w:pStyle w:val="PargrafodaLista"/>
        <w:autoSpaceDE w:val="0"/>
        <w:autoSpaceDN w:val="0"/>
        <w:adjustRightInd w:val="0"/>
        <w:spacing w:line="240" w:lineRule="auto"/>
        <w:ind w:left="0"/>
      </w:pPr>
    </w:p>
    <w:p w14:paraId="79A70B8B" w14:textId="0A33ACBB" w:rsidR="00FA7E63" w:rsidRPr="00FA7E63" w:rsidRDefault="00FA7E63">
      <w:pPr>
        <w:pStyle w:val="PargrafodaLista"/>
        <w:numPr>
          <w:ilvl w:val="0"/>
          <w:numId w:val="34"/>
        </w:numPr>
        <w:autoSpaceDE w:val="0"/>
        <w:autoSpaceDN w:val="0"/>
        <w:adjustRightInd w:val="0"/>
        <w:spacing w:before="0" w:line="240" w:lineRule="auto"/>
        <w:ind w:left="0"/>
      </w:pPr>
      <w:r w:rsidRPr="00FA7E63">
        <w:t xml:space="preserve">Industry asks for harmonisation </w:t>
      </w:r>
      <w:r w:rsidR="00556582">
        <w:t xml:space="preserve">and alignment </w:t>
      </w:r>
      <w:r w:rsidRPr="00FA7E63">
        <w:t xml:space="preserve">of </w:t>
      </w:r>
      <w:r>
        <w:t>any national initiative</w:t>
      </w:r>
      <w:r w:rsidR="00556582">
        <w:t xml:space="preserve"> with the </w:t>
      </w:r>
      <w:r w:rsidR="003F25A1">
        <w:t xml:space="preserve">soon to be taken decisions related to </w:t>
      </w:r>
      <w:r w:rsidRPr="00FA7E63">
        <w:t>the Green Deal</w:t>
      </w:r>
      <w:r>
        <w:t xml:space="preserve"> and</w:t>
      </w:r>
      <w:r w:rsidR="003F25A1">
        <w:t xml:space="preserve"> especially to </w:t>
      </w:r>
      <w:r>
        <w:t>the Chemical Strategy for Sustainability (CSS)</w:t>
      </w:r>
      <w:r w:rsidR="003F25A1">
        <w:t xml:space="preserve">, that </w:t>
      </w:r>
      <w:r>
        <w:t xml:space="preserve"> </w:t>
      </w:r>
      <w:r w:rsidR="00297BA9">
        <w:t>encompasses</w:t>
      </w:r>
      <w:r>
        <w:t xml:space="preserve"> </w:t>
      </w:r>
      <w:r w:rsidRPr="00FA7E63">
        <w:t>multiple legislative actions on various topics</w:t>
      </w:r>
      <w:r>
        <w:t xml:space="preserve">, </w:t>
      </w:r>
      <w:r w:rsidR="003F25A1">
        <w:t xml:space="preserve">including </w:t>
      </w:r>
      <w:r>
        <w:t>Endocrine Disruptors.</w:t>
      </w:r>
      <w:r w:rsidRPr="00FA7E63">
        <w:t xml:space="preserve"> </w:t>
      </w:r>
      <w:r w:rsidR="00556582">
        <w:t>Moreover, a</w:t>
      </w:r>
      <w:r w:rsidR="00297BA9">
        <w:t>ny f</w:t>
      </w:r>
      <w:r w:rsidRPr="00FA7E63">
        <w:t xml:space="preserve">ragmented approach at </w:t>
      </w:r>
      <w:r w:rsidR="00297BA9" w:rsidRPr="00FA7E63">
        <w:t>national</w:t>
      </w:r>
      <w:r w:rsidRPr="00FA7E63">
        <w:t xml:space="preserve"> leve</w:t>
      </w:r>
      <w:r w:rsidR="00556582">
        <w:t xml:space="preserve">l, especially when aiming at </w:t>
      </w:r>
      <w:r w:rsidRPr="00FA7E63">
        <w:t>identifying hazardous substances and endocrine disruptors</w:t>
      </w:r>
      <w:r w:rsidR="00556582">
        <w:t>,</w:t>
      </w:r>
      <w:r w:rsidR="00297BA9">
        <w:t xml:space="preserve"> </w:t>
      </w:r>
      <w:r w:rsidR="00556582">
        <w:t xml:space="preserve">appears in contradiction with </w:t>
      </w:r>
      <w:r w:rsidRPr="00FA7E63">
        <w:t>the ‘one substance one assessment’ principle that the European Commission promotes in th</w:t>
      </w:r>
      <w:r w:rsidR="00297BA9">
        <w:t>e CSS</w:t>
      </w:r>
      <w:r w:rsidRPr="00FA7E63">
        <w:t xml:space="preserve">. </w:t>
      </w:r>
      <w:r w:rsidR="00C348D1">
        <w:t xml:space="preserve">We understand France </w:t>
      </w:r>
      <w:r w:rsidR="001E1A94">
        <w:t xml:space="preserve">otherwise </w:t>
      </w:r>
      <w:r w:rsidR="00C348D1">
        <w:t>supports actions proposed by the European Commission under the CSS, particularly the proposal to address Endocrine Disruptors under the CLP (Classification, Labelling, Packaging Regulation) which</w:t>
      </w:r>
      <w:r w:rsidR="001E1A94">
        <w:t xml:space="preserve">, once implemented, will result in </w:t>
      </w:r>
      <w:r w:rsidR="001E1A94">
        <w:lastRenderedPageBreak/>
        <w:t xml:space="preserve">labelling and listing of EDs (under Annex VI to CLP). The Commission intends to launch a legislative proposal amending CLP in 2021. </w:t>
      </w:r>
    </w:p>
    <w:p w14:paraId="1872D26D" w14:textId="77777777" w:rsidR="00FA7E63" w:rsidRPr="00FA7E63" w:rsidRDefault="00FA7E63" w:rsidP="00FA7E63">
      <w:pPr>
        <w:pStyle w:val="PargrafodaLista"/>
        <w:numPr>
          <w:ilvl w:val="0"/>
          <w:numId w:val="34"/>
        </w:numPr>
        <w:autoSpaceDE w:val="0"/>
        <w:autoSpaceDN w:val="0"/>
        <w:adjustRightInd w:val="0"/>
        <w:spacing w:before="0" w:line="240" w:lineRule="auto"/>
        <w:ind w:left="0"/>
      </w:pPr>
    </w:p>
    <w:p w14:paraId="07FF6E0D" w14:textId="4950E26A" w:rsidR="00FA7E63" w:rsidRPr="00FA7E63" w:rsidRDefault="00674917" w:rsidP="00FA7E63">
      <w:pPr>
        <w:pStyle w:val="PargrafodaLista"/>
        <w:numPr>
          <w:ilvl w:val="0"/>
          <w:numId w:val="34"/>
        </w:numPr>
        <w:autoSpaceDE w:val="0"/>
        <w:autoSpaceDN w:val="0"/>
        <w:adjustRightInd w:val="0"/>
        <w:spacing w:before="0" w:line="240" w:lineRule="auto"/>
        <w:ind w:left="0"/>
      </w:pPr>
      <w:r>
        <w:t xml:space="preserve">Cefic </w:t>
      </w:r>
      <w:r w:rsidR="00FA7E63" w:rsidRPr="00FA7E63">
        <w:t>consider</w:t>
      </w:r>
      <w:r>
        <w:t>s</w:t>
      </w:r>
      <w:r w:rsidR="00FA7E63" w:rsidRPr="00FA7E63">
        <w:t xml:space="preserve"> that the </w:t>
      </w:r>
      <w:r>
        <w:t xml:space="preserve">differentiation of </w:t>
      </w:r>
      <w:r w:rsidR="00FA7E63" w:rsidRPr="00FA7E63">
        <w:t xml:space="preserve">rules on the same subject </w:t>
      </w:r>
      <w:r>
        <w:t>at European level and at Member States level, such as measures to strengthen consumer information on the presence of hazardous substances in products proposed by these Decrees,</w:t>
      </w:r>
      <w:r w:rsidR="00FA7E63" w:rsidRPr="00FA7E63">
        <w:t xml:space="preserve"> would </w:t>
      </w:r>
      <w:r w:rsidR="00556582">
        <w:t xml:space="preserve">also </w:t>
      </w:r>
      <w:r w:rsidR="00FA7E63" w:rsidRPr="00FA7E63">
        <w:t xml:space="preserve">likely create considerable burden for the industry, </w:t>
      </w:r>
      <w:r w:rsidR="00556582">
        <w:t xml:space="preserve">along with </w:t>
      </w:r>
      <w:r w:rsidR="00FA7E63" w:rsidRPr="00FA7E63">
        <w:t>fragmentation within the EU internal market</w:t>
      </w:r>
      <w:r w:rsidR="00323B70">
        <w:t xml:space="preserve"> and confusion of consumers</w:t>
      </w:r>
      <w:r w:rsidR="00EA54A1">
        <w:t xml:space="preserve"> and users of chemicals</w:t>
      </w:r>
      <w:r w:rsidR="00323B70">
        <w:t xml:space="preserve"> who will get some information at national level and possibly different information at European level</w:t>
      </w:r>
      <w:r w:rsidR="00FA7E63" w:rsidRPr="00FA7E63">
        <w:t xml:space="preserve">. It is therefore essential to the efficiency and success of the </w:t>
      </w:r>
      <w:r w:rsidR="00993DD4">
        <w:t>European policies related to chemicals</w:t>
      </w:r>
      <w:r w:rsidR="00FA7E63" w:rsidRPr="00FA7E63">
        <w:t xml:space="preserve"> that requirements are developed on a harmonised basis, across all EU Member States, and proportionate to ensure the effective ongoing operation of the internal market. </w:t>
      </w:r>
    </w:p>
    <w:p w14:paraId="6D2DA304" w14:textId="77777777" w:rsidR="00FA7E63" w:rsidRPr="00FA7E63" w:rsidRDefault="00FA7E63" w:rsidP="00FA7E63">
      <w:pPr>
        <w:pStyle w:val="PargrafodaLista"/>
        <w:autoSpaceDE w:val="0"/>
        <w:autoSpaceDN w:val="0"/>
        <w:adjustRightInd w:val="0"/>
        <w:spacing w:line="240" w:lineRule="auto"/>
        <w:ind w:left="0"/>
      </w:pPr>
    </w:p>
    <w:p w14:paraId="0AD3B66F" w14:textId="20F5A1AA" w:rsidR="00FA7E63" w:rsidRPr="00FA7E63" w:rsidRDefault="00323B70" w:rsidP="00FA7E63">
      <w:pPr>
        <w:pStyle w:val="PargrafodaLista"/>
        <w:numPr>
          <w:ilvl w:val="0"/>
          <w:numId w:val="34"/>
        </w:numPr>
        <w:autoSpaceDE w:val="0"/>
        <w:autoSpaceDN w:val="0"/>
        <w:adjustRightInd w:val="0"/>
        <w:spacing w:before="0" w:line="240" w:lineRule="auto"/>
        <w:ind w:left="0"/>
      </w:pPr>
      <w:r>
        <w:t>In addition, t</w:t>
      </w:r>
      <w:r w:rsidR="00674917">
        <w:t>he</w:t>
      </w:r>
      <w:r w:rsidR="00993DD4">
        <w:t xml:space="preserve"> REACH Regulation, the cornerstone of chemicals policy, </w:t>
      </w:r>
      <w:r w:rsidR="00674917">
        <w:t xml:space="preserve">already </w:t>
      </w:r>
      <w:r w:rsidR="00993DD4">
        <w:t xml:space="preserve">foresees </w:t>
      </w:r>
      <w:r w:rsidR="00674917">
        <w:t xml:space="preserve">tools to identify and communicate </w:t>
      </w:r>
      <w:r w:rsidR="00993DD4">
        <w:t xml:space="preserve">on </w:t>
      </w:r>
      <w:r w:rsidR="00674917">
        <w:t>any hazardous substances, in particular</w:t>
      </w:r>
      <w:r w:rsidR="00FA7E63" w:rsidRPr="00FA7E63">
        <w:t xml:space="preserve"> SVHC (</w:t>
      </w:r>
      <w:r w:rsidR="00993DD4">
        <w:t xml:space="preserve">thus </w:t>
      </w:r>
      <w:r w:rsidR="00FA7E63" w:rsidRPr="00FA7E63">
        <w:t>including endocrine disruptors)</w:t>
      </w:r>
      <w:r w:rsidR="00F32B29">
        <w:t>. These tools</w:t>
      </w:r>
      <w:r w:rsidR="00FA7E63" w:rsidRPr="00FA7E63">
        <w:t xml:space="preserve"> include a review by an independent scientific committee</w:t>
      </w:r>
      <w:r w:rsidR="008D7209">
        <w:t xml:space="preserve"> (</w:t>
      </w:r>
      <w:r w:rsidR="00FA7E63" w:rsidRPr="00FA7E63">
        <w:t xml:space="preserve">the </w:t>
      </w:r>
      <w:r>
        <w:t>MSC</w:t>
      </w:r>
      <w:r w:rsidRPr="00FA7E63">
        <w:t xml:space="preserve"> </w:t>
      </w:r>
      <w:r w:rsidR="008D7209">
        <w:t>C</w:t>
      </w:r>
      <w:r w:rsidR="00FA7E63" w:rsidRPr="00FA7E63">
        <w:t>ommittee</w:t>
      </w:r>
      <w:r w:rsidR="008D7209">
        <w:t xml:space="preserve">) </w:t>
      </w:r>
      <w:r w:rsidR="00F32B29">
        <w:t>which evaluates any proposed classification of a substance as SVHC and provides its</w:t>
      </w:r>
      <w:r w:rsidR="00FA7E63" w:rsidRPr="00FA7E63">
        <w:t xml:space="preserve"> opinion. </w:t>
      </w:r>
      <w:r w:rsidR="00FF24E1">
        <w:t xml:space="preserve">While for REACH the process is well established and transparent, in the case of the French Decrees </w:t>
      </w:r>
      <w:r w:rsidR="00FA7E63" w:rsidRPr="00FA7E63">
        <w:t xml:space="preserve">it seems that such a scientific and independent review has not been </w:t>
      </w:r>
      <w:r w:rsidR="00FF24E1">
        <w:t xml:space="preserve">nor is </w:t>
      </w:r>
      <w:r w:rsidR="008D7209">
        <w:t>envisaged</w:t>
      </w:r>
      <w:r w:rsidR="00FF24E1">
        <w:t xml:space="preserve"> to be implemented</w:t>
      </w:r>
      <w:r w:rsidR="00FA7E63" w:rsidRPr="00FA7E63">
        <w:t xml:space="preserve">. </w:t>
      </w:r>
    </w:p>
    <w:p w14:paraId="1A52EDD5" w14:textId="77777777" w:rsidR="00E16707" w:rsidRPr="004A6999" w:rsidRDefault="00E16707" w:rsidP="004265AA"/>
    <w:p w14:paraId="25D4BBAA" w14:textId="77777777" w:rsidR="001E0F4A" w:rsidRDefault="001E0F4A" w:rsidP="001E0F4A">
      <w:pPr>
        <w:rPr>
          <w:rFonts w:eastAsia="Times New Roman" w:cs="Calibri-Light"/>
          <w:color w:val="00ACA1" w:themeColor="text2"/>
          <w:sz w:val="32"/>
          <w:szCs w:val="42"/>
          <w:lang w:val="en-GB" w:eastAsia="fr-FR"/>
        </w:rPr>
      </w:pPr>
      <w:r>
        <w:rPr>
          <w:rFonts w:eastAsia="Times New Roman" w:cs="Calibri-Light"/>
          <w:color w:val="00ACA1" w:themeColor="text2"/>
          <w:sz w:val="32"/>
          <w:szCs w:val="42"/>
          <w:lang w:val="en-GB" w:eastAsia="fr-FR"/>
        </w:rPr>
        <w:t>SPECIFIC COMMENTS ON THE DECREE UNDER REFERENCE TRIS 2020/833/F ON THE IDENTIFICATION OF HAZARDOUS SUBSTANCES IN WASTE-GENERATING PRODUCTS</w:t>
      </w:r>
    </w:p>
    <w:p w14:paraId="34164D6D" w14:textId="5C5E399A" w:rsidR="00526623" w:rsidRPr="001E0F4A" w:rsidRDefault="001E0F4A" w:rsidP="001E0F4A">
      <w:pPr>
        <w:rPr>
          <w:rFonts w:eastAsia="Times New Roman" w:cs="Calibri-Light"/>
          <w:color w:val="00ACA1" w:themeColor="text2"/>
          <w:sz w:val="32"/>
          <w:szCs w:val="42"/>
          <w:lang w:val="en-GB" w:eastAsia="fr-FR"/>
        </w:rPr>
      </w:pPr>
      <w:r>
        <w:rPr>
          <w:rFonts w:eastAsia="Times New Roman" w:cs="Calibri-Light"/>
          <w:color w:val="00ACA1" w:themeColor="text2"/>
          <w:sz w:val="32"/>
          <w:szCs w:val="42"/>
          <w:lang w:val="en-GB" w:eastAsia="fr-FR"/>
        </w:rPr>
        <w:t xml:space="preserve"> </w:t>
      </w:r>
    </w:p>
    <w:p w14:paraId="151E0ACC" w14:textId="718B321B" w:rsidR="001E0F4A" w:rsidRDefault="001E0F4A" w:rsidP="007C5962">
      <w:pPr>
        <w:pStyle w:val="Default"/>
        <w:numPr>
          <w:ilvl w:val="1"/>
          <w:numId w:val="34"/>
        </w:numPr>
        <w:jc w:val="both"/>
        <w:rPr>
          <w:rFonts w:eastAsia="Calibri" w:cs="Times New Roman"/>
          <w:color w:val="343A3D" w:themeColor="background1"/>
          <w:sz w:val="22"/>
          <w:szCs w:val="22"/>
          <w:lang w:val="en-US"/>
        </w:rPr>
      </w:pPr>
      <w:r w:rsidRPr="001E0F4A">
        <w:rPr>
          <w:rFonts w:eastAsia="Calibri" w:cs="Times New Roman"/>
          <w:color w:val="343A3D" w:themeColor="background1"/>
          <w:sz w:val="22"/>
          <w:szCs w:val="22"/>
          <w:lang w:val="en-US"/>
        </w:rPr>
        <w:t>Regarding</w:t>
      </w:r>
      <w:r w:rsidR="007213D3">
        <w:rPr>
          <w:rFonts w:eastAsia="Calibri" w:cs="Times New Roman"/>
          <w:color w:val="343A3D" w:themeColor="background1"/>
          <w:sz w:val="22"/>
          <w:szCs w:val="22"/>
          <w:lang w:val="en-US"/>
        </w:rPr>
        <w:t xml:space="preserve"> the presence of</w:t>
      </w:r>
      <w:r w:rsidRPr="001E0F4A">
        <w:rPr>
          <w:rFonts w:eastAsia="Calibri" w:cs="Times New Roman"/>
          <w:color w:val="343A3D" w:themeColor="background1"/>
          <w:sz w:val="22"/>
          <w:szCs w:val="22"/>
          <w:lang w:val="en-US"/>
        </w:rPr>
        <w:t xml:space="preserve"> hazardous substances</w:t>
      </w:r>
      <w:r w:rsidR="007213D3">
        <w:rPr>
          <w:rFonts w:eastAsia="Calibri" w:cs="Times New Roman"/>
          <w:color w:val="343A3D" w:themeColor="background1"/>
          <w:sz w:val="22"/>
          <w:szCs w:val="22"/>
          <w:lang w:val="en-US"/>
        </w:rPr>
        <w:t xml:space="preserve"> in products</w:t>
      </w:r>
      <w:r w:rsidRPr="001E0F4A">
        <w:rPr>
          <w:rFonts w:eastAsia="Calibri" w:cs="Times New Roman"/>
          <w:color w:val="343A3D" w:themeColor="background1"/>
          <w:sz w:val="22"/>
          <w:szCs w:val="22"/>
          <w:lang w:val="en-US"/>
        </w:rPr>
        <w:t xml:space="preserve">, the requirements </w:t>
      </w:r>
      <w:r w:rsidR="007213D3">
        <w:rPr>
          <w:rFonts w:eastAsia="Calibri" w:cs="Times New Roman"/>
          <w:color w:val="343A3D" w:themeColor="background1"/>
          <w:sz w:val="22"/>
          <w:szCs w:val="22"/>
          <w:lang w:val="en-US"/>
        </w:rPr>
        <w:t xml:space="preserve">stated in the French Decree </w:t>
      </w:r>
      <w:r w:rsidR="008D7209">
        <w:rPr>
          <w:rFonts w:eastAsia="Calibri" w:cs="Times New Roman"/>
          <w:color w:val="343A3D" w:themeColor="background1"/>
          <w:sz w:val="22"/>
          <w:szCs w:val="22"/>
          <w:lang w:val="en-US"/>
        </w:rPr>
        <w:t>(</w:t>
      </w:r>
      <w:r w:rsidR="007213D3">
        <w:rPr>
          <w:rFonts w:eastAsia="Calibri" w:cs="Times New Roman"/>
          <w:color w:val="343A3D" w:themeColor="background1"/>
          <w:sz w:val="22"/>
          <w:szCs w:val="22"/>
          <w:lang w:val="en-US"/>
        </w:rPr>
        <w:t>Notification Reference TRIS 2020/833/F</w:t>
      </w:r>
      <w:r w:rsidR="008D7209">
        <w:rPr>
          <w:rFonts w:eastAsia="Calibri" w:cs="Times New Roman"/>
          <w:color w:val="343A3D" w:themeColor="background1"/>
          <w:sz w:val="22"/>
          <w:szCs w:val="22"/>
          <w:lang w:val="en-US"/>
        </w:rPr>
        <w:t>)</w:t>
      </w:r>
      <w:r w:rsidR="007213D3">
        <w:rPr>
          <w:rFonts w:eastAsia="Calibri" w:cs="Times New Roman"/>
          <w:color w:val="343A3D" w:themeColor="background1"/>
          <w:sz w:val="22"/>
          <w:szCs w:val="22"/>
          <w:lang w:val="en-US"/>
        </w:rPr>
        <w:t xml:space="preserve">, </w:t>
      </w:r>
      <w:r w:rsidRPr="001E0F4A">
        <w:rPr>
          <w:rFonts w:eastAsia="Calibri" w:cs="Times New Roman"/>
          <w:color w:val="343A3D" w:themeColor="background1"/>
          <w:sz w:val="22"/>
          <w:szCs w:val="22"/>
          <w:lang w:val="en-US"/>
        </w:rPr>
        <w:t xml:space="preserve">on information to consumers go beyond the </w:t>
      </w:r>
      <w:r w:rsidR="007213D3">
        <w:rPr>
          <w:rFonts w:eastAsia="Calibri" w:cs="Times New Roman"/>
          <w:color w:val="343A3D" w:themeColor="background1"/>
          <w:sz w:val="22"/>
          <w:szCs w:val="22"/>
          <w:lang w:val="en-US"/>
        </w:rPr>
        <w:t xml:space="preserve">requirements included in the </w:t>
      </w:r>
      <w:r w:rsidRPr="001E0F4A">
        <w:rPr>
          <w:rFonts w:eastAsia="Calibri" w:cs="Times New Roman"/>
          <w:color w:val="343A3D" w:themeColor="background1"/>
          <w:sz w:val="22"/>
          <w:szCs w:val="22"/>
          <w:lang w:val="en-US"/>
        </w:rPr>
        <w:t xml:space="preserve">REACH </w:t>
      </w:r>
      <w:r w:rsidR="007213D3">
        <w:rPr>
          <w:rFonts w:eastAsia="Calibri" w:cs="Times New Roman"/>
          <w:color w:val="343A3D" w:themeColor="background1"/>
          <w:sz w:val="22"/>
          <w:szCs w:val="22"/>
          <w:lang w:val="en-US"/>
        </w:rPr>
        <w:t>R</w:t>
      </w:r>
      <w:r w:rsidRPr="001E0F4A">
        <w:rPr>
          <w:rFonts w:eastAsia="Calibri" w:cs="Times New Roman"/>
          <w:color w:val="343A3D" w:themeColor="background1"/>
          <w:sz w:val="22"/>
          <w:szCs w:val="22"/>
          <w:lang w:val="en-US"/>
        </w:rPr>
        <w:t>egulation</w:t>
      </w:r>
      <w:r w:rsidR="007213D3">
        <w:rPr>
          <w:rFonts w:eastAsia="Calibri" w:cs="Times New Roman"/>
          <w:color w:val="343A3D" w:themeColor="background1"/>
          <w:sz w:val="22"/>
          <w:szCs w:val="22"/>
          <w:lang w:val="en-US"/>
        </w:rPr>
        <w:t xml:space="preserve"> </w:t>
      </w:r>
      <w:r w:rsidR="00CA617E">
        <w:rPr>
          <w:rFonts w:eastAsia="Calibri" w:cs="Times New Roman"/>
          <w:color w:val="343A3D" w:themeColor="background1"/>
          <w:sz w:val="22"/>
          <w:szCs w:val="22"/>
          <w:lang w:val="en-US"/>
        </w:rPr>
        <w:t xml:space="preserve">in three areas: </w:t>
      </w:r>
    </w:p>
    <w:p w14:paraId="5F55605B" w14:textId="0EDC5DAC" w:rsidR="005D4247" w:rsidRDefault="005D4247" w:rsidP="007C5962">
      <w:pPr>
        <w:pStyle w:val="Default"/>
        <w:jc w:val="both"/>
        <w:rPr>
          <w:rFonts w:eastAsia="Calibri" w:cs="Times New Roman"/>
          <w:color w:val="343A3D" w:themeColor="background1"/>
          <w:sz w:val="22"/>
          <w:szCs w:val="22"/>
          <w:lang w:val="en-US"/>
        </w:rPr>
      </w:pPr>
    </w:p>
    <w:p w14:paraId="0C9530F9" w14:textId="174B29B7" w:rsidR="00F11667" w:rsidRPr="001E0F4A" w:rsidRDefault="008D7209" w:rsidP="007C5962">
      <w:pPr>
        <w:pStyle w:val="Default"/>
        <w:numPr>
          <w:ilvl w:val="0"/>
          <w:numId w:val="37"/>
        </w:numPr>
        <w:jc w:val="both"/>
        <w:rPr>
          <w:rFonts w:eastAsia="Calibri" w:cs="Times New Roman"/>
          <w:color w:val="343A3D" w:themeColor="background1"/>
          <w:sz w:val="22"/>
          <w:szCs w:val="22"/>
          <w:lang w:val="en-US"/>
        </w:rPr>
      </w:pPr>
      <w:r>
        <w:rPr>
          <w:rFonts w:eastAsia="Calibri" w:cs="Times New Roman"/>
          <w:color w:val="343A3D" w:themeColor="background1"/>
          <w:sz w:val="22"/>
          <w:szCs w:val="22"/>
          <w:lang w:val="en-US"/>
        </w:rPr>
        <w:t>T</w:t>
      </w:r>
      <w:r w:rsidR="005D4247">
        <w:rPr>
          <w:rFonts w:eastAsia="Calibri" w:cs="Times New Roman"/>
          <w:color w:val="343A3D" w:themeColor="background1"/>
          <w:sz w:val="22"/>
          <w:szCs w:val="22"/>
          <w:lang w:val="en-US"/>
        </w:rPr>
        <w:t xml:space="preserve">he French Decree foresees the obligation </w:t>
      </w:r>
      <w:r>
        <w:rPr>
          <w:rFonts w:eastAsia="Calibri" w:cs="Times New Roman"/>
          <w:color w:val="343A3D" w:themeColor="background1"/>
          <w:sz w:val="22"/>
          <w:szCs w:val="22"/>
          <w:lang w:val="en-US"/>
        </w:rPr>
        <w:t xml:space="preserve">for </w:t>
      </w:r>
      <w:r w:rsidR="005D4247">
        <w:rPr>
          <w:rFonts w:eastAsia="Calibri" w:cs="Times New Roman"/>
          <w:color w:val="343A3D" w:themeColor="background1"/>
          <w:sz w:val="22"/>
          <w:szCs w:val="22"/>
          <w:lang w:val="en-US"/>
        </w:rPr>
        <w:t>companies to inform consumers on the presence of SVHCs in products</w:t>
      </w:r>
      <w:r w:rsidR="00F11667">
        <w:rPr>
          <w:rFonts w:eastAsia="Calibri" w:cs="Times New Roman"/>
          <w:color w:val="343A3D" w:themeColor="background1"/>
          <w:sz w:val="22"/>
          <w:szCs w:val="22"/>
          <w:lang w:val="en-US"/>
        </w:rPr>
        <w:t xml:space="preserve">, while </w:t>
      </w:r>
      <w:r w:rsidR="005D4247">
        <w:rPr>
          <w:rFonts w:eastAsia="Calibri" w:cs="Times New Roman"/>
          <w:color w:val="343A3D" w:themeColor="background1"/>
          <w:sz w:val="22"/>
          <w:szCs w:val="22"/>
          <w:lang w:val="en-US"/>
        </w:rPr>
        <w:t>REACH state</w:t>
      </w:r>
      <w:r w:rsidR="00F11667">
        <w:rPr>
          <w:rFonts w:eastAsia="Calibri" w:cs="Times New Roman"/>
          <w:color w:val="343A3D" w:themeColor="background1"/>
          <w:sz w:val="22"/>
          <w:szCs w:val="22"/>
          <w:lang w:val="en-US"/>
        </w:rPr>
        <w:t>s</w:t>
      </w:r>
      <w:r w:rsidR="005D4247">
        <w:rPr>
          <w:rFonts w:eastAsia="Calibri" w:cs="Times New Roman"/>
          <w:color w:val="343A3D" w:themeColor="background1"/>
          <w:sz w:val="22"/>
          <w:szCs w:val="22"/>
          <w:lang w:val="en-US"/>
        </w:rPr>
        <w:t xml:space="preserve"> that this information to consumers should be given on demand and not on a mandatory basis (Article 33.2).</w:t>
      </w:r>
    </w:p>
    <w:p w14:paraId="2B82BD21" w14:textId="040E3258" w:rsidR="00B45451" w:rsidRPr="00B45451" w:rsidRDefault="00F11667" w:rsidP="007C5962">
      <w:pPr>
        <w:pStyle w:val="Default"/>
        <w:numPr>
          <w:ilvl w:val="0"/>
          <w:numId w:val="37"/>
        </w:numPr>
        <w:jc w:val="both"/>
      </w:pPr>
      <w:r>
        <w:rPr>
          <w:rFonts w:eastAsia="Calibri" w:cs="Times New Roman"/>
          <w:color w:val="343A3D" w:themeColor="background1"/>
          <w:sz w:val="22"/>
          <w:szCs w:val="22"/>
          <w:lang w:val="en-US"/>
        </w:rPr>
        <w:t xml:space="preserve">The French Decree extends </w:t>
      </w:r>
      <w:r w:rsidR="005D4247" w:rsidRPr="00F11667">
        <w:t xml:space="preserve">the obligation to inform consumers </w:t>
      </w:r>
      <w:r w:rsidR="00CA617E">
        <w:t>on</w:t>
      </w:r>
      <w:r w:rsidR="005D4247" w:rsidRPr="00F11667">
        <w:t xml:space="preserve"> the presence of substances which, not being SVHCs, have a comparable concern but are not listed in the Candidate List</w:t>
      </w:r>
      <w:r>
        <w:rPr>
          <w:rFonts w:eastAsia="Calibri" w:cs="Times New Roman"/>
          <w:color w:val="343A3D" w:themeColor="background1"/>
          <w:sz w:val="22"/>
          <w:szCs w:val="22"/>
          <w:lang w:val="en-US"/>
        </w:rPr>
        <w:t xml:space="preserve">, without explicitly referring to the </w:t>
      </w:r>
      <w:r w:rsidR="005D4247" w:rsidRPr="00F11667">
        <w:t xml:space="preserve">Article 57 of REACH, </w:t>
      </w:r>
      <w:r>
        <w:rPr>
          <w:rFonts w:eastAsia="Calibri" w:cs="Times New Roman"/>
          <w:color w:val="343A3D" w:themeColor="background1"/>
          <w:sz w:val="22"/>
          <w:szCs w:val="22"/>
          <w:lang w:val="en-US"/>
        </w:rPr>
        <w:t>which describes</w:t>
      </w:r>
      <w:r w:rsidR="005D4247" w:rsidRPr="00F11667">
        <w:t xml:space="preserve"> the criteria to identify SHVCs. This reference is of utmost importance as it provides clarity on how substances </w:t>
      </w:r>
      <w:r>
        <w:rPr>
          <w:rFonts w:eastAsia="Calibri" w:cs="Times New Roman"/>
          <w:color w:val="343A3D" w:themeColor="background1"/>
          <w:sz w:val="22"/>
          <w:szCs w:val="22"/>
          <w:lang w:val="en-US"/>
        </w:rPr>
        <w:t xml:space="preserve">are to, </w:t>
      </w:r>
      <w:r w:rsidR="005D4247" w:rsidRPr="00F11667">
        <w:t>or</w:t>
      </w:r>
      <w:r>
        <w:rPr>
          <w:rFonts w:eastAsia="Calibri" w:cs="Times New Roman"/>
          <w:color w:val="343A3D" w:themeColor="background1"/>
          <w:sz w:val="22"/>
          <w:szCs w:val="22"/>
          <w:lang w:val="en-US"/>
        </w:rPr>
        <w:t xml:space="preserve"> are </w:t>
      </w:r>
      <w:r w:rsidR="005D4247" w:rsidRPr="00F11667">
        <w:t>not</w:t>
      </w:r>
      <w:r>
        <w:rPr>
          <w:rFonts w:eastAsia="Calibri" w:cs="Times New Roman"/>
          <w:color w:val="343A3D" w:themeColor="background1"/>
          <w:sz w:val="22"/>
          <w:szCs w:val="22"/>
          <w:lang w:val="en-US"/>
        </w:rPr>
        <w:t xml:space="preserve"> to</w:t>
      </w:r>
      <w:r w:rsidR="005D4247" w:rsidRPr="00F11667">
        <w:t>,</w:t>
      </w:r>
      <w:r>
        <w:rPr>
          <w:rFonts w:eastAsia="Calibri" w:cs="Times New Roman"/>
          <w:color w:val="343A3D" w:themeColor="background1"/>
          <w:sz w:val="22"/>
          <w:szCs w:val="22"/>
          <w:lang w:val="en-US"/>
        </w:rPr>
        <w:t xml:space="preserve"> be</w:t>
      </w:r>
      <w:r w:rsidR="005D4247" w:rsidRPr="00F11667">
        <w:t xml:space="preserve"> identified as SVHCs. In fact, there have been cases in the past where substances have been proposed to be classified as SVHCs but such classification was not confirmed by RAC under the current European procedure (i.e. Cyclododecane or Trichlorobenzene). </w:t>
      </w:r>
      <w:r w:rsidR="001E0F4A" w:rsidRPr="00F11667">
        <w:t>This new requirement</w:t>
      </w:r>
      <w:r w:rsidR="005D4247" w:rsidRPr="00F11667">
        <w:t xml:space="preserve"> introduced by the French Decree</w:t>
      </w:r>
      <w:r w:rsidR="001E0F4A" w:rsidRPr="00F11667">
        <w:t xml:space="preserve"> jeopardizes the harmonised European procedure</w:t>
      </w:r>
      <w:r w:rsidR="00CA617E">
        <w:t xml:space="preserve"> which is supported by independent expert advice</w:t>
      </w:r>
      <w:r w:rsidR="001E0F4A" w:rsidRPr="00F11667">
        <w:t xml:space="preserve">. </w:t>
      </w:r>
      <w:r w:rsidR="00B45451">
        <w:rPr>
          <w:rFonts w:eastAsia="Calibri" w:cs="Times New Roman"/>
          <w:color w:val="343A3D" w:themeColor="background1"/>
          <w:sz w:val="22"/>
          <w:szCs w:val="22"/>
          <w:lang w:val="en-US"/>
        </w:rPr>
        <w:t xml:space="preserve"> </w:t>
      </w:r>
      <w:r w:rsidR="00B45451" w:rsidRPr="007C5962">
        <w:rPr>
          <w:rFonts w:eastAsia="Calibri" w:cs="Times New Roman"/>
          <w:color w:val="343A3D" w:themeColor="background1"/>
          <w:sz w:val="22"/>
          <w:szCs w:val="22"/>
          <w:lang w:val="en-US"/>
        </w:rPr>
        <w:t>The REACH</w:t>
      </w:r>
      <w:r w:rsidR="002833D7" w:rsidRPr="007C5962">
        <w:rPr>
          <w:rFonts w:eastAsia="Calibri" w:cs="Times New Roman"/>
          <w:color w:val="343A3D" w:themeColor="background1"/>
          <w:sz w:val="22"/>
          <w:szCs w:val="22"/>
          <w:lang w:val="en-US"/>
        </w:rPr>
        <w:t xml:space="preserve"> process to identify any substance as SVHC is clear, transparent and allows stakeholders to participate in the discussion and to provide any comments or evidence. Therefore, any proposed list of hazardous substances </w:t>
      </w:r>
      <w:r w:rsidR="00B45451" w:rsidRPr="007C5962">
        <w:rPr>
          <w:rFonts w:eastAsia="Calibri" w:cs="Times New Roman"/>
          <w:color w:val="343A3D" w:themeColor="background1"/>
          <w:sz w:val="22"/>
          <w:szCs w:val="22"/>
          <w:lang w:val="en-US"/>
        </w:rPr>
        <w:t>advanced at national level</w:t>
      </w:r>
      <w:r w:rsidR="002833D7" w:rsidRPr="007C5962">
        <w:rPr>
          <w:rFonts w:eastAsia="Calibri" w:cs="Times New Roman"/>
          <w:color w:val="343A3D" w:themeColor="background1"/>
          <w:sz w:val="22"/>
          <w:szCs w:val="22"/>
          <w:lang w:val="en-US"/>
        </w:rPr>
        <w:t xml:space="preserve"> should also envisage such </w:t>
      </w:r>
      <w:r w:rsidR="001E0F4A" w:rsidRPr="007C5962">
        <w:rPr>
          <w:rFonts w:eastAsia="Calibri" w:cs="Times New Roman"/>
          <w:color w:val="343A3D" w:themeColor="background1"/>
          <w:sz w:val="22"/>
          <w:szCs w:val="22"/>
          <w:lang w:val="en-US"/>
        </w:rPr>
        <w:t xml:space="preserve">stakeholder </w:t>
      </w:r>
      <w:r w:rsidR="00B45451" w:rsidRPr="007C5962">
        <w:rPr>
          <w:rFonts w:eastAsia="Calibri" w:cs="Times New Roman"/>
          <w:color w:val="343A3D" w:themeColor="background1"/>
          <w:sz w:val="22"/>
          <w:szCs w:val="22"/>
          <w:lang w:val="en-US"/>
        </w:rPr>
        <w:t>engagement</w:t>
      </w:r>
      <w:r w:rsidR="007C5962">
        <w:rPr>
          <w:rFonts w:eastAsia="Calibri" w:cs="Times New Roman"/>
          <w:color w:val="343A3D" w:themeColor="background1"/>
          <w:sz w:val="22"/>
          <w:szCs w:val="22"/>
          <w:lang w:val="en-US"/>
        </w:rPr>
        <w:t>,</w:t>
      </w:r>
      <w:r w:rsidR="00B45451" w:rsidRPr="007C5962">
        <w:rPr>
          <w:rFonts w:eastAsia="Calibri" w:cs="Times New Roman"/>
          <w:color w:val="343A3D" w:themeColor="background1"/>
          <w:sz w:val="22"/>
          <w:szCs w:val="22"/>
          <w:lang w:val="en-US"/>
        </w:rPr>
        <w:t xml:space="preserve"> </w:t>
      </w:r>
      <w:r w:rsidR="001E0F4A" w:rsidRPr="007C5962">
        <w:rPr>
          <w:rFonts w:eastAsia="Calibri" w:cs="Times New Roman"/>
          <w:color w:val="343A3D" w:themeColor="background1"/>
          <w:sz w:val="22"/>
          <w:szCs w:val="22"/>
          <w:lang w:val="en-US"/>
        </w:rPr>
        <w:t xml:space="preserve">followed by a TRIS notification </w:t>
      </w:r>
      <w:r w:rsidR="007C5962">
        <w:rPr>
          <w:rFonts w:eastAsia="Calibri" w:cs="Times New Roman"/>
          <w:color w:val="343A3D" w:themeColor="background1"/>
          <w:sz w:val="22"/>
          <w:szCs w:val="22"/>
          <w:lang w:val="en-US"/>
        </w:rPr>
        <w:t xml:space="preserve">of the list </w:t>
      </w:r>
      <w:r w:rsidR="001E0F4A" w:rsidRPr="007C5962">
        <w:rPr>
          <w:rFonts w:eastAsia="Calibri" w:cs="Times New Roman"/>
          <w:color w:val="343A3D" w:themeColor="background1"/>
          <w:sz w:val="22"/>
          <w:szCs w:val="22"/>
          <w:lang w:val="en-US"/>
        </w:rPr>
        <w:t>before publication</w:t>
      </w:r>
      <w:r w:rsidR="002833D7" w:rsidRPr="007C5962">
        <w:rPr>
          <w:rFonts w:eastAsia="Calibri" w:cs="Times New Roman"/>
          <w:color w:val="343A3D" w:themeColor="background1"/>
          <w:sz w:val="22"/>
          <w:szCs w:val="22"/>
          <w:lang w:val="en-US"/>
        </w:rPr>
        <w:t>.</w:t>
      </w:r>
    </w:p>
    <w:p w14:paraId="5F123C8B" w14:textId="51C91388" w:rsidR="001E0F4A" w:rsidRPr="00B740A2" w:rsidRDefault="00514827" w:rsidP="007C5962">
      <w:pPr>
        <w:pStyle w:val="Default"/>
        <w:numPr>
          <w:ilvl w:val="0"/>
          <w:numId w:val="37"/>
        </w:numPr>
        <w:jc w:val="both"/>
      </w:pPr>
      <w:r>
        <w:rPr>
          <w:rFonts w:eastAsia="Calibri" w:cs="Times New Roman"/>
          <w:color w:val="343A3D" w:themeColor="background1"/>
          <w:sz w:val="22"/>
          <w:szCs w:val="22"/>
          <w:lang w:val="en-US"/>
        </w:rPr>
        <w:lastRenderedPageBreak/>
        <w:t xml:space="preserve">The </w:t>
      </w:r>
      <w:r w:rsidR="007C5962">
        <w:rPr>
          <w:rFonts w:eastAsia="Calibri" w:cs="Times New Roman"/>
          <w:color w:val="343A3D" w:themeColor="background1"/>
          <w:sz w:val="22"/>
          <w:szCs w:val="22"/>
          <w:lang w:val="en-US"/>
        </w:rPr>
        <w:t xml:space="preserve">concentration </w:t>
      </w:r>
      <w:r w:rsidR="002833D7" w:rsidRPr="00B45451">
        <w:rPr>
          <w:rFonts w:eastAsia="Calibri" w:cs="Times New Roman"/>
          <w:color w:val="343A3D" w:themeColor="background1"/>
          <w:sz w:val="22"/>
          <w:szCs w:val="22"/>
          <w:lang w:val="en-US"/>
        </w:rPr>
        <w:t>thresholds for application of information requirement</w:t>
      </w:r>
      <w:r>
        <w:rPr>
          <w:rFonts w:eastAsia="Calibri" w:cs="Times New Roman"/>
          <w:color w:val="343A3D" w:themeColor="background1"/>
          <w:sz w:val="22"/>
          <w:szCs w:val="22"/>
          <w:lang w:val="en-US"/>
        </w:rPr>
        <w:t>s foreseen by the French Decree are not in line with the European ones</w:t>
      </w:r>
      <w:r w:rsidR="001E0F4A" w:rsidRPr="00B45451">
        <w:rPr>
          <w:rFonts w:eastAsia="Calibri" w:cs="Times New Roman"/>
          <w:color w:val="343A3D" w:themeColor="background1"/>
          <w:sz w:val="22"/>
          <w:szCs w:val="22"/>
          <w:lang w:val="en-US"/>
        </w:rPr>
        <w:t xml:space="preserve">. </w:t>
      </w:r>
      <w:r w:rsidR="002833D7" w:rsidRPr="00B45451">
        <w:rPr>
          <w:rFonts w:eastAsia="Calibri" w:cs="Times New Roman"/>
          <w:color w:val="343A3D" w:themeColor="background1"/>
          <w:sz w:val="22"/>
          <w:szCs w:val="22"/>
          <w:lang w:val="en-US"/>
        </w:rPr>
        <w:t>R</w:t>
      </w:r>
      <w:r w:rsidR="001E0F4A" w:rsidRPr="00B45451">
        <w:rPr>
          <w:rFonts w:eastAsia="Calibri" w:cs="Times New Roman"/>
          <w:color w:val="343A3D" w:themeColor="background1"/>
          <w:sz w:val="22"/>
          <w:szCs w:val="22"/>
          <w:lang w:val="en-US"/>
        </w:rPr>
        <w:t>eference to concentration threshold</w:t>
      </w:r>
      <w:r w:rsidR="002833D7" w:rsidRPr="00B45451">
        <w:rPr>
          <w:rFonts w:eastAsia="Calibri" w:cs="Times New Roman"/>
          <w:color w:val="343A3D" w:themeColor="background1"/>
          <w:sz w:val="22"/>
          <w:szCs w:val="22"/>
          <w:lang w:val="en-US"/>
        </w:rPr>
        <w:t>s</w:t>
      </w:r>
      <w:r w:rsidR="001E0F4A" w:rsidRPr="00B45451">
        <w:rPr>
          <w:rFonts w:eastAsia="Calibri" w:cs="Times New Roman"/>
          <w:color w:val="343A3D" w:themeColor="background1"/>
          <w:sz w:val="22"/>
          <w:szCs w:val="22"/>
          <w:lang w:val="en-US"/>
        </w:rPr>
        <w:t xml:space="preserve"> is essential for regulatory compliance and legal security of the system, for the producer as well as the control agency. </w:t>
      </w:r>
    </w:p>
    <w:p w14:paraId="29FF1B0E" w14:textId="77777777" w:rsidR="00B740A2" w:rsidRPr="00B45451" w:rsidRDefault="00B740A2" w:rsidP="00B740A2">
      <w:pPr>
        <w:pStyle w:val="Default"/>
        <w:ind w:left="720"/>
        <w:jc w:val="both"/>
      </w:pPr>
    </w:p>
    <w:p w14:paraId="11D487D6" w14:textId="312D790F" w:rsidR="00036270" w:rsidRDefault="00036270" w:rsidP="00036270">
      <w:pPr>
        <w:rPr>
          <w:rFonts w:eastAsia="Times New Roman" w:cs="Calibri-Light"/>
          <w:color w:val="00ACA1" w:themeColor="text2"/>
          <w:sz w:val="32"/>
          <w:szCs w:val="42"/>
          <w:lang w:val="en-GB" w:eastAsia="fr-FR"/>
        </w:rPr>
      </w:pPr>
      <w:r>
        <w:rPr>
          <w:rFonts w:eastAsia="Times New Roman" w:cs="Calibri-Light"/>
          <w:color w:val="00ACA1" w:themeColor="text2"/>
          <w:sz w:val="32"/>
          <w:szCs w:val="42"/>
          <w:lang w:val="en-GB" w:eastAsia="fr-FR"/>
        </w:rPr>
        <w:t>SPECIFIC COMMENTS ON THE DECREE UNDER REFERENCE TRIS 2020/832/F ON THE PROVISION OF INFORMATION IDENTIFYING ENDOCRINE DISRUPTORS IN A PRODUCT</w:t>
      </w:r>
    </w:p>
    <w:p w14:paraId="061BA880" w14:textId="77777777" w:rsidR="001E0F4A" w:rsidRPr="00036270" w:rsidRDefault="001E0F4A" w:rsidP="001E0F4A">
      <w:pPr>
        <w:autoSpaceDE w:val="0"/>
        <w:autoSpaceDN w:val="0"/>
        <w:adjustRightInd w:val="0"/>
        <w:spacing w:line="240" w:lineRule="auto"/>
        <w:rPr>
          <w:lang w:val="en-GB"/>
        </w:rPr>
      </w:pPr>
    </w:p>
    <w:p w14:paraId="5978DB70" w14:textId="3DFEE204" w:rsidR="000D4055" w:rsidRDefault="000D4055" w:rsidP="000D4055">
      <w:pPr>
        <w:autoSpaceDE w:val="0"/>
        <w:autoSpaceDN w:val="0"/>
        <w:adjustRightInd w:val="0"/>
        <w:spacing w:line="240" w:lineRule="auto"/>
        <w:jc w:val="both"/>
      </w:pPr>
      <w:r>
        <w:rPr>
          <w:lang w:val="en-GB"/>
        </w:rPr>
        <w:t>Concerning the</w:t>
      </w:r>
      <w:r>
        <w:t xml:space="preserve"> </w:t>
      </w:r>
      <w:r w:rsidR="008D0F97">
        <w:t xml:space="preserve">Decree </w:t>
      </w:r>
      <w:r w:rsidR="00A4119F">
        <w:t>under TRIS notification Reference 2020/832/F</w:t>
      </w:r>
      <w:r>
        <w:t>,</w:t>
      </w:r>
      <w:r w:rsidR="00A4119F">
        <w:t xml:space="preserve"> </w:t>
      </w:r>
      <w:r>
        <w:t xml:space="preserve">which </w:t>
      </w:r>
      <w:r w:rsidR="008D0F97">
        <w:t>addresses the</w:t>
      </w:r>
      <w:r w:rsidR="001E0F4A" w:rsidRPr="001E0F4A">
        <w:t xml:space="preserve"> issue of open data to the public on endocrine disruptors, </w:t>
      </w:r>
      <w:r w:rsidR="008D0F97">
        <w:t>including the creation of an ED database</w:t>
      </w:r>
      <w:r>
        <w:t>, Cefic highlights that a</w:t>
      </w:r>
      <w:r w:rsidR="008D0F97">
        <w:t>ny evaluation of a substance regarding their possible endocrine disruption properties should be done following harmonised criteria define</w:t>
      </w:r>
      <w:r w:rsidR="00A63F90">
        <w:t>d</w:t>
      </w:r>
      <w:r w:rsidR="008D0F97">
        <w:t xml:space="preserve"> at European level. </w:t>
      </w:r>
    </w:p>
    <w:p w14:paraId="357276C2" w14:textId="19964157" w:rsidR="00A63F90" w:rsidRDefault="008D0F97" w:rsidP="007C5962">
      <w:pPr>
        <w:autoSpaceDE w:val="0"/>
        <w:autoSpaceDN w:val="0"/>
        <w:adjustRightInd w:val="0"/>
        <w:spacing w:line="240" w:lineRule="auto"/>
        <w:jc w:val="both"/>
      </w:pPr>
      <w:r>
        <w:t xml:space="preserve">Any evaluation performed at Member State level, following a different set of criteria </w:t>
      </w:r>
      <w:r w:rsidR="00056C2F">
        <w:t xml:space="preserve">(including different categories) </w:t>
      </w:r>
      <w:r>
        <w:t>would lead to substances being classified differently in each Member State with consequences</w:t>
      </w:r>
      <w:r w:rsidR="00056C2F">
        <w:t xml:space="preserve"> </w:t>
      </w:r>
      <w:r w:rsidR="00E1546E">
        <w:t>t</w:t>
      </w:r>
      <w:r>
        <w:t xml:space="preserve">hat would </w:t>
      </w:r>
      <w:r w:rsidR="00D95CDE">
        <w:t>distort the European internal market</w:t>
      </w:r>
      <w:r w:rsidR="00E1546E">
        <w:t xml:space="preserve"> (e.g blacklisting)</w:t>
      </w:r>
      <w:r w:rsidR="00D95CDE">
        <w:t>.</w:t>
      </w:r>
      <w:r w:rsidR="00A63F90">
        <w:t xml:space="preserve"> Consumers </w:t>
      </w:r>
      <w:r w:rsidR="00EA54A1">
        <w:t xml:space="preserve">and users </w:t>
      </w:r>
      <w:r w:rsidR="00A63F90">
        <w:t>would find different information in France and on the ECHA website for the same substance.</w:t>
      </w:r>
      <w:r w:rsidR="00063BA3">
        <w:t xml:space="preserve"> How can they make sense of it? </w:t>
      </w:r>
      <w:r w:rsidR="00A63F90">
        <w:t xml:space="preserve">This does not only undermine REACH but also runs </w:t>
      </w:r>
      <w:r w:rsidR="00063BA3">
        <w:t>counter</w:t>
      </w:r>
      <w:r w:rsidR="00A63F90">
        <w:t xml:space="preserve"> to the </w:t>
      </w:r>
      <w:r w:rsidR="00063BA3">
        <w:t xml:space="preserve">principles </w:t>
      </w:r>
      <w:r w:rsidR="00A63F90">
        <w:t>of the CSS: policy coherence, streamlining</w:t>
      </w:r>
      <w:r w:rsidR="000A2B09">
        <w:t xml:space="preserve"> of EU legislation on chemicals</w:t>
      </w:r>
      <w:r w:rsidR="00A63F90">
        <w:t xml:space="preserve"> and “one substance, one assessment”</w:t>
      </w:r>
      <w:r w:rsidR="000A2B09">
        <w:t xml:space="preserve"> to coordinate and harmonise the work of different agencies</w:t>
      </w:r>
      <w:r w:rsidR="00A63F90">
        <w:t xml:space="preserve">. </w:t>
      </w:r>
    </w:p>
    <w:p w14:paraId="73C01E15" w14:textId="2FAE0940" w:rsidR="003656F2" w:rsidRDefault="00D95CDE" w:rsidP="007C5962">
      <w:pPr>
        <w:autoSpaceDE w:val="0"/>
        <w:autoSpaceDN w:val="0"/>
        <w:adjustRightInd w:val="0"/>
        <w:spacing w:line="240" w:lineRule="auto"/>
        <w:jc w:val="both"/>
      </w:pPr>
      <w:r>
        <w:t xml:space="preserve">Furthermore, any evaluation of a substance at </w:t>
      </w:r>
      <w:r w:rsidR="003656F2">
        <w:t>Member State level should follow a clear and transparent me</w:t>
      </w:r>
      <w:r w:rsidR="001E0F4A" w:rsidRPr="001E0F4A">
        <w:t xml:space="preserve">thodology </w:t>
      </w:r>
      <w:r w:rsidR="003656F2">
        <w:t>together with the process of establishing a list of substances having ED properties.</w:t>
      </w:r>
      <w:r w:rsidR="005C6CC5">
        <w:t xml:space="preserve"> This process should also envisage the participation of stakeholders before any list is finalised, followed by a TRIS Notification before publication.</w:t>
      </w:r>
    </w:p>
    <w:p w14:paraId="6DF90DF8" w14:textId="248A1D6F" w:rsidR="003656F2" w:rsidRDefault="003656F2" w:rsidP="007C5962">
      <w:pPr>
        <w:autoSpaceDE w:val="0"/>
        <w:autoSpaceDN w:val="0"/>
        <w:adjustRightInd w:val="0"/>
        <w:spacing w:before="0" w:after="51" w:line="240" w:lineRule="auto"/>
        <w:jc w:val="both"/>
      </w:pPr>
    </w:p>
    <w:p w14:paraId="6197FF18" w14:textId="42A5A754" w:rsidR="005C6CC5" w:rsidRDefault="005C6CC5" w:rsidP="007C5962">
      <w:pPr>
        <w:autoSpaceDE w:val="0"/>
        <w:autoSpaceDN w:val="0"/>
        <w:adjustRightInd w:val="0"/>
        <w:spacing w:before="0" w:after="51" w:line="240" w:lineRule="auto"/>
        <w:jc w:val="both"/>
      </w:pPr>
      <w:r>
        <w:t>As state</w:t>
      </w:r>
      <w:r w:rsidR="00063BA3">
        <w:t>d</w:t>
      </w:r>
      <w:r>
        <w:t xml:space="preserve"> above, Cefic </w:t>
      </w:r>
      <w:r w:rsidRPr="001E0F4A">
        <w:t>asks for a harmonisation of the obligations in France with European regulations</w:t>
      </w:r>
      <w:r>
        <w:t xml:space="preserve"> concerning thresholds for application of any information requirement</w:t>
      </w:r>
      <w:r w:rsidRPr="001E0F4A">
        <w:t xml:space="preserve">. </w:t>
      </w:r>
      <w:r>
        <w:t>R</w:t>
      </w:r>
      <w:r w:rsidRPr="001E0F4A">
        <w:t>eference to concentration threshold</w:t>
      </w:r>
      <w:r>
        <w:t>s</w:t>
      </w:r>
      <w:r w:rsidRPr="001E0F4A">
        <w:t xml:space="preserve"> is essential for regulatory compliance and legal security of the system, for the producer as well as the control agency.</w:t>
      </w:r>
      <w:r w:rsidR="00063BA3">
        <w:t xml:space="preserve"> Such thresholds apply across all endpoints and ED should not be an exception. </w:t>
      </w:r>
    </w:p>
    <w:p w14:paraId="611C16F3" w14:textId="77777777" w:rsidR="001E0F4A" w:rsidRPr="001E0F4A" w:rsidRDefault="001E0F4A" w:rsidP="001E0F4A">
      <w:pPr>
        <w:autoSpaceDE w:val="0"/>
        <w:autoSpaceDN w:val="0"/>
        <w:adjustRightInd w:val="0"/>
        <w:spacing w:line="240" w:lineRule="auto"/>
      </w:pPr>
    </w:p>
    <w:p w14:paraId="0DA963FD" w14:textId="77777777" w:rsidR="001E0F4A" w:rsidRDefault="001E0F4A" w:rsidP="001E0F4A"/>
    <w:p w14:paraId="3837E619" w14:textId="77777777" w:rsidR="00554B48" w:rsidRPr="006D4238" w:rsidRDefault="00554B48" w:rsidP="000D04DF">
      <w:pPr>
        <w:pStyle w:val="PargrafodaLista"/>
        <w:ind w:left="0"/>
      </w:pPr>
    </w:p>
    <w:tbl>
      <w:tblPr>
        <w:tblW w:w="9490" w:type="dxa"/>
        <w:tblBorders>
          <w:top w:val="single" w:sz="4" w:space="0" w:color="74737B"/>
          <w:left w:val="single" w:sz="4" w:space="0" w:color="74737B"/>
          <w:bottom w:val="single" w:sz="4" w:space="0" w:color="74737B"/>
          <w:right w:val="single" w:sz="4" w:space="0" w:color="74737B"/>
          <w:insideH w:val="single" w:sz="4" w:space="0" w:color="74737B"/>
          <w:insideV w:val="single" w:sz="4" w:space="0" w:color="74737B"/>
        </w:tblBorders>
        <w:tblLayout w:type="fixed"/>
        <w:tblCellMar>
          <w:top w:w="113" w:type="dxa"/>
          <w:left w:w="142" w:type="dxa"/>
          <w:bottom w:w="113" w:type="dxa"/>
          <w:right w:w="142" w:type="dxa"/>
        </w:tblCellMar>
        <w:tblLook w:val="0000" w:firstRow="0" w:lastRow="0" w:firstColumn="0" w:lastColumn="0" w:noHBand="0" w:noVBand="0"/>
      </w:tblPr>
      <w:tblGrid>
        <w:gridCol w:w="4593"/>
        <w:gridCol w:w="304"/>
        <w:gridCol w:w="4593"/>
      </w:tblGrid>
      <w:tr w:rsidR="00143E16" w14:paraId="4222F038" w14:textId="77777777" w:rsidTr="00631D81">
        <w:tc>
          <w:tcPr>
            <w:tcW w:w="4593" w:type="dxa"/>
            <w:tcBorders>
              <w:top w:val="nil"/>
              <w:left w:val="nil"/>
              <w:bottom w:val="nil"/>
              <w:right w:val="nil"/>
            </w:tcBorders>
            <w:shd w:val="clear" w:color="auto" w:fill="auto"/>
          </w:tcPr>
          <w:p w14:paraId="70852251" w14:textId="77777777" w:rsidR="00143E16" w:rsidRPr="00143E16" w:rsidRDefault="00143E16" w:rsidP="00085AC8"/>
        </w:tc>
        <w:tc>
          <w:tcPr>
            <w:tcW w:w="304" w:type="dxa"/>
            <w:tcBorders>
              <w:top w:val="nil"/>
              <w:left w:val="nil"/>
              <w:bottom w:val="nil"/>
            </w:tcBorders>
            <w:shd w:val="clear" w:color="auto" w:fill="auto"/>
          </w:tcPr>
          <w:p w14:paraId="3E828426" w14:textId="77777777" w:rsidR="00143E16" w:rsidRDefault="00143E16" w:rsidP="00143E16"/>
        </w:tc>
        <w:tc>
          <w:tcPr>
            <w:tcW w:w="4593" w:type="dxa"/>
            <w:tcBorders>
              <w:bottom w:val="single" w:sz="4" w:space="0" w:color="auto"/>
            </w:tcBorders>
            <w:shd w:val="clear" w:color="auto" w:fill="auto"/>
          </w:tcPr>
          <w:p w14:paraId="3014700F" w14:textId="77777777" w:rsidR="00085AC8" w:rsidRPr="00FB7A8F" w:rsidRDefault="00085AC8" w:rsidP="00FB7A8F">
            <w:pPr>
              <w:pStyle w:val="Notetitle"/>
            </w:pPr>
            <w:r w:rsidRPr="00FB7A8F">
              <w:t>For more information please contact:</w:t>
            </w:r>
          </w:p>
          <w:p w14:paraId="1B1BC984" w14:textId="33EB55E7" w:rsidR="00085AC8" w:rsidRPr="00900421" w:rsidRDefault="00900421" w:rsidP="00FB7A8F">
            <w:pPr>
              <w:pStyle w:val="Notetitle"/>
            </w:pPr>
            <w:r w:rsidRPr="00900421">
              <w:t>Sylvie Lemoine</w:t>
            </w:r>
            <w:r w:rsidR="00085AC8" w:rsidRPr="00900421">
              <w:t xml:space="preserve">, </w:t>
            </w:r>
            <w:r w:rsidRPr="00900421">
              <w:t>Executive Director</w:t>
            </w:r>
            <w:r w:rsidR="00085AC8" w:rsidRPr="00900421">
              <w:t>, Cefic,</w:t>
            </w:r>
          </w:p>
          <w:p w14:paraId="140E8D2B" w14:textId="588E2470" w:rsidR="00085AC8" w:rsidRPr="00FB7A8F" w:rsidRDefault="00CE29D7" w:rsidP="00FB7A8F">
            <w:pPr>
              <w:pStyle w:val="Notetitle"/>
            </w:pPr>
            <w:r>
              <w:t>+32.</w:t>
            </w:r>
            <w:r w:rsidR="00085AC8" w:rsidRPr="00FB7A8F">
              <w:t>2.</w:t>
            </w:r>
            <w:r w:rsidR="00214197" w:rsidRPr="00CE29D7">
              <w:t>436.93.</w:t>
            </w:r>
            <w:r w:rsidR="00900421">
              <w:t>80</w:t>
            </w:r>
            <w:r w:rsidR="00900421">
              <w:rPr>
                <w:rFonts w:cs="Calibri"/>
                <w:color w:val="000000"/>
                <w:sz w:val="20"/>
                <w:shd w:val="clear" w:color="auto" w:fill="FFFFFF"/>
              </w:rPr>
              <w:t> </w:t>
            </w:r>
            <w:r w:rsidR="00214197">
              <w:t xml:space="preserve">or </w:t>
            </w:r>
            <w:r w:rsidR="00900421">
              <w:t>syl</w:t>
            </w:r>
            <w:r w:rsidR="00085AC8" w:rsidRPr="00FB7A8F">
              <w:t>@cefic.be.</w:t>
            </w:r>
          </w:p>
          <w:p w14:paraId="0D4A77A7" w14:textId="77777777" w:rsidR="00085AC8" w:rsidRPr="00FB7A8F" w:rsidRDefault="00085AC8" w:rsidP="00FB7A8F">
            <w:pPr>
              <w:pStyle w:val="Notetitle"/>
            </w:pPr>
          </w:p>
          <w:p w14:paraId="7CDCEAA6" w14:textId="77777777" w:rsidR="00143E16" w:rsidRPr="00FB7A8F" w:rsidRDefault="00085AC8" w:rsidP="00FB7A8F">
            <w:pPr>
              <w:pStyle w:val="Notetitle"/>
            </w:pPr>
            <w:r w:rsidRPr="00FB7A8F">
              <w:t>About Cefic</w:t>
            </w:r>
            <w:r w:rsidRPr="00FB7A8F">
              <w:br/>
            </w:r>
            <w:r w:rsidRPr="00FB7A8F">
              <w:rPr>
                <w:rStyle w:val="TextodenotaderodapCarter"/>
                <w:rFonts w:ascii="Calibri" w:hAnsi="Calibri"/>
                <w:color w:val="231F20" w:themeColor="text1"/>
              </w:rPr>
              <w:t xml:space="preserve">Cefic, the European Chemical Industry Council, founded </w:t>
            </w:r>
            <w:r w:rsidR="000C7356">
              <w:rPr>
                <w:rStyle w:val="TextodenotaderodapCarter"/>
                <w:rFonts w:ascii="Calibri" w:hAnsi="Calibri"/>
                <w:color w:val="231F20" w:themeColor="text1"/>
              </w:rPr>
              <w:br/>
              <w:t>in 1972, is the voice of</w:t>
            </w:r>
            <w:r w:rsidRPr="00FB7A8F">
              <w:rPr>
                <w:rStyle w:val="TextodenotaderodapCarter"/>
                <w:rFonts w:ascii="Calibri" w:hAnsi="Calibri"/>
                <w:color w:val="231F20" w:themeColor="text1"/>
              </w:rPr>
              <w:t xml:space="preserve"> large, medium and small chemical companies </w:t>
            </w:r>
            <w:r w:rsidR="00CE29D7">
              <w:rPr>
                <w:rStyle w:val="TextodenotaderodapCarter"/>
                <w:rFonts w:ascii="Calibri" w:hAnsi="Calibri"/>
                <w:color w:val="231F20" w:themeColor="text1"/>
              </w:rPr>
              <w:t>across</w:t>
            </w:r>
            <w:r w:rsidRPr="00FB7A8F">
              <w:rPr>
                <w:rStyle w:val="TextodenotaderodapCarter"/>
                <w:rFonts w:ascii="Calibri" w:hAnsi="Calibri"/>
                <w:color w:val="231F20" w:themeColor="text1"/>
              </w:rPr>
              <w:t xml:space="preserve"> Europe, which provide 1.2 million jobs and account for 1</w:t>
            </w:r>
            <w:r w:rsidR="000C7356">
              <w:rPr>
                <w:rStyle w:val="TextodenotaderodapCarter"/>
                <w:rFonts w:ascii="Calibri" w:hAnsi="Calibri"/>
                <w:color w:val="231F20" w:themeColor="text1"/>
              </w:rPr>
              <w:t>6</w:t>
            </w:r>
            <w:r w:rsidRPr="00FB7A8F">
              <w:rPr>
                <w:rStyle w:val="TextodenotaderodapCarter"/>
                <w:rFonts w:ascii="Calibri" w:hAnsi="Calibri"/>
                <w:color w:val="231F20" w:themeColor="text1"/>
              </w:rPr>
              <w:t>% of world chemicals production.</w:t>
            </w:r>
          </w:p>
        </w:tc>
      </w:tr>
    </w:tbl>
    <w:p w14:paraId="51666F62" w14:textId="77777777" w:rsidR="006832D4" w:rsidRDefault="006832D4" w:rsidP="005864FE">
      <w:pPr>
        <w:pStyle w:val="FooterSignature"/>
      </w:pPr>
    </w:p>
    <w:sectPr w:rsidR="006832D4" w:rsidSect="007C2D72">
      <w:footerReference w:type="default" r:id="rId8"/>
      <w:headerReference w:type="first" r:id="rId9"/>
      <w:footerReference w:type="first" r:id="rId10"/>
      <w:pgSz w:w="11907" w:h="16839" w:code="9"/>
      <w:pgMar w:top="2211" w:right="851" w:bottom="567" w:left="1588" w:header="964"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777E4" w14:textId="77777777" w:rsidR="00A03EFE" w:rsidRDefault="00A03EFE" w:rsidP="006F2714">
      <w:pPr>
        <w:spacing w:line="240" w:lineRule="auto"/>
      </w:pPr>
      <w:r>
        <w:separator/>
      </w:r>
    </w:p>
  </w:endnote>
  <w:endnote w:type="continuationSeparator" w:id="0">
    <w:p w14:paraId="04F753F8" w14:textId="77777777" w:rsidR="00A03EFE" w:rsidRDefault="00A03EFE" w:rsidP="006F2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4A829" w14:textId="77777777" w:rsidR="008059A2" w:rsidRPr="007136AF" w:rsidRDefault="007136AF" w:rsidP="00D27F91">
    <w:pPr>
      <w:pStyle w:val="Rodap"/>
    </w:pPr>
    <w:r w:rsidRPr="007136AF">
      <w:fldChar w:fldCharType="begin"/>
    </w:r>
    <w:r w:rsidRPr="007136AF">
      <w:instrText xml:space="preserve"> PAGE   \* MERGEFORMAT </w:instrText>
    </w:r>
    <w:r w:rsidRPr="007136AF">
      <w:fldChar w:fldCharType="separate"/>
    </w:r>
    <w:r w:rsidR="003F62D0">
      <w:rPr>
        <w:noProof/>
      </w:rPr>
      <w:t>2</w:t>
    </w:r>
    <w:r w:rsidRPr="007136A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BC0DA" w14:textId="77777777" w:rsidR="00D10F45" w:rsidRDefault="00D10F45" w:rsidP="00D10F45">
    <w:pPr>
      <w:pStyle w:val="Rodap"/>
    </w:pPr>
  </w:p>
  <w:p w14:paraId="1502209F" w14:textId="77777777" w:rsidR="007C2D72" w:rsidRPr="00D10F45" w:rsidRDefault="00D10F45" w:rsidP="00D10F45">
    <w:pPr>
      <w:pStyle w:val="Rodap"/>
    </w:pPr>
    <w:r>
      <w:rPr>
        <w:noProof/>
        <w:lang w:val="en-GB" w:eastAsia="en-GB"/>
      </w:rPr>
      <w:drawing>
        <wp:anchor distT="0" distB="0" distL="114300" distR="114300" simplePos="0" relativeHeight="251669504" behindDoc="1" locked="1" layoutInCell="1" allowOverlap="1" wp14:anchorId="7F5EF4C1" wp14:editId="78E09269">
          <wp:simplePos x="0" y="0"/>
          <wp:positionH relativeFrom="page">
            <wp:posOffset>-180975</wp:posOffset>
          </wp:positionH>
          <wp:positionV relativeFrom="page">
            <wp:posOffset>9606280</wp:posOffset>
          </wp:positionV>
          <wp:extent cx="7559675" cy="107950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59675" cy="1079500"/>
                  </a:xfrm>
                  <a:prstGeom prst="rect">
                    <a:avLst/>
                  </a:prstGeom>
                  <a:noFill/>
                </pic:spPr>
              </pic:pic>
            </a:graphicData>
          </a:graphic>
          <wp14:sizeRelH relativeFrom="margin">
            <wp14:pctWidth>0</wp14:pctWidth>
          </wp14:sizeRelH>
          <wp14:sizeRelV relativeFrom="margin">
            <wp14:pctHeight>0</wp14:pctHeight>
          </wp14:sizeRelV>
        </wp:anchor>
      </w:drawing>
    </w:r>
  </w:p>
  <w:p w14:paraId="0DAA3ACD" w14:textId="77777777" w:rsidR="00916DAB" w:rsidRDefault="00916D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8FB62" w14:textId="77777777" w:rsidR="00A03EFE" w:rsidRDefault="00A03EFE" w:rsidP="006F2714">
      <w:pPr>
        <w:spacing w:line="240" w:lineRule="auto"/>
      </w:pPr>
      <w:r>
        <w:separator/>
      </w:r>
    </w:p>
  </w:footnote>
  <w:footnote w:type="continuationSeparator" w:id="0">
    <w:p w14:paraId="6BCD7262" w14:textId="77777777" w:rsidR="00A03EFE" w:rsidRDefault="00A03EFE" w:rsidP="006F27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29"/>
      <w:gridCol w:w="4729"/>
    </w:tblGrid>
    <w:tr w:rsidR="007C2D72" w:rsidRPr="007C2D72" w14:paraId="1670C7C2" w14:textId="77777777" w:rsidTr="00E72DEF">
      <w:tc>
        <w:tcPr>
          <w:tcW w:w="4729" w:type="dxa"/>
          <w:vMerge w:val="restart"/>
        </w:tcPr>
        <w:p w14:paraId="774F1759" w14:textId="77777777" w:rsidR="007C2D72" w:rsidRPr="007C2D72" w:rsidRDefault="005864FE" w:rsidP="007C2D72">
          <w:pPr>
            <w:tabs>
              <w:tab w:val="center" w:pos="4536"/>
              <w:tab w:val="right" w:pos="9072"/>
            </w:tabs>
            <w:rPr>
              <w:b/>
              <w:noProof/>
              <w:sz w:val="36"/>
              <w:szCs w:val="36"/>
              <w:lang w:val="fr-BE" w:eastAsia="fr-BE"/>
            </w:rPr>
          </w:pPr>
          <w:r>
            <w:rPr>
              <w:b/>
              <w:noProof/>
              <w:sz w:val="36"/>
              <w:szCs w:val="36"/>
              <w:lang w:val="en-GB" w:eastAsia="en-GB"/>
            </w:rPr>
            <w:drawing>
              <wp:anchor distT="0" distB="0" distL="114300" distR="114300" simplePos="0" relativeHeight="251668480" behindDoc="0" locked="1" layoutInCell="1" allowOverlap="1" wp14:anchorId="57AD6925" wp14:editId="32A7A40F">
                <wp:simplePos x="0" y="0"/>
                <wp:positionH relativeFrom="column">
                  <wp:align>left</wp:align>
                </wp:positionH>
                <wp:positionV relativeFrom="page">
                  <wp:align>top</wp:align>
                </wp:positionV>
                <wp:extent cx="1035050" cy="4318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opa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5310" cy="432000"/>
                        </a:xfrm>
                        <a:prstGeom prst="rect">
                          <a:avLst/>
                        </a:prstGeom>
                      </pic:spPr>
                    </pic:pic>
                  </a:graphicData>
                </a:graphic>
                <wp14:sizeRelH relativeFrom="margin">
                  <wp14:pctWidth>0</wp14:pctWidth>
                </wp14:sizeRelH>
                <wp14:sizeRelV relativeFrom="margin">
                  <wp14:pctHeight>0</wp14:pctHeight>
                </wp14:sizeRelV>
              </wp:anchor>
            </w:drawing>
          </w:r>
        </w:p>
      </w:tc>
      <w:tc>
        <w:tcPr>
          <w:tcW w:w="4729" w:type="dxa"/>
        </w:tcPr>
        <w:p w14:paraId="303FB0DC" w14:textId="45C8FE93" w:rsidR="007C2D72" w:rsidRPr="00FB7A8F" w:rsidRDefault="004318C9" w:rsidP="00FB7A8F">
          <w:pPr>
            <w:pStyle w:val="Cabealho"/>
          </w:pPr>
          <w:r>
            <w:t>POSITION</w:t>
          </w:r>
          <w:r w:rsidR="00113094" w:rsidRPr="00FB7A8F">
            <w:t xml:space="preserve"> PAPER</w:t>
          </w:r>
        </w:p>
      </w:tc>
    </w:tr>
    <w:tr w:rsidR="007C2D72" w:rsidRPr="007C2D72" w14:paraId="3D536CB5" w14:textId="77777777" w:rsidTr="00E72DEF">
      <w:tc>
        <w:tcPr>
          <w:tcW w:w="4729" w:type="dxa"/>
          <w:vMerge/>
        </w:tcPr>
        <w:p w14:paraId="7FAC1D29" w14:textId="77777777" w:rsidR="007C2D72" w:rsidRPr="007C2D72" w:rsidRDefault="007C2D72" w:rsidP="007C2D72">
          <w:pPr>
            <w:tabs>
              <w:tab w:val="center" w:pos="4536"/>
              <w:tab w:val="right" w:pos="9072"/>
            </w:tabs>
            <w:jc w:val="right"/>
            <w:rPr>
              <w:b/>
              <w:noProof/>
              <w:sz w:val="36"/>
              <w:szCs w:val="36"/>
              <w:lang w:val="fr-BE" w:eastAsia="fr-BE"/>
            </w:rPr>
          </w:pPr>
        </w:p>
      </w:tc>
      <w:tc>
        <w:tcPr>
          <w:tcW w:w="4729" w:type="dxa"/>
        </w:tcPr>
        <w:p w14:paraId="08E7BD3C" w14:textId="06C7F42A" w:rsidR="007C2D72" w:rsidRPr="00FB7A8F" w:rsidRDefault="004318C9" w:rsidP="00FB7A8F">
          <w:pPr>
            <w:pStyle w:val="Data"/>
          </w:pPr>
          <w:r>
            <w:t>MARCH</w:t>
          </w:r>
          <w:r w:rsidR="007C2D72" w:rsidRPr="00FB7A8F">
            <w:t xml:space="preserve"> 20</w:t>
          </w:r>
          <w:r w:rsidR="0036367D">
            <w:t>21</w:t>
          </w:r>
        </w:p>
      </w:tc>
    </w:tr>
  </w:tbl>
  <w:p w14:paraId="447E214A" w14:textId="77777777" w:rsidR="007153C1" w:rsidRPr="007C2D72" w:rsidRDefault="007C2D72" w:rsidP="007C2D72">
    <w:r w:rsidRPr="007C2D72">
      <w:rPr>
        <w:noProof/>
        <w:lang w:val="en-GB" w:eastAsia="en-GB"/>
      </w:rPr>
      <mc:AlternateContent>
        <mc:Choice Requires="wps">
          <w:drawing>
            <wp:anchor distT="0" distB="0" distL="114300" distR="114300" simplePos="0" relativeHeight="251663360" behindDoc="0" locked="0" layoutInCell="1" allowOverlap="1" wp14:anchorId="644D9157" wp14:editId="0ECD91CC">
              <wp:simplePos x="0" y="0"/>
              <wp:positionH relativeFrom="column">
                <wp:posOffset>0</wp:posOffset>
              </wp:positionH>
              <wp:positionV relativeFrom="paragraph">
                <wp:posOffset>57150</wp:posOffset>
              </wp:positionV>
              <wp:extent cx="5994000" cy="0"/>
              <wp:effectExtent l="0" t="0" r="26035" b="19050"/>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4000" cy="0"/>
                      </a:xfrm>
                      <a:prstGeom prst="line">
                        <a:avLst/>
                      </a:prstGeom>
                      <a:noFill/>
                      <a:ln w="63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C0C2D" id="Line 1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pt" to="47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" strokecolor="#00aca1 [3215]" strokeweight=".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D1065F"/>
    <w:multiLevelType w:val="hybridMultilevel"/>
    <w:tmpl w:val="C42592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B1445B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BCDA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876ED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5AE44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BD82EC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7681B5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386EA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2A53D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D56E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00E20C8"/>
    <w:lvl w:ilvl="0">
      <w:start w:val="1"/>
      <w:numFmt w:val="bullet"/>
      <w:pStyle w:val="Listacommarcas"/>
      <w:lvlText w:val=""/>
      <w:lvlJc w:val="left"/>
      <w:pPr>
        <w:tabs>
          <w:tab w:val="num" w:pos="360"/>
        </w:tabs>
        <w:ind w:left="360" w:hanging="360"/>
      </w:pPr>
      <w:rPr>
        <w:rFonts w:ascii="Symbol" w:hAnsi="Symbol" w:hint="default"/>
      </w:rPr>
    </w:lvl>
  </w:abstractNum>
  <w:abstractNum w:abstractNumId="11" w15:restartNumberingAfterBreak="0">
    <w:nsid w:val="02064050"/>
    <w:multiLevelType w:val="multilevel"/>
    <w:tmpl w:val="C7AEF516"/>
    <w:lvl w:ilvl="0">
      <w:start w:val="1"/>
      <w:numFmt w:val="bullet"/>
      <w:lvlText w:val="‒"/>
      <w:lvlJc w:val="left"/>
      <w:pPr>
        <w:tabs>
          <w:tab w:val="num" w:pos="360"/>
        </w:tabs>
        <w:ind w:left="360" w:hanging="360"/>
      </w:pPr>
      <w:rPr>
        <w:rFonts w:ascii="Verdana" w:hAnsi="Verdana" w:hint="default"/>
      </w:rPr>
    </w:lvl>
    <w:lvl w:ilvl="1">
      <w:start w:val="1"/>
      <w:numFmt w:val="bullet"/>
      <w:lvlText w:val="o"/>
      <w:lvlJc w:val="left"/>
      <w:pPr>
        <w:tabs>
          <w:tab w:val="num" w:pos="1157"/>
        </w:tabs>
        <w:ind w:left="1157" w:hanging="360"/>
      </w:pPr>
      <w:rPr>
        <w:rFonts w:ascii="Courier New" w:hAnsi="Courier New" w:cs="Courier New" w:hint="default"/>
      </w:rPr>
    </w:lvl>
    <w:lvl w:ilvl="2">
      <w:start w:val="1"/>
      <w:numFmt w:val="bullet"/>
      <w:lvlText w:val=""/>
      <w:lvlJc w:val="left"/>
      <w:pPr>
        <w:tabs>
          <w:tab w:val="num" w:pos="1877"/>
        </w:tabs>
        <w:ind w:left="1877" w:hanging="360"/>
      </w:pPr>
      <w:rPr>
        <w:rFonts w:ascii="Wingdings" w:hAnsi="Wingdings" w:hint="default"/>
      </w:rPr>
    </w:lvl>
    <w:lvl w:ilvl="3">
      <w:start w:val="1"/>
      <w:numFmt w:val="bullet"/>
      <w:lvlText w:val=""/>
      <w:lvlJc w:val="left"/>
      <w:pPr>
        <w:tabs>
          <w:tab w:val="num" w:pos="2597"/>
        </w:tabs>
        <w:ind w:left="2597" w:hanging="360"/>
      </w:pPr>
      <w:rPr>
        <w:rFonts w:ascii="Symbol" w:hAnsi="Symbol" w:hint="default"/>
      </w:rPr>
    </w:lvl>
    <w:lvl w:ilvl="4">
      <w:start w:val="1"/>
      <w:numFmt w:val="bullet"/>
      <w:lvlText w:val="o"/>
      <w:lvlJc w:val="left"/>
      <w:pPr>
        <w:tabs>
          <w:tab w:val="num" w:pos="3317"/>
        </w:tabs>
        <w:ind w:left="3317" w:hanging="360"/>
      </w:pPr>
      <w:rPr>
        <w:rFonts w:ascii="Courier New" w:hAnsi="Courier New" w:cs="Courier New" w:hint="default"/>
      </w:rPr>
    </w:lvl>
    <w:lvl w:ilvl="5">
      <w:start w:val="1"/>
      <w:numFmt w:val="bullet"/>
      <w:lvlText w:val=""/>
      <w:lvlJc w:val="left"/>
      <w:pPr>
        <w:tabs>
          <w:tab w:val="num" w:pos="4037"/>
        </w:tabs>
        <w:ind w:left="4037" w:hanging="360"/>
      </w:pPr>
      <w:rPr>
        <w:rFonts w:ascii="Wingdings" w:hAnsi="Wingdings" w:hint="default"/>
      </w:rPr>
    </w:lvl>
    <w:lvl w:ilvl="6">
      <w:start w:val="1"/>
      <w:numFmt w:val="bullet"/>
      <w:lvlText w:val=""/>
      <w:lvlJc w:val="left"/>
      <w:pPr>
        <w:tabs>
          <w:tab w:val="num" w:pos="4757"/>
        </w:tabs>
        <w:ind w:left="4757" w:hanging="360"/>
      </w:pPr>
      <w:rPr>
        <w:rFonts w:ascii="Symbol" w:hAnsi="Symbol" w:hint="default"/>
      </w:rPr>
    </w:lvl>
    <w:lvl w:ilvl="7">
      <w:start w:val="1"/>
      <w:numFmt w:val="bullet"/>
      <w:lvlText w:val="o"/>
      <w:lvlJc w:val="left"/>
      <w:pPr>
        <w:tabs>
          <w:tab w:val="num" w:pos="5477"/>
        </w:tabs>
        <w:ind w:left="5477" w:hanging="360"/>
      </w:pPr>
      <w:rPr>
        <w:rFonts w:ascii="Courier New" w:hAnsi="Courier New" w:cs="Courier New" w:hint="default"/>
      </w:rPr>
    </w:lvl>
    <w:lvl w:ilvl="8">
      <w:start w:val="1"/>
      <w:numFmt w:val="bullet"/>
      <w:lvlText w:val=""/>
      <w:lvlJc w:val="left"/>
      <w:pPr>
        <w:tabs>
          <w:tab w:val="num" w:pos="6197"/>
        </w:tabs>
        <w:ind w:left="6197" w:hanging="360"/>
      </w:pPr>
      <w:rPr>
        <w:rFonts w:ascii="Wingdings" w:hAnsi="Wingdings" w:hint="default"/>
      </w:rPr>
    </w:lvl>
  </w:abstractNum>
  <w:abstractNum w:abstractNumId="12" w15:restartNumberingAfterBreak="0">
    <w:nsid w:val="023E2F5A"/>
    <w:multiLevelType w:val="hybridMultilevel"/>
    <w:tmpl w:val="611E4184"/>
    <w:lvl w:ilvl="0" w:tplc="B07ACA84">
      <w:start w:val="1"/>
      <w:numFmt w:val="bullet"/>
      <w:pStyle w:val="Listacommarcas2"/>
      <w:lvlText w:val=""/>
      <w:lvlJc w:val="left"/>
      <w:pPr>
        <w:ind w:left="644" w:hanging="360"/>
      </w:pPr>
      <w:rPr>
        <w:rFonts w:ascii="Symbol" w:hAnsi="Symbol" w:hint="default"/>
        <w:b w:val="0"/>
        <w:i w:val="0"/>
        <w:color w:val="6A737B"/>
        <w:sz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976C7C"/>
    <w:multiLevelType w:val="hybridMultilevel"/>
    <w:tmpl w:val="3326B4B4"/>
    <w:lvl w:ilvl="0" w:tplc="EA3CB220">
      <w:start w:val="1"/>
      <w:numFmt w:val="bullet"/>
      <w:lvlText w:val="•"/>
      <w:lvlJc w:val="left"/>
      <w:pPr>
        <w:tabs>
          <w:tab w:val="num" w:pos="720"/>
        </w:tabs>
        <w:ind w:left="720" w:hanging="360"/>
      </w:pPr>
      <w:rPr>
        <w:rFonts w:ascii="Arial" w:hAnsi="Arial" w:hint="default"/>
      </w:rPr>
    </w:lvl>
    <w:lvl w:ilvl="1" w:tplc="E2C0683A" w:tentative="1">
      <w:start w:val="1"/>
      <w:numFmt w:val="bullet"/>
      <w:lvlText w:val="•"/>
      <w:lvlJc w:val="left"/>
      <w:pPr>
        <w:tabs>
          <w:tab w:val="num" w:pos="1440"/>
        </w:tabs>
        <w:ind w:left="1440" w:hanging="360"/>
      </w:pPr>
      <w:rPr>
        <w:rFonts w:ascii="Arial" w:hAnsi="Arial" w:hint="default"/>
      </w:rPr>
    </w:lvl>
    <w:lvl w:ilvl="2" w:tplc="EE70CE8A" w:tentative="1">
      <w:start w:val="1"/>
      <w:numFmt w:val="bullet"/>
      <w:lvlText w:val="•"/>
      <w:lvlJc w:val="left"/>
      <w:pPr>
        <w:tabs>
          <w:tab w:val="num" w:pos="2160"/>
        </w:tabs>
        <w:ind w:left="2160" w:hanging="360"/>
      </w:pPr>
      <w:rPr>
        <w:rFonts w:ascii="Arial" w:hAnsi="Arial" w:hint="default"/>
      </w:rPr>
    </w:lvl>
    <w:lvl w:ilvl="3" w:tplc="2C10B9F0" w:tentative="1">
      <w:start w:val="1"/>
      <w:numFmt w:val="bullet"/>
      <w:lvlText w:val="•"/>
      <w:lvlJc w:val="left"/>
      <w:pPr>
        <w:tabs>
          <w:tab w:val="num" w:pos="2880"/>
        </w:tabs>
        <w:ind w:left="2880" w:hanging="360"/>
      </w:pPr>
      <w:rPr>
        <w:rFonts w:ascii="Arial" w:hAnsi="Arial" w:hint="default"/>
      </w:rPr>
    </w:lvl>
    <w:lvl w:ilvl="4" w:tplc="DCB2308C" w:tentative="1">
      <w:start w:val="1"/>
      <w:numFmt w:val="bullet"/>
      <w:lvlText w:val="•"/>
      <w:lvlJc w:val="left"/>
      <w:pPr>
        <w:tabs>
          <w:tab w:val="num" w:pos="3600"/>
        </w:tabs>
        <w:ind w:left="3600" w:hanging="360"/>
      </w:pPr>
      <w:rPr>
        <w:rFonts w:ascii="Arial" w:hAnsi="Arial" w:hint="default"/>
      </w:rPr>
    </w:lvl>
    <w:lvl w:ilvl="5" w:tplc="DBEA512E" w:tentative="1">
      <w:start w:val="1"/>
      <w:numFmt w:val="bullet"/>
      <w:lvlText w:val="•"/>
      <w:lvlJc w:val="left"/>
      <w:pPr>
        <w:tabs>
          <w:tab w:val="num" w:pos="4320"/>
        </w:tabs>
        <w:ind w:left="4320" w:hanging="360"/>
      </w:pPr>
      <w:rPr>
        <w:rFonts w:ascii="Arial" w:hAnsi="Arial" w:hint="default"/>
      </w:rPr>
    </w:lvl>
    <w:lvl w:ilvl="6" w:tplc="ACEA0072" w:tentative="1">
      <w:start w:val="1"/>
      <w:numFmt w:val="bullet"/>
      <w:lvlText w:val="•"/>
      <w:lvlJc w:val="left"/>
      <w:pPr>
        <w:tabs>
          <w:tab w:val="num" w:pos="5040"/>
        </w:tabs>
        <w:ind w:left="5040" w:hanging="360"/>
      </w:pPr>
      <w:rPr>
        <w:rFonts w:ascii="Arial" w:hAnsi="Arial" w:hint="default"/>
      </w:rPr>
    </w:lvl>
    <w:lvl w:ilvl="7" w:tplc="96CA59C8" w:tentative="1">
      <w:start w:val="1"/>
      <w:numFmt w:val="bullet"/>
      <w:lvlText w:val="•"/>
      <w:lvlJc w:val="left"/>
      <w:pPr>
        <w:tabs>
          <w:tab w:val="num" w:pos="5760"/>
        </w:tabs>
        <w:ind w:left="5760" w:hanging="360"/>
      </w:pPr>
      <w:rPr>
        <w:rFonts w:ascii="Arial" w:hAnsi="Arial" w:hint="default"/>
      </w:rPr>
    </w:lvl>
    <w:lvl w:ilvl="8" w:tplc="BBE282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7102811"/>
    <w:multiLevelType w:val="multilevel"/>
    <w:tmpl w:val="EA3481EA"/>
    <w:lvl w:ilvl="0">
      <w:start w:val="1"/>
      <w:numFmt w:val="bullet"/>
      <w:lvlText w:val="●"/>
      <w:lvlJc w:val="left"/>
      <w:pPr>
        <w:tabs>
          <w:tab w:val="num" w:pos="283"/>
        </w:tabs>
        <w:ind w:left="283" w:hanging="283"/>
      </w:pPr>
      <w:rPr>
        <w:rFonts w:ascii="Calibri Light" w:hAnsi="Calibri Light" w:cs="Times New Roman" w:hint="default"/>
        <w:b w:val="0"/>
        <w:bCs w:val="0"/>
        <w:i w:val="0"/>
        <w:iCs w:val="0"/>
        <w:caps w:val="0"/>
        <w:smallCaps w:val="0"/>
        <w:strike w:val="0"/>
        <w:dstrike w:val="0"/>
        <w:noProof w:val="0"/>
        <w:snapToGrid w:val="0"/>
        <w:vanish w:val="0"/>
        <w:color w:val="6A737B"/>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157"/>
        </w:tabs>
        <w:ind w:left="1157" w:hanging="360"/>
      </w:pPr>
      <w:rPr>
        <w:rFonts w:ascii="Courier New" w:hAnsi="Courier New" w:cs="Courier New" w:hint="default"/>
      </w:rPr>
    </w:lvl>
    <w:lvl w:ilvl="2">
      <w:start w:val="1"/>
      <w:numFmt w:val="bullet"/>
      <w:lvlText w:val=""/>
      <w:lvlJc w:val="left"/>
      <w:pPr>
        <w:tabs>
          <w:tab w:val="num" w:pos="1877"/>
        </w:tabs>
        <w:ind w:left="1877" w:hanging="360"/>
      </w:pPr>
      <w:rPr>
        <w:rFonts w:ascii="Wingdings" w:hAnsi="Wingdings" w:hint="default"/>
      </w:rPr>
    </w:lvl>
    <w:lvl w:ilvl="3">
      <w:start w:val="1"/>
      <w:numFmt w:val="bullet"/>
      <w:lvlText w:val=""/>
      <w:lvlJc w:val="left"/>
      <w:pPr>
        <w:tabs>
          <w:tab w:val="num" w:pos="2597"/>
        </w:tabs>
        <w:ind w:left="2597" w:hanging="360"/>
      </w:pPr>
      <w:rPr>
        <w:rFonts w:ascii="Symbol" w:hAnsi="Symbol" w:hint="default"/>
      </w:rPr>
    </w:lvl>
    <w:lvl w:ilvl="4">
      <w:start w:val="1"/>
      <w:numFmt w:val="bullet"/>
      <w:lvlText w:val="o"/>
      <w:lvlJc w:val="left"/>
      <w:pPr>
        <w:tabs>
          <w:tab w:val="num" w:pos="3317"/>
        </w:tabs>
        <w:ind w:left="3317" w:hanging="360"/>
      </w:pPr>
      <w:rPr>
        <w:rFonts w:ascii="Courier New" w:hAnsi="Courier New" w:cs="Courier New" w:hint="default"/>
      </w:rPr>
    </w:lvl>
    <w:lvl w:ilvl="5">
      <w:start w:val="1"/>
      <w:numFmt w:val="bullet"/>
      <w:lvlText w:val=""/>
      <w:lvlJc w:val="left"/>
      <w:pPr>
        <w:tabs>
          <w:tab w:val="num" w:pos="4037"/>
        </w:tabs>
        <w:ind w:left="4037" w:hanging="360"/>
      </w:pPr>
      <w:rPr>
        <w:rFonts w:ascii="Wingdings" w:hAnsi="Wingdings" w:hint="default"/>
      </w:rPr>
    </w:lvl>
    <w:lvl w:ilvl="6">
      <w:start w:val="1"/>
      <w:numFmt w:val="bullet"/>
      <w:lvlText w:val=""/>
      <w:lvlJc w:val="left"/>
      <w:pPr>
        <w:tabs>
          <w:tab w:val="num" w:pos="4757"/>
        </w:tabs>
        <w:ind w:left="4757" w:hanging="360"/>
      </w:pPr>
      <w:rPr>
        <w:rFonts w:ascii="Symbol" w:hAnsi="Symbol" w:hint="default"/>
      </w:rPr>
    </w:lvl>
    <w:lvl w:ilvl="7">
      <w:start w:val="1"/>
      <w:numFmt w:val="bullet"/>
      <w:lvlText w:val="o"/>
      <w:lvlJc w:val="left"/>
      <w:pPr>
        <w:tabs>
          <w:tab w:val="num" w:pos="5477"/>
        </w:tabs>
        <w:ind w:left="5477" w:hanging="360"/>
      </w:pPr>
      <w:rPr>
        <w:rFonts w:ascii="Courier New" w:hAnsi="Courier New" w:cs="Courier New" w:hint="default"/>
      </w:rPr>
    </w:lvl>
    <w:lvl w:ilvl="8">
      <w:start w:val="1"/>
      <w:numFmt w:val="bullet"/>
      <w:lvlText w:val=""/>
      <w:lvlJc w:val="left"/>
      <w:pPr>
        <w:tabs>
          <w:tab w:val="num" w:pos="6197"/>
        </w:tabs>
        <w:ind w:left="6197" w:hanging="360"/>
      </w:pPr>
      <w:rPr>
        <w:rFonts w:ascii="Wingdings" w:hAnsi="Wingdings" w:hint="default"/>
      </w:rPr>
    </w:lvl>
  </w:abstractNum>
  <w:abstractNum w:abstractNumId="15" w15:restartNumberingAfterBreak="0">
    <w:nsid w:val="09E83A86"/>
    <w:multiLevelType w:val="hybridMultilevel"/>
    <w:tmpl w:val="2F40F742"/>
    <w:lvl w:ilvl="0" w:tplc="42787168">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10A52AD5"/>
    <w:multiLevelType w:val="hybridMultilevel"/>
    <w:tmpl w:val="BFD6E998"/>
    <w:lvl w:ilvl="0" w:tplc="DDC69F62">
      <w:start w:val="1"/>
      <w:numFmt w:val="decimal"/>
      <w:pStyle w:val="Listanumerada"/>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14CC7D0A"/>
    <w:multiLevelType w:val="hybridMultilevel"/>
    <w:tmpl w:val="455EA518"/>
    <w:lvl w:ilvl="0" w:tplc="04090003">
      <w:start w:val="1"/>
      <w:numFmt w:val="bullet"/>
      <w:lvlText w:val="o"/>
      <w:lvlJc w:val="left"/>
      <w:pPr>
        <w:ind w:left="1191" w:hanging="360"/>
      </w:pPr>
      <w:rPr>
        <w:rFonts w:ascii="Courier New" w:hAnsi="Courier New" w:cs="Courier New" w:hint="default"/>
      </w:rPr>
    </w:lvl>
    <w:lvl w:ilvl="1" w:tplc="04090003">
      <w:start w:val="1"/>
      <w:numFmt w:val="bullet"/>
      <w:lvlText w:val="o"/>
      <w:lvlJc w:val="left"/>
      <w:pPr>
        <w:ind w:left="1911" w:hanging="360"/>
      </w:pPr>
      <w:rPr>
        <w:rFonts w:ascii="Courier New" w:hAnsi="Courier New" w:cs="Courier New" w:hint="default"/>
      </w:rPr>
    </w:lvl>
    <w:lvl w:ilvl="2" w:tplc="04090005">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8" w15:restartNumberingAfterBreak="0">
    <w:nsid w:val="1901692A"/>
    <w:multiLevelType w:val="hybridMultilevel"/>
    <w:tmpl w:val="B3149CC6"/>
    <w:lvl w:ilvl="0" w:tplc="C15465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737648"/>
    <w:multiLevelType w:val="multilevel"/>
    <w:tmpl w:val="9E7C622A"/>
    <w:lvl w:ilvl="0">
      <w:start w:val="1"/>
      <w:numFmt w:val="bullet"/>
      <w:lvlText w:val="●"/>
      <w:lvlJc w:val="left"/>
      <w:pPr>
        <w:tabs>
          <w:tab w:val="num" w:pos="283"/>
        </w:tabs>
        <w:ind w:left="283" w:hanging="283"/>
      </w:pPr>
      <w:rPr>
        <w:rFonts w:ascii="Arial" w:hAnsi="Arial" w:hint="default"/>
        <w:b w:val="0"/>
        <w:i w:val="0"/>
        <w:color w:val="9D9FA2"/>
        <w:sz w:val="18"/>
      </w:rPr>
    </w:lvl>
    <w:lvl w:ilvl="1">
      <w:start w:val="1"/>
      <w:numFmt w:val="bullet"/>
      <w:lvlText w:val="o"/>
      <w:lvlJc w:val="left"/>
      <w:pPr>
        <w:tabs>
          <w:tab w:val="num" w:pos="1157"/>
        </w:tabs>
        <w:ind w:left="1157" w:hanging="360"/>
      </w:pPr>
      <w:rPr>
        <w:rFonts w:ascii="Courier New" w:hAnsi="Courier New" w:cs="Courier New" w:hint="default"/>
      </w:rPr>
    </w:lvl>
    <w:lvl w:ilvl="2">
      <w:start w:val="1"/>
      <w:numFmt w:val="bullet"/>
      <w:lvlText w:val=""/>
      <w:lvlJc w:val="left"/>
      <w:pPr>
        <w:tabs>
          <w:tab w:val="num" w:pos="1877"/>
        </w:tabs>
        <w:ind w:left="1877" w:hanging="360"/>
      </w:pPr>
      <w:rPr>
        <w:rFonts w:ascii="Wingdings" w:hAnsi="Wingdings" w:hint="default"/>
      </w:rPr>
    </w:lvl>
    <w:lvl w:ilvl="3">
      <w:start w:val="1"/>
      <w:numFmt w:val="bullet"/>
      <w:lvlText w:val=""/>
      <w:lvlJc w:val="left"/>
      <w:pPr>
        <w:tabs>
          <w:tab w:val="num" w:pos="2597"/>
        </w:tabs>
        <w:ind w:left="2597" w:hanging="360"/>
      </w:pPr>
      <w:rPr>
        <w:rFonts w:ascii="Symbol" w:hAnsi="Symbol" w:hint="default"/>
      </w:rPr>
    </w:lvl>
    <w:lvl w:ilvl="4">
      <w:start w:val="1"/>
      <w:numFmt w:val="bullet"/>
      <w:lvlText w:val="o"/>
      <w:lvlJc w:val="left"/>
      <w:pPr>
        <w:tabs>
          <w:tab w:val="num" w:pos="3317"/>
        </w:tabs>
        <w:ind w:left="3317" w:hanging="360"/>
      </w:pPr>
      <w:rPr>
        <w:rFonts w:ascii="Courier New" w:hAnsi="Courier New" w:cs="Courier New" w:hint="default"/>
      </w:rPr>
    </w:lvl>
    <w:lvl w:ilvl="5">
      <w:start w:val="1"/>
      <w:numFmt w:val="bullet"/>
      <w:lvlText w:val=""/>
      <w:lvlJc w:val="left"/>
      <w:pPr>
        <w:tabs>
          <w:tab w:val="num" w:pos="4037"/>
        </w:tabs>
        <w:ind w:left="4037" w:hanging="360"/>
      </w:pPr>
      <w:rPr>
        <w:rFonts w:ascii="Wingdings" w:hAnsi="Wingdings" w:hint="default"/>
      </w:rPr>
    </w:lvl>
    <w:lvl w:ilvl="6">
      <w:start w:val="1"/>
      <w:numFmt w:val="bullet"/>
      <w:lvlText w:val=""/>
      <w:lvlJc w:val="left"/>
      <w:pPr>
        <w:tabs>
          <w:tab w:val="num" w:pos="4757"/>
        </w:tabs>
        <w:ind w:left="4757" w:hanging="360"/>
      </w:pPr>
      <w:rPr>
        <w:rFonts w:ascii="Symbol" w:hAnsi="Symbol" w:hint="default"/>
      </w:rPr>
    </w:lvl>
    <w:lvl w:ilvl="7">
      <w:start w:val="1"/>
      <w:numFmt w:val="bullet"/>
      <w:lvlText w:val="o"/>
      <w:lvlJc w:val="left"/>
      <w:pPr>
        <w:tabs>
          <w:tab w:val="num" w:pos="5477"/>
        </w:tabs>
        <w:ind w:left="5477" w:hanging="360"/>
      </w:pPr>
      <w:rPr>
        <w:rFonts w:ascii="Courier New" w:hAnsi="Courier New" w:cs="Courier New" w:hint="default"/>
      </w:rPr>
    </w:lvl>
    <w:lvl w:ilvl="8">
      <w:start w:val="1"/>
      <w:numFmt w:val="bullet"/>
      <w:lvlText w:val=""/>
      <w:lvlJc w:val="left"/>
      <w:pPr>
        <w:tabs>
          <w:tab w:val="num" w:pos="6197"/>
        </w:tabs>
        <w:ind w:left="6197" w:hanging="360"/>
      </w:pPr>
      <w:rPr>
        <w:rFonts w:ascii="Wingdings" w:hAnsi="Wingdings" w:hint="default"/>
      </w:rPr>
    </w:lvl>
  </w:abstractNum>
  <w:abstractNum w:abstractNumId="20" w15:restartNumberingAfterBreak="0">
    <w:nsid w:val="1A8F18E9"/>
    <w:multiLevelType w:val="hybridMultilevel"/>
    <w:tmpl w:val="A5CC1F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1B7A5403"/>
    <w:multiLevelType w:val="hybridMultilevel"/>
    <w:tmpl w:val="13700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0F02CE"/>
    <w:multiLevelType w:val="hybridMultilevel"/>
    <w:tmpl w:val="830AA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4D3A40"/>
    <w:multiLevelType w:val="hybridMultilevel"/>
    <w:tmpl w:val="ECE60839"/>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6F0076A"/>
    <w:multiLevelType w:val="hybridMultilevel"/>
    <w:tmpl w:val="6164A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3C0206"/>
    <w:multiLevelType w:val="multilevel"/>
    <w:tmpl w:val="35B263AC"/>
    <w:lvl w:ilvl="0">
      <w:start w:val="1"/>
      <w:numFmt w:val="bullet"/>
      <w:lvlText w:val="●"/>
      <w:lvlJc w:val="left"/>
      <w:pPr>
        <w:tabs>
          <w:tab w:val="num" w:pos="283"/>
        </w:tabs>
        <w:ind w:left="283" w:hanging="28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157"/>
        </w:tabs>
        <w:ind w:left="1157" w:hanging="360"/>
      </w:pPr>
      <w:rPr>
        <w:rFonts w:ascii="Courier New" w:hAnsi="Courier New" w:cs="Courier New" w:hint="default"/>
      </w:rPr>
    </w:lvl>
    <w:lvl w:ilvl="2">
      <w:start w:val="1"/>
      <w:numFmt w:val="bullet"/>
      <w:lvlText w:val=""/>
      <w:lvlJc w:val="left"/>
      <w:pPr>
        <w:tabs>
          <w:tab w:val="num" w:pos="1877"/>
        </w:tabs>
        <w:ind w:left="1877" w:hanging="360"/>
      </w:pPr>
      <w:rPr>
        <w:rFonts w:ascii="Wingdings" w:hAnsi="Wingdings" w:hint="default"/>
      </w:rPr>
    </w:lvl>
    <w:lvl w:ilvl="3">
      <w:start w:val="1"/>
      <w:numFmt w:val="bullet"/>
      <w:lvlText w:val=""/>
      <w:lvlJc w:val="left"/>
      <w:pPr>
        <w:tabs>
          <w:tab w:val="num" w:pos="2597"/>
        </w:tabs>
        <w:ind w:left="2597" w:hanging="360"/>
      </w:pPr>
      <w:rPr>
        <w:rFonts w:ascii="Symbol" w:hAnsi="Symbol" w:hint="default"/>
      </w:rPr>
    </w:lvl>
    <w:lvl w:ilvl="4">
      <w:start w:val="1"/>
      <w:numFmt w:val="bullet"/>
      <w:lvlText w:val="o"/>
      <w:lvlJc w:val="left"/>
      <w:pPr>
        <w:tabs>
          <w:tab w:val="num" w:pos="3317"/>
        </w:tabs>
        <w:ind w:left="3317" w:hanging="360"/>
      </w:pPr>
      <w:rPr>
        <w:rFonts w:ascii="Courier New" w:hAnsi="Courier New" w:cs="Courier New" w:hint="default"/>
      </w:rPr>
    </w:lvl>
    <w:lvl w:ilvl="5">
      <w:start w:val="1"/>
      <w:numFmt w:val="bullet"/>
      <w:lvlText w:val=""/>
      <w:lvlJc w:val="left"/>
      <w:pPr>
        <w:tabs>
          <w:tab w:val="num" w:pos="4037"/>
        </w:tabs>
        <w:ind w:left="4037" w:hanging="360"/>
      </w:pPr>
      <w:rPr>
        <w:rFonts w:ascii="Wingdings" w:hAnsi="Wingdings" w:hint="default"/>
      </w:rPr>
    </w:lvl>
    <w:lvl w:ilvl="6">
      <w:start w:val="1"/>
      <w:numFmt w:val="bullet"/>
      <w:lvlText w:val=""/>
      <w:lvlJc w:val="left"/>
      <w:pPr>
        <w:tabs>
          <w:tab w:val="num" w:pos="4757"/>
        </w:tabs>
        <w:ind w:left="4757" w:hanging="360"/>
      </w:pPr>
      <w:rPr>
        <w:rFonts w:ascii="Symbol" w:hAnsi="Symbol" w:hint="default"/>
      </w:rPr>
    </w:lvl>
    <w:lvl w:ilvl="7">
      <w:start w:val="1"/>
      <w:numFmt w:val="bullet"/>
      <w:lvlText w:val="o"/>
      <w:lvlJc w:val="left"/>
      <w:pPr>
        <w:tabs>
          <w:tab w:val="num" w:pos="5477"/>
        </w:tabs>
        <w:ind w:left="5477" w:hanging="360"/>
      </w:pPr>
      <w:rPr>
        <w:rFonts w:ascii="Courier New" w:hAnsi="Courier New" w:cs="Courier New" w:hint="default"/>
      </w:rPr>
    </w:lvl>
    <w:lvl w:ilvl="8">
      <w:start w:val="1"/>
      <w:numFmt w:val="bullet"/>
      <w:lvlText w:val=""/>
      <w:lvlJc w:val="left"/>
      <w:pPr>
        <w:tabs>
          <w:tab w:val="num" w:pos="6197"/>
        </w:tabs>
        <w:ind w:left="6197" w:hanging="360"/>
      </w:pPr>
      <w:rPr>
        <w:rFonts w:ascii="Wingdings" w:hAnsi="Wingdings" w:hint="default"/>
      </w:rPr>
    </w:lvl>
  </w:abstractNum>
  <w:abstractNum w:abstractNumId="26" w15:restartNumberingAfterBreak="0">
    <w:nsid w:val="31D857FA"/>
    <w:multiLevelType w:val="hybridMultilevel"/>
    <w:tmpl w:val="D58856DE"/>
    <w:lvl w:ilvl="0" w:tplc="0CB4C734">
      <w:start w:val="1"/>
      <w:numFmt w:val="bullet"/>
      <w:lvlText w:val="•"/>
      <w:lvlJc w:val="left"/>
      <w:pPr>
        <w:tabs>
          <w:tab w:val="num" w:pos="720"/>
        </w:tabs>
        <w:ind w:left="720" w:hanging="360"/>
      </w:pPr>
      <w:rPr>
        <w:rFonts w:ascii="Arial" w:hAnsi="Arial" w:hint="default"/>
      </w:rPr>
    </w:lvl>
    <w:lvl w:ilvl="1" w:tplc="A9E2B9E8" w:tentative="1">
      <w:start w:val="1"/>
      <w:numFmt w:val="bullet"/>
      <w:lvlText w:val="•"/>
      <w:lvlJc w:val="left"/>
      <w:pPr>
        <w:tabs>
          <w:tab w:val="num" w:pos="1440"/>
        </w:tabs>
        <w:ind w:left="1440" w:hanging="360"/>
      </w:pPr>
      <w:rPr>
        <w:rFonts w:ascii="Arial" w:hAnsi="Arial" w:hint="default"/>
      </w:rPr>
    </w:lvl>
    <w:lvl w:ilvl="2" w:tplc="9A705B24" w:tentative="1">
      <w:start w:val="1"/>
      <w:numFmt w:val="bullet"/>
      <w:lvlText w:val="•"/>
      <w:lvlJc w:val="left"/>
      <w:pPr>
        <w:tabs>
          <w:tab w:val="num" w:pos="2160"/>
        </w:tabs>
        <w:ind w:left="2160" w:hanging="360"/>
      </w:pPr>
      <w:rPr>
        <w:rFonts w:ascii="Arial" w:hAnsi="Arial" w:hint="default"/>
      </w:rPr>
    </w:lvl>
    <w:lvl w:ilvl="3" w:tplc="EFB81E4E" w:tentative="1">
      <w:start w:val="1"/>
      <w:numFmt w:val="bullet"/>
      <w:lvlText w:val="•"/>
      <w:lvlJc w:val="left"/>
      <w:pPr>
        <w:tabs>
          <w:tab w:val="num" w:pos="2880"/>
        </w:tabs>
        <w:ind w:left="2880" w:hanging="360"/>
      </w:pPr>
      <w:rPr>
        <w:rFonts w:ascii="Arial" w:hAnsi="Arial" w:hint="default"/>
      </w:rPr>
    </w:lvl>
    <w:lvl w:ilvl="4" w:tplc="E6FAA8D8" w:tentative="1">
      <w:start w:val="1"/>
      <w:numFmt w:val="bullet"/>
      <w:lvlText w:val="•"/>
      <w:lvlJc w:val="left"/>
      <w:pPr>
        <w:tabs>
          <w:tab w:val="num" w:pos="3600"/>
        </w:tabs>
        <w:ind w:left="3600" w:hanging="360"/>
      </w:pPr>
      <w:rPr>
        <w:rFonts w:ascii="Arial" w:hAnsi="Arial" w:hint="default"/>
      </w:rPr>
    </w:lvl>
    <w:lvl w:ilvl="5" w:tplc="0A942CF6" w:tentative="1">
      <w:start w:val="1"/>
      <w:numFmt w:val="bullet"/>
      <w:lvlText w:val="•"/>
      <w:lvlJc w:val="left"/>
      <w:pPr>
        <w:tabs>
          <w:tab w:val="num" w:pos="4320"/>
        </w:tabs>
        <w:ind w:left="4320" w:hanging="360"/>
      </w:pPr>
      <w:rPr>
        <w:rFonts w:ascii="Arial" w:hAnsi="Arial" w:hint="default"/>
      </w:rPr>
    </w:lvl>
    <w:lvl w:ilvl="6" w:tplc="5BAC3CEA" w:tentative="1">
      <w:start w:val="1"/>
      <w:numFmt w:val="bullet"/>
      <w:lvlText w:val="•"/>
      <w:lvlJc w:val="left"/>
      <w:pPr>
        <w:tabs>
          <w:tab w:val="num" w:pos="5040"/>
        </w:tabs>
        <w:ind w:left="5040" w:hanging="360"/>
      </w:pPr>
      <w:rPr>
        <w:rFonts w:ascii="Arial" w:hAnsi="Arial" w:hint="default"/>
      </w:rPr>
    </w:lvl>
    <w:lvl w:ilvl="7" w:tplc="57C20AA2" w:tentative="1">
      <w:start w:val="1"/>
      <w:numFmt w:val="bullet"/>
      <w:lvlText w:val="•"/>
      <w:lvlJc w:val="left"/>
      <w:pPr>
        <w:tabs>
          <w:tab w:val="num" w:pos="5760"/>
        </w:tabs>
        <w:ind w:left="5760" w:hanging="360"/>
      </w:pPr>
      <w:rPr>
        <w:rFonts w:ascii="Arial" w:hAnsi="Arial" w:hint="default"/>
      </w:rPr>
    </w:lvl>
    <w:lvl w:ilvl="8" w:tplc="6506132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7834F9B"/>
    <w:multiLevelType w:val="hybridMultilevel"/>
    <w:tmpl w:val="64EAE6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23E1870"/>
    <w:multiLevelType w:val="hybridMultilevel"/>
    <w:tmpl w:val="84A09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FF52CA"/>
    <w:multiLevelType w:val="hybridMultilevel"/>
    <w:tmpl w:val="2F2CF9DA"/>
    <w:lvl w:ilvl="0" w:tplc="C2468608">
      <w:start w:val="1"/>
      <w:numFmt w:val="bullet"/>
      <w:pStyle w:val="Ttulo4"/>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E71252"/>
    <w:multiLevelType w:val="hybridMultilevel"/>
    <w:tmpl w:val="2826A01E"/>
    <w:lvl w:ilvl="0" w:tplc="668EB82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872289"/>
    <w:multiLevelType w:val="hybridMultilevel"/>
    <w:tmpl w:val="B6CC3ABC"/>
    <w:lvl w:ilvl="0" w:tplc="42C2735A">
      <w:start w:val="1"/>
      <w:numFmt w:val="bullet"/>
      <w:lvlText w:val=""/>
      <w:lvlJc w:val="left"/>
      <w:pPr>
        <w:ind w:left="360" w:hanging="360"/>
      </w:pPr>
      <w:rPr>
        <w:rFonts w:ascii="Symbol" w:hAnsi="Symbol" w:cs="Times New Roman" w:hint="default"/>
        <w:b w:val="0"/>
        <w:bCs w:val="0"/>
        <w:i w:val="0"/>
        <w:iCs w:val="0"/>
        <w:caps w:val="0"/>
        <w:strike w:val="0"/>
        <w:dstrike w:val="0"/>
        <w:snapToGrid w:val="0"/>
        <w:vanish w:val="0"/>
        <w:color w:val="6A737B"/>
        <w:spacing w:val="0"/>
        <w:w w:val="0"/>
        <w:kern w:val="0"/>
        <w:position w:val="0"/>
        <w:sz w:val="24"/>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B1E3B2F"/>
    <w:multiLevelType w:val="hybridMultilevel"/>
    <w:tmpl w:val="7A463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9A0FB9"/>
    <w:multiLevelType w:val="hybridMultilevel"/>
    <w:tmpl w:val="C7AEF516"/>
    <w:lvl w:ilvl="0" w:tplc="C07CE734">
      <w:start w:val="1"/>
      <w:numFmt w:val="bullet"/>
      <w:lvlText w:val="‒"/>
      <w:lvlJc w:val="left"/>
      <w:pPr>
        <w:tabs>
          <w:tab w:val="num" w:pos="360"/>
        </w:tabs>
        <w:ind w:left="360" w:hanging="360"/>
      </w:pPr>
      <w:rPr>
        <w:rFonts w:ascii="Verdana" w:hAnsi="Verdana" w:hint="default"/>
      </w:rPr>
    </w:lvl>
    <w:lvl w:ilvl="1" w:tplc="040C0003" w:tentative="1">
      <w:start w:val="1"/>
      <w:numFmt w:val="bullet"/>
      <w:lvlText w:val="o"/>
      <w:lvlJc w:val="left"/>
      <w:pPr>
        <w:tabs>
          <w:tab w:val="num" w:pos="1157"/>
        </w:tabs>
        <w:ind w:left="1157" w:hanging="360"/>
      </w:pPr>
      <w:rPr>
        <w:rFonts w:ascii="Courier New" w:hAnsi="Courier New" w:cs="Courier New" w:hint="default"/>
      </w:rPr>
    </w:lvl>
    <w:lvl w:ilvl="2" w:tplc="040C0005" w:tentative="1">
      <w:start w:val="1"/>
      <w:numFmt w:val="bullet"/>
      <w:lvlText w:val=""/>
      <w:lvlJc w:val="left"/>
      <w:pPr>
        <w:tabs>
          <w:tab w:val="num" w:pos="1877"/>
        </w:tabs>
        <w:ind w:left="1877" w:hanging="360"/>
      </w:pPr>
      <w:rPr>
        <w:rFonts w:ascii="Wingdings" w:hAnsi="Wingdings" w:hint="default"/>
      </w:rPr>
    </w:lvl>
    <w:lvl w:ilvl="3" w:tplc="040C0001" w:tentative="1">
      <w:start w:val="1"/>
      <w:numFmt w:val="bullet"/>
      <w:lvlText w:val=""/>
      <w:lvlJc w:val="left"/>
      <w:pPr>
        <w:tabs>
          <w:tab w:val="num" w:pos="2597"/>
        </w:tabs>
        <w:ind w:left="2597" w:hanging="360"/>
      </w:pPr>
      <w:rPr>
        <w:rFonts w:ascii="Symbol" w:hAnsi="Symbol" w:hint="default"/>
      </w:rPr>
    </w:lvl>
    <w:lvl w:ilvl="4" w:tplc="040C0003" w:tentative="1">
      <w:start w:val="1"/>
      <w:numFmt w:val="bullet"/>
      <w:lvlText w:val="o"/>
      <w:lvlJc w:val="left"/>
      <w:pPr>
        <w:tabs>
          <w:tab w:val="num" w:pos="3317"/>
        </w:tabs>
        <w:ind w:left="3317" w:hanging="360"/>
      </w:pPr>
      <w:rPr>
        <w:rFonts w:ascii="Courier New" w:hAnsi="Courier New" w:cs="Courier New" w:hint="default"/>
      </w:rPr>
    </w:lvl>
    <w:lvl w:ilvl="5" w:tplc="040C0005" w:tentative="1">
      <w:start w:val="1"/>
      <w:numFmt w:val="bullet"/>
      <w:lvlText w:val=""/>
      <w:lvlJc w:val="left"/>
      <w:pPr>
        <w:tabs>
          <w:tab w:val="num" w:pos="4037"/>
        </w:tabs>
        <w:ind w:left="4037" w:hanging="360"/>
      </w:pPr>
      <w:rPr>
        <w:rFonts w:ascii="Wingdings" w:hAnsi="Wingdings" w:hint="default"/>
      </w:rPr>
    </w:lvl>
    <w:lvl w:ilvl="6" w:tplc="040C0001" w:tentative="1">
      <w:start w:val="1"/>
      <w:numFmt w:val="bullet"/>
      <w:lvlText w:val=""/>
      <w:lvlJc w:val="left"/>
      <w:pPr>
        <w:tabs>
          <w:tab w:val="num" w:pos="4757"/>
        </w:tabs>
        <w:ind w:left="4757" w:hanging="360"/>
      </w:pPr>
      <w:rPr>
        <w:rFonts w:ascii="Symbol" w:hAnsi="Symbol" w:hint="default"/>
      </w:rPr>
    </w:lvl>
    <w:lvl w:ilvl="7" w:tplc="040C0003" w:tentative="1">
      <w:start w:val="1"/>
      <w:numFmt w:val="bullet"/>
      <w:lvlText w:val="o"/>
      <w:lvlJc w:val="left"/>
      <w:pPr>
        <w:tabs>
          <w:tab w:val="num" w:pos="5477"/>
        </w:tabs>
        <w:ind w:left="5477" w:hanging="360"/>
      </w:pPr>
      <w:rPr>
        <w:rFonts w:ascii="Courier New" w:hAnsi="Courier New" w:cs="Courier New" w:hint="default"/>
      </w:rPr>
    </w:lvl>
    <w:lvl w:ilvl="8" w:tplc="040C0005" w:tentative="1">
      <w:start w:val="1"/>
      <w:numFmt w:val="bullet"/>
      <w:lvlText w:val=""/>
      <w:lvlJc w:val="left"/>
      <w:pPr>
        <w:tabs>
          <w:tab w:val="num" w:pos="6197"/>
        </w:tabs>
        <w:ind w:left="6197" w:hanging="360"/>
      </w:pPr>
      <w:rPr>
        <w:rFonts w:ascii="Wingdings" w:hAnsi="Wingdings" w:hint="default"/>
      </w:rPr>
    </w:lvl>
  </w:abstractNum>
  <w:abstractNum w:abstractNumId="34" w15:restartNumberingAfterBreak="0">
    <w:nsid w:val="72155DDD"/>
    <w:multiLevelType w:val="hybridMultilevel"/>
    <w:tmpl w:val="84A09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F28070"/>
    <w:multiLevelType w:val="hybridMultilevel"/>
    <w:tmpl w:val="E7E2B2A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DEC0D96"/>
    <w:multiLevelType w:val="hybridMultilevel"/>
    <w:tmpl w:val="9A6ED980"/>
    <w:lvl w:ilvl="0" w:tplc="B686E508">
      <w:start w:val="1"/>
      <w:numFmt w:val="bullet"/>
      <w:lvlText w:val="•"/>
      <w:lvlJc w:val="left"/>
      <w:pPr>
        <w:tabs>
          <w:tab w:val="num" w:pos="283"/>
        </w:tabs>
        <w:ind w:left="283" w:hanging="283"/>
      </w:pPr>
      <w:rPr>
        <w:rFonts w:asciiTheme="minorHAnsi" w:hAnsiTheme="minorHAnsi" w:cs="Times New Roman" w:hint="default"/>
        <w:b w:val="0"/>
        <w:bCs w:val="0"/>
        <w:i w:val="0"/>
        <w:iCs w:val="0"/>
        <w:caps w:val="0"/>
        <w:smallCaps w:val="0"/>
        <w:strike w:val="0"/>
        <w:dstrike w:val="0"/>
        <w:noProof w:val="0"/>
        <w:snapToGrid w:val="0"/>
        <w:vanish w:val="0"/>
        <w:color w:val="6A737B"/>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03">
      <w:start w:val="1"/>
      <w:numFmt w:val="bullet"/>
      <w:lvlText w:val="o"/>
      <w:lvlJc w:val="left"/>
      <w:pPr>
        <w:tabs>
          <w:tab w:val="num" w:pos="1157"/>
        </w:tabs>
        <w:ind w:left="1157" w:hanging="360"/>
      </w:pPr>
      <w:rPr>
        <w:rFonts w:ascii="Courier New" w:hAnsi="Courier New" w:cs="Courier New" w:hint="default"/>
      </w:rPr>
    </w:lvl>
    <w:lvl w:ilvl="2" w:tplc="040C0005" w:tentative="1">
      <w:start w:val="1"/>
      <w:numFmt w:val="bullet"/>
      <w:lvlText w:val=""/>
      <w:lvlJc w:val="left"/>
      <w:pPr>
        <w:tabs>
          <w:tab w:val="num" w:pos="1877"/>
        </w:tabs>
        <w:ind w:left="1877" w:hanging="360"/>
      </w:pPr>
      <w:rPr>
        <w:rFonts w:ascii="Wingdings" w:hAnsi="Wingdings" w:hint="default"/>
      </w:rPr>
    </w:lvl>
    <w:lvl w:ilvl="3" w:tplc="040C0001" w:tentative="1">
      <w:start w:val="1"/>
      <w:numFmt w:val="bullet"/>
      <w:lvlText w:val=""/>
      <w:lvlJc w:val="left"/>
      <w:pPr>
        <w:tabs>
          <w:tab w:val="num" w:pos="2597"/>
        </w:tabs>
        <w:ind w:left="2597" w:hanging="360"/>
      </w:pPr>
      <w:rPr>
        <w:rFonts w:ascii="Symbol" w:hAnsi="Symbol" w:hint="default"/>
      </w:rPr>
    </w:lvl>
    <w:lvl w:ilvl="4" w:tplc="040C0003" w:tentative="1">
      <w:start w:val="1"/>
      <w:numFmt w:val="bullet"/>
      <w:lvlText w:val="o"/>
      <w:lvlJc w:val="left"/>
      <w:pPr>
        <w:tabs>
          <w:tab w:val="num" w:pos="3317"/>
        </w:tabs>
        <w:ind w:left="3317" w:hanging="360"/>
      </w:pPr>
      <w:rPr>
        <w:rFonts w:ascii="Courier New" w:hAnsi="Courier New" w:cs="Courier New" w:hint="default"/>
      </w:rPr>
    </w:lvl>
    <w:lvl w:ilvl="5" w:tplc="040C0005" w:tentative="1">
      <w:start w:val="1"/>
      <w:numFmt w:val="bullet"/>
      <w:lvlText w:val=""/>
      <w:lvlJc w:val="left"/>
      <w:pPr>
        <w:tabs>
          <w:tab w:val="num" w:pos="4037"/>
        </w:tabs>
        <w:ind w:left="4037" w:hanging="360"/>
      </w:pPr>
      <w:rPr>
        <w:rFonts w:ascii="Wingdings" w:hAnsi="Wingdings" w:hint="default"/>
      </w:rPr>
    </w:lvl>
    <w:lvl w:ilvl="6" w:tplc="040C0001" w:tentative="1">
      <w:start w:val="1"/>
      <w:numFmt w:val="bullet"/>
      <w:lvlText w:val=""/>
      <w:lvlJc w:val="left"/>
      <w:pPr>
        <w:tabs>
          <w:tab w:val="num" w:pos="4757"/>
        </w:tabs>
        <w:ind w:left="4757" w:hanging="360"/>
      </w:pPr>
      <w:rPr>
        <w:rFonts w:ascii="Symbol" w:hAnsi="Symbol" w:hint="default"/>
      </w:rPr>
    </w:lvl>
    <w:lvl w:ilvl="7" w:tplc="040C0003" w:tentative="1">
      <w:start w:val="1"/>
      <w:numFmt w:val="bullet"/>
      <w:lvlText w:val="o"/>
      <w:lvlJc w:val="left"/>
      <w:pPr>
        <w:tabs>
          <w:tab w:val="num" w:pos="5477"/>
        </w:tabs>
        <w:ind w:left="5477" w:hanging="360"/>
      </w:pPr>
      <w:rPr>
        <w:rFonts w:ascii="Courier New" w:hAnsi="Courier New" w:cs="Courier New" w:hint="default"/>
      </w:rPr>
    </w:lvl>
    <w:lvl w:ilvl="8" w:tplc="040C0005" w:tentative="1">
      <w:start w:val="1"/>
      <w:numFmt w:val="bullet"/>
      <w:lvlText w:val=""/>
      <w:lvlJc w:val="left"/>
      <w:pPr>
        <w:tabs>
          <w:tab w:val="num" w:pos="6197"/>
        </w:tabs>
        <w:ind w:left="6197" w:hanging="360"/>
      </w:pPr>
      <w:rPr>
        <w:rFonts w:ascii="Wingdings" w:hAnsi="Wingdings" w:hint="default"/>
      </w:rPr>
    </w:lvl>
  </w:abstractNum>
  <w:num w:numId="1">
    <w:abstractNumId w:val="30"/>
  </w:num>
  <w:num w:numId="2">
    <w:abstractNumId w:val="18"/>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33"/>
  </w:num>
  <w:num w:numId="14">
    <w:abstractNumId w:val="11"/>
  </w:num>
  <w:num w:numId="15">
    <w:abstractNumId w:val="36"/>
  </w:num>
  <w:num w:numId="16">
    <w:abstractNumId w:val="19"/>
  </w:num>
  <w:num w:numId="17">
    <w:abstractNumId w:val="25"/>
  </w:num>
  <w:num w:numId="18">
    <w:abstractNumId w:val="14"/>
  </w:num>
  <w:num w:numId="19">
    <w:abstractNumId w:val="12"/>
  </w:num>
  <w:num w:numId="20">
    <w:abstractNumId w:val="31"/>
  </w:num>
  <w:num w:numId="21">
    <w:abstractNumId w:val="20"/>
  </w:num>
  <w:num w:numId="22">
    <w:abstractNumId w:val="15"/>
  </w:num>
  <w:num w:numId="23">
    <w:abstractNumId w:val="16"/>
  </w:num>
  <w:num w:numId="24">
    <w:abstractNumId w:val="24"/>
  </w:num>
  <w:num w:numId="25">
    <w:abstractNumId w:val="29"/>
  </w:num>
  <w:num w:numId="26">
    <w:abstractNumId w:val="28"/>
  </w:num>
  <w:num w:numId="27">
    <w:abstractNumId w:val="27"/>
  </w:num>
  <w:num w:numId="28">
    <w:abstractNumId w:val="32"/>
  </w:num>
  <w:num w:numId="29">
    <w:abstractNumId w:val="22"/>
  </w:num>
  <w:num w:numId="30">
    <w:abstractNumId w:val="26"/>
  </w:num>
  <w:num w:numId="31">
    <w:abstractNumId w:val="13"/>
  </w:num>
  <w:num w:numId="32">
    <w:abstractNumId w:val="34"/>
  </w:num>
  <w:num w:numId="33">
    <w:abstractNumId w:val="17"/>
  </w:num>
  <w:num w:numId="34">
    <w:abstractNumId w:val="0"/>
  </w:num>
  <w:num w:numId="35">
    <w:abstractNumId w:val="23"/>
  </w:num>
  <w:num w:numId="36">
    <w:abstractNumId w:val="3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o:colormru v:ext="edit" colors="#e1e5e8,#6a737b,#00ac9d,#dbee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D7"/>
    <w:rsid w:val="00007766"/>
    <w:rsid w:val="00011A5E"/>
    <w:rsid w:val="000133F1"/>
    <w:rsid w:val="00013B51"/>
    <w:rsid w:val="00017FA9"/>
    <w:rsid w:val="00020CFD"/>
    <w:rsid w:val="000213B4"/>
    <w:rsid w:val="000237F3"/>
    <w:rsid w:val="00035487"/>
    <w:rsid w:val="00036270"/>
    <w:rsid w:val="0004215B"/>
    <w:rsid w:val="00044D0B"/>
    <w:rsid w:val="00056C2F"/>
    <w:rsid w:val="000627D8"/>
    <w:rsid w:val="00063BA3"/>
    <w:rsid w:val="00072586"/>
    <w:rsid w:val="00085AC8"/>
    <w:rsid w:val="00091E74"/>
    <w:rsid w:val="00095DCA"/>
    <w:rsid w:val="000A2B09"/>
    <w:rsid w:val="000C7356"/>
    <w:rsid w:val="000D4055"/>
    <w:rsid w:val="000E0FB0"/>
    <w:rsid w:val="000F4AC6"/>
    <w:rsid w:val="00113094"/>
    <w:rsid w:val="0011701B"/>
    <w:rsid w:val="00120F9E"/>
    <w:rsid w:val="0012606F"/>
    <w:rsid w:val="00126D20"/>
    <w:rsid w:val="001314EF"/>
    <w:rsid w:val="0013410F"/>
    <w:rsid w:val="00143E16"/>
    <w:rsid w:val="001618E1"/>
    <w:rsid w:val="001858EB"/>
    <w:rsid w:val="0019237C"/>
    <w:rsid w:val="001930FD"/>
    <w:rsid w:val="001A0362"/>
    <w:rsid w:val="001A3202"/>
    <w:rsid w:val="001A3CC4"/>
    <w:rsid w:val="001B0CA8"/>
    <w:rsid w:val="001C17C3"/>
    <w:rsid w:val="001E0F4A"/>
    <w:rsid w:val="001E1A94"/>
    <w:rsid w:val="00214197"/>
    <w:rsid w:val="002636A9"/>
    <w:rsid w:val="0026516A"/>
    <w:rsid w:val="002658E3"/>
    <w:rsid w:val="00273EEB"/>
    <w:rsid w:val="002833D7"/>
    <w:rsid w:val="00297BA9"/>
    <w:rsid w:val="002A1358"/>
    <w:rsid w:val="002B4D33"/>
    <w:rsid w:val="002D6885"/>
    <w:rsid w:val="002E32E6"/>
    <w:rsid w:val="002E6BEA"/>
    <w:rsid w:val="002F4BEE"/>
    <w:rsid w:val="00323B70"/>
    <w:rsid w:val="00331113"/>
    <w:rsid w:val="00336F63"/>
    <w:rsid w:val="0036367D"/>
    <w:rsid w:val="00363804"/>
    <w:rsid w:val="003656F2"/>
    <w:rsid w:val="00384877"/>
    <w:rsid w:val="00390E2C"/>
    <w:rsid w:val="00397A47"/>
    <w:rsid w:val="003A40FA"/>
    <w:rsid w:val="003C3616"/>
    <w:rsid w:val="003D0AAA"/>
    <w:rsid w:val="003D2651"/>
    <w:rsid w:val="003D45B6"/>
    <w:rsid w:val="003E5EDC"/>
    <w:rsid w:val="003F25A1"/>
    <w:rsid w:val="003F62D0"/>
    <w:rsid w:val="00421542"/>
    <w:rsid w:val="004265AA"/>
    <w:rsid w:val="004318C9"/>
    <w:rsid w:val="00442361"/>
    <w:rsid w:val="00466969"/>
    <w:rsid w:val="0047139E"/>
    <w:rsid w:val="004729B9"/>
    <w:rsid w:val="004818A0"/>
    <w:rsid w:val="004970F9"/>
    <w:rsid w:val="004A4C03"/>
    <w:rsid w:val="004A6999"/>
    <w:rsid w:val="004A7281"/>
    <w:rsid w:val="004E6983"/>
    <w:rsid w:val="004E7089"/>
    <w:rsid w:val="004F3C14"/>
    <w:rsid w:val="004F54E4"/>
    <w:rsid w:val="00507CCA"/>
    <w:rsid w:val="005106AD"/>
    <w:rsid w:val="00514827"/>
    <w:rsid w:val="00526623"/>
    <w:rsid w:val="00541A13"/>
    <w:rsid w:val="00550D54"/>
    <w:rsid w:val="00554B48"/>
    <w:rsid w:val="00556582"/>
    <w:rsid w:val="005566DB"/>
    <w:rsid w:val="0057261A"/>
    <w:rsid w:val="005833DB"/>
    <w:rsid w:val="005864FE"/>
    <w:rsid w:val="005C6CC5"/>
    <w:rsid w:val="005D4247"/>
    <w:rsid w:val="005D461D"/>
    <w:rsid w:val="005D7637"/>
    <w:rsid w:val="005E0C8D"/>
    <w:rsid w:val="005F269E"/>
    <w:rsid w:val="005F68D9"/>
    <w:rsid w:val="0060430E"/>
    <w:rsid w:val="006107A5"/>
    <w:rsid w:val="00631D81"/>
    <w:rsid w:val="00655DDB"/>
    <w:rsid w:val="00663378"/>
    <w:rsid w:val="00674917"/>
    <w:rsid w:val="00681AF4"/>
    <w:rsid w:val="006832D4"/>
    <w:rsid w:val="006A65A9"/>
    <w:rsid w:val="006B10D4"/>
    <w:rsid w:val="006C122B"/>
    <w:rsid w:val="006C1DF6"/>
    <w:rsid w:val="006C6BB2"/>
    <w:rsid w:val="006D0ACD"/>
    <w:rsid w:val="006D4238"/>
    <w:rsid w:val="006D5B8A"/>
    <w:rsid w:val="006E2681"/>
    <w:rsid w:val="006E2839"/>
    <w:rsid w:val="006F2714"/>
    <w:rsid w:val="006F5928"/>
    <w:rsid w:val="006F6BF4"/>
    <w:rsid w:val="0070402F"/>
    <w:rsid w:val="00711230"/>
    <w:rsid w:val="007136AF"/>
    <w:rsid w:val="007153C1"/>
    <w:rsid w:val="00717735"/>
    <w:rsid w:val="007213D3"/>
    <w:rsid w:val="0072206A"/>
    <w:rsid w:val="00735711"/>
    <w:rsid w:val="00737945"/>
    <w:rsid w:val="007726D9"/>
    <w:rsid w:val="007A1E5A"/>
    <w:rsid w:val="007C2D72"/>
    <w:rsid w:val="007C5962"/>
    <w:rsid w:val="007D0BE7"/>
    <w:rsid w:val="007F1D2E"/>
    <w:rsid w:val="007F4E9C"/>
    <w:rsid w:val="008059A2"/>
    <w:rsid w:val="008070E0"/>
    <w:rsid w:val="0081620A"/>
    <w:rsid w:val="008317D6"/>
    <w:rsid w:val="00831BD1"/>
    <w:rsid w:val="0083223A"/>
    <w:rsid w:val="0083551B"/>
    <w:rsid w:val="0085462A"/>
    <w:rsid w:val="00887C05"/>
    <w:rsid w:val="008909AD"/>
    <w:rsid w:val="00895116"/>
    <w:rsid w:val="008B21E9"/>
    <w:rsid w:val="008B7747"/>
    <w:rsid w:val="008C05A9"/>
    <w:rsid w:val="008C7CEF"/>
    <w:rsid w:val="008D0F97"/>
    <w:rsid w:val="008D1FAF"/>
    <w:rsid w:val="008D6D0E"/>
    <w:rsid w:val="008D7209"/>
    <w:rsid w:val="008F30A5"/>
    <w:rsid w:val="00900421"/>
    <w:rsid w:val="00902AF5"/>
    <w:rsid w:val="00903DF1"/>
    <w:rsid w:val="009059EB"/>
    <w:rsid w:val="00912B3C"/>
    <w:rsid w:val="00913210"/>
    <w:rsid w:val="00916DAB"/>
    <w:rsid w:val="00924A44"/>
    <w:rsid w:val="0092745D"/>
    <w:rsid w:val="00962AAE"/>
    <w:rsid w:val="00963436"/>
    <w:rsid w:val="009700F2"/>
    <w:rsid w:val="009864D1"/>
    <w:rsid w:val="00993DD4"/>
    <w:rsid w:val="00995F25"/>
    <w:rsid w:val="009A1C67"/>
    <w:rsid w:val="00A03EFE"/>
    <w:rsid w:val="00A079D1"/>
    <w:rsid w:val="00A10376"/>
    <w:rsid w:val="00A107FD"/>
    <w:rsid w:val="00A261E4"/>
    <w:rsid w:val="00A31269"/>
    <w:rsid w:val="00A3500B"/>
    <w:rsid w:val="00A4119F"/>
    <w:rsid w:val="00A60207"/>
    <w:rsid w:val="00A63F90"/>
    <w:rsid w:val="00A65782"/>
    <w:rsid w:val="00A65CEF"/>
    <w:rsid w:val="00A87C86"/>
    <w:rsid w:val="00AE1024"/>
    <w:rsid w:val="00AF778C"/>
    <w:rsid w:val="00B00F7A"/>
    <w:rsid w:val="00B0137D"/>
    <w:rsid w:val="00B10FDE"/>
    <w:rsid w:val="00B15A8E"/>
    <w:rsid w:val="00B2281C"/>
    <w:rsid w:val="00B23B34"/>
    <w:rsid w:val="00B4351A"/>
    <w:rsid w:val="00B45451"/>
    <w:rsid w:val="00B542F6"/>
    <w:rsid w:val="00B577C7"/>
    <w:rsid w:val="00B579FC"/>
    <w:rsid w:val="00B740A2"/>
    <w:rsid w:val="00BA748C"/>
    <w:rsid w:val="00BB0903"/>
    <w:rsid w:val="00BB6026"/>
    <w:rsid w:val="00BD0098"/>
    <w:rsid w:val="00BF1838"/>
    <w:rsid w:val="00BF3E3A"/>
    <w:rsid w:val="00C0202D"/>
    <w:rsid w:val="00C05E71"/>
    <w:rsid w:val="00C27C25"/>
    <w:rsid w:val="00C30150"/>
    <w:rsid w:val="00C31E85"/>
    <w:rsid w:val="00C33102"/>
    <w:rsid w:val="00C348D1"/>
    <w:rsid w:val="00C61BC0"/>
    <w:rsid w:val="00C634C1"/>
    <w:rsid w:val="00C8374C"/>
    <w:rsid w:val="00C85049"/>
    <w:rsid w:val="00C91BCD"/>
    <w:rsid w:val="00CA617E"/>
    <w:rsid w:val="00CB27F6"/>
    <w:rsid w:val="00CB2B6B"/>
    <w:rsid w:val="00CC6A1F"/>
    <w:rsid w:val="00CD36C0"/>
    <w:rsid w:val="00CE29D7"/>
    <w:rsid w:val="00D10F45"/>
    <w:rsid w:val="00D14BBC"/>
    <w:rsid w:val="00D15B6A"/>
    <w:rsid w:val="00D16607"/>
    <w:rsid w:val="00D2425A"/>
    <w:rsid w:val="00D27F91"/>
    <w:rsid w:val="00D3104E"/>
    <w:rsid w:val="00D342F9"/>
    <w:rsid w:val="00D41133"/>
    <w:rsid w:val="00D657CA"/>
    <w:rsid w:val="00D850C3"/>
    <w:rsid w:val="00D90829"/>
    <w:rsid w:val="00D95CDE"/>
    <w:rsid w:val="00DA2516"/>
    <w:rsid w:val="00DD0D4C"/>
    <w:rsid w:val="00DE24CD"/>
    <w:rsid w:val="00DE5089"/>
    <w:rsid w:val="00E1546E"/>
    <w:rsid w:val="00E16707"/>
    <w:rsid w:val="00E522F5"/>
    <w:rsid w:val="00E55977"/>
    <w:rsid w:val="00E55C79"/>
    <w:rsid w:val="00EA0D67"/>
    <w:rsid w:val="00EA54A1"/>
    <w:rsid w:val="00EA7855"/>
    <w:rsid w:val="00EB63FB"/>
    <w:rsid w:val="00EC59C0"/>
    <w:rsid w:val="00ED09A1"/>
    <w:rsid w:val="00EF1D28"/>
    <w:rsid w:val="00F10D0B"/>
    <w:rsid w:val="00F11667"/>
    <w:rsid w:val="00F13F7F"/>
    <w:rsid w:val="00F32B29"/>
    <w:rsid w:val="00F443C6"/>
    <w:rsid w:val="00F45D9C"/>
    <w:rsid w:val="00F466DF"/>
    <w:rsid w:val="00F55B55"/>
    <w:rsid w:val="00F7062D"/>
    <w:rsid w:val="00F72361"/>
    <w:rsid w:val="00F90963"/>
    <w:rsid w:val="00F95AB5"/>
    <w:rsid w:val="00FA2BEF"/>
    <w:rsid w:val="00FA7E63"/>
    <w:rsid w:val="00FB7A8F"/>
    <w:rsid w:val="00FF24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1e5e8,#6a737b,#00ac9d,#dbeeea"/>
    </o:shapedefaults>
    <o:shapelayout v:ext="edit">
      <o:idmap v:ext="edit" data="1"/>
    </o:shapelayout>
  </w:shapeDefaults>
  <w:decimalSymbol w:val=","/>
  <w:listSeparator w:val=";"/>
  <w14:docId w14:val="59D71E5B"/>
  <w15:docId w15:val="{06265B7F-6769-4E93-9BC2-D9DFC078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BB2"/>
    <w:pPr>
      <w:spacing w:before="200" w:line="280" w:lineRule="exact"/>
    </w:pPr>
    <w:rPr>
      <w:color w:val="343A3D" w:themeColor="background1"/>
      <w:sz w:val="22"/>
      <w:szCs w:val="22"/>
      <w:lang w:val="en-US"/>
    </w:rPr>
  </w:style>
  <w:style w:type="paragraph" w:styleId="Ttulo1">
    <w:name w:val="heading 1"/>
    <w:next w:val="Normal"/>
    <w:qFormat/>
    <w:rsid w:val="008C05A9"/>
    <w:pPr>
      <w:autoSpaceDE w:val="0"/>
      <w:autoSpaceDN w:val="0"/>
      <w:adjustRightInd w:val="0"/>
      <w:spacing w:line="400" w:lineRule="exact"/>
      <w:outlineLvl w:val="0"/>
    </w:pPr>
    <w:rPr>
      <w:rFonts w:eastAsia="Times New Roman" w:cs="Calibri-Light"/>
      <w:color w:val="231F20" w:themeColor="text1"/>
      <w:sz w:val="42"/>
      <w:szCs w:val="42"/>
      <w:lang w:val="en-GB" w:eastAsia="fr-FR"/>
    </w:rPr>
  </w:style>
  <w:style w:type="paragraph" w:styleId="Ttulo2">
    <w:name w:val="heading 2"/>
    <w:next w:val="Normal"/>
    <w:qFormat/>
    <w:rsid w:val="00113094"/>
    <w:pPr>
      <w:autoSpaceDE w:val="0"/>
      <w:autoSpaceDN w:val="0"/>
      <w:adjustRightInd w:val="0"/>
      <w:spacing w:before="460" w:line="340" w:lineRule="exact"/>
      <w:outlineLvl w:val="1"/>
    </w:pPr>
    <w:rPr>
      <w:rFonts w:eastAsia="Times New Roman" w:cs="Calibri-Light"/>
      <w:color w:val="00ACA1" w:themeColor="text2"/>
      <w:sz w:val="32"/>
      <w:szCs w:val="42"/>
      <w:lang w:val="en-GB" w:eastAsia="fr-FR"/>
    </w:rPr>
  </w:style>
  <w:style w:type="paragraph" w:styleId="Ttulo3">
    <w:name w:val="heading 3"/>
    <w:basedOn w:val="Normal"/>
    <w:next w:val="Normal"/>
    <w:qFormat/>
    <w:rsid w:val="00FB7A8F"/>
    <w:pPr>
      <w:outlineLvl w:val="2"/>
    </w:pPr>
    <w:rPr>
      <w:b/>
      <w:color w:val="231F20" w:themeColor="text1"/>
      <w:sz w:val="24"/>
    </w:rPr>
  </w:style>
  <w:style w:type="paragraph" w:styleId="Ttulo4">
    <w:name w:val="heading 4"/>
    <w:next w:val="Normal"/>
    <w:link w:val="Ttulo4Carter"/>
    <w:uiPriority w:val="9"/>
    <w:qFormat/>
    <w:rsid w:val="00FB7A8F"/>
    <w:pPr>
      <w:numPr>
        <w:numId w:val="25"/>
      </w:numPr>
      <w:spacing w:before="60" w:after="60"/>
      <w:ind w:left="425" w:hanging="357"/>
      <w:outlineLvl w:val="3"/>
    </w:pPr>
    <w:rPr>
      <w:color w:val="231F20" w:themeColor="text1"/>
      <w:sz w:val="22"/>
      <w:szCs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rsid w:val="00B15A8E"/>
    <w:pPr>
      <w:spacing w:before="200" w:line="280" w:lineRule="exact"/>
    </w:pPr>
    <w:tblPr>
      <w:tblBorders>
        <w:top w:val="single" w:sz="4" w:space="0" w:color="74737B"/>
        <w:left w:val="single" w:sz="4" w:space="0" w:color="74737B"/>
        <w:bottom w:val="single" w:sz="4" w:space="0" w:color="74737B"/>
        <w:right w:val="single" w:sz="4" w:space="0" w:color="74737B"/>
        <w:insideH w:val="single" w:sz="4" w:space="0" w:color="74737B"/>
        <w:insideV w:val="single" w:sz="4" w:space="0" w:color="74737B"/>
      </w:tblBorders>
    </w:tblPr>
  </w:style>
  <w:style w:type="paragraph" w:styleId="Cabealho">
    <w:name w:val="header"/>
    <w:basedOn w:val="Normal"/>
    <w:link w:val="CabealhoCarter"/>
    <w:uiPriority w:val="99"/>
    <w:unhideWhenUsed/>
    <w:qFormat/>
    <w:rsid w:val="00FB7A8F"/>
    <w:pPr>
      <w:tabs>
        <w:tab w:val="center" w:pos="4536"/>
        <w:tab w:val="right" w:pos="9072"/>
      </w:tabs>
      <w:spacing w:before="0"/>
      <w:jc w:val="right"/>
    </w:pPr>
    <w:rPr>
      <w:b/>
      <w:noProof/>
      <w:color w:val="00ACA1" w:themeColor="text2"/>
      <w:sz w:val="36"/>
      <w:szCs w:val="36"/>
      <w:lang w:val="fr-BE" w:eastAsia="fr-BE"/>
    </w:rPr>
  </w:style>
  <w:style w:type="character" w:customStyle="1" w:styleId="CabealhoCarter">
    <w:name w:val="Cabeçalho Caráter"/>
    <w:link w:val="Cabealho"/>
    <w:uiPriority w:val="99"/>
    <w:rsid w:val="00FB7A8F"/>
    <w:rPr>
      <w:b/>
      <w:noProof/>
      <w:color w:val="00ACA1" w:themeColor="text2"/>
      <w:sz w:val="36"/>
      <w:szCs w:val="36"/>
      <w:lang w:eastAsia="fr-BE"/>
    </w:rPr>
  </w:style>
  <w:style w:type="paragraph" w:styleId="Rodap">
    <w:name w:val="footer"/>
    <w:basedOn w:val="Normal"/>
    <w:link w:val="RodapCarter"/>
    <w:uiPriority w:val="99"/>
    <w:unhideWhenUsed/>
    <w:rsid w:val="00D27F91"/>
    <w:pPr>
      <w:jc w:val="right"/>
    </w:pPr>
    <w:rPr>
      <w:sz w:val="18"/>
    </w:rPr>
  </w:style>
  <w:style w:type="character" w:customStyle="1" w:styleId="RodapCarter">
    <w:name w:val="Rodapé Caráter"/>
    <w:basedOn w:val="Tipodeletrapredefinidodopargrafo"/>
    <w:link w:val="Rodap"/>
    <w:uiPriority w:val="99"/>
    <w:rsid w:val="00D27F91"/>
    <w:rPr>
      <w:color w:val="343A3D" w:themeColor="background1"/>
      <w:sz w:val="18"/>
      <w:szCs w:val="22"/>
      <w:lang w:val="en-US"/>
    </w:rPr>
  </w:style>
  <w:style w:type="paragraph" w:styleId="Data">
    <w:name w:val="Date"/>
    <w:next w:val="Normal"/>
    <w:qFormat/>
    <w:rsid w:val="00FB7A8F"/>
    <w:pPr>
      <w:spacing w:before="120" w:line="280" w:lineRule="exact"/>
      <w:jc w:val="right"/>
    </w:pPr>
    <w:rPr>
      <w:noProof/>
      <w:color w:val="343A3D" w:themeColor="background1"/>
      <w:sz w:val="18"/>
    </w:rPr>
  </w:style>
  <w:style w:type="character" w:styleId="Forte">
    <w:name w:val="Strong"/>
    <w:basedOn w:val="Tipodeletrapredefinidodopargrafo"/>
    <w:qFormat/>
    <w:rsid w:val="00D27F91"/>
    <w:rPr>
      <w:b/>
      <w:bCs/>
    </w:rPr>
  </w:style>
  <w:style w:type="paragraph" w:styleId="Textodenotaderodap">
    <w:name w:val="footnote text"/>
    <w:basedOn w:val="Notetitle"/>
    <w:link w:val="TextodenotaderodapCarter"/>
    <w:rsid w:val="00085AC8"/>
    <w:rPr>
      <w:rFonts w:asciiTheme="minorHAnsi" w:hAnsiTheme="minorHAnsi"/>
      <w:color w:val="343A3D" w:themeColor="background1"/>
    </w:rPr>
  </w:style>
  <w:style w:type="paragraph" w:customStyle="1" w:styleId="Notetitle">
    <w:name w:val="Note title"/>
    <w:basedOn w:val="Normal"/>
    <w:rsid w:val="00085AC8"/>
    <w:pPr>
      <w:spacing w:before="0" w:line="240" w:lineRule="exact"/>
    </w:pPr>
    <w:rPr>
      <w:color w:val="231F20" w:themeColor="text1"/>
      <w:sz w:val="18"/>
      <w:szCs w:val="20"/>
      <w:lang w:val="en-GB" w:eastAsia="fr-FR"/>
    </w:rPr>
  </w:style>
  <w:style w:type="character" w:customStyle="1" w:styleId="TextodenotaderodapCarter">
    <w:name w:val="Texto de nota de rodapé Caráter"/>
    <w:link w:val="Textodenotaderodap"/>
    <w:rsid w:val="00085AC8"/>
    <w:rPr>
      <w:rFonts w:asciiTheme="minorHAnsi" w:hAnsiTheme="minorHAnsi"/>
      <w:color w:val="343A3D" w:themeColor="background1"/>
      <w:sz w:val="18"/>
      <w:lang w:val="en-GB" w:eastAsia="fr-FR"/>
    </w:rPr>
  </w:style>
  <w:style w:type="paragraph" w:styleId="Listanumerada">
    <w:name w:val="List Number"/>
    <w:uiPriority w:val="99"/>
    <w:unhideWhenUsed/>
    <w:rsid w:val="0011701B"/>
    <w:pPr>
      <w:numPr>
        <w:numId w:val="23"/>
      </w:numPr>
      <w:spacing w:before="120" w:after="120"/>
      <w:ind w:left="340" w:hanging="340"/>
    </w:pPr>
    <w:rPr>
      <w:color w:val="231F20" w:themeColor="text1"/>
      <w:sz w:val="22"/>
      <w:szCs w:val="24"/>
      <w:lang w:val="en-GB"/>
    </w:rPr>
  </w:style>
  <w:style w:type="paragraph" w:styleId="Listacommarcas2">
    <w:name w:val="List Bullet 2"/>
    <w:basedOn w:val="Normal"/>
    <w:qFormat/>
    <w:rsid w:val="00FB7A8F"/>
    <w:pPr>
      <w:numPr>
        <w:numId w:val="19"/>
      </w:numPr>
      <w:spacing w:before="0" w:line="240" w:lineRule="auto"/>
      <w:ind w:left="709" w:hanging="238"/>
    </w:pPr>
  </w:style>
  <w:style w:type="character" w:customStyle="1" w:styleId="Ttulo4Carter">
    <w:name w:val="Título 4 Caráter"/>
    <w:basedOn w:val="Tipodeletrapredefinidodopargrafo"/>
    <w:link w:val="Ttulo4"/>
    <w:uiPriority w:val="9"/>
    <w:rsid w:val="00FB7A8F"/>
    <w:rPr>
      <w:color w:val="231F20" w:themeColor="text1"/>
      <w:sz w:val="22"/>
      <w:szCs w:val="24"/>
      <w:lang w:val="en-US"/>
    </w:rPr>
  </w:style>
  <w:style w:type="paragraph" w:styleId="Listacommarcas">
    <w:name w:val="List Bullet"/>
    <w:basedOn w:val="Normal"/>
    <w:uiPriority w:val="99"/>
    <w:semiHidden/>
    <w:unhideWhenUsed/>
    <w:qFormat/>
    <w:rsid w:val="00D16607"/>
    <w:pPr>
      <w:numPr>
        <w:numId w:val="8"/>
      </w:numPr>
      <w:contextualSpacing/>
    </w:pPr>
  </w:style>
  <w:style w:type="paragraph" w:styleId="Corpodetexto">
    <w:name w:val="Body Text"/>
    <w:basedOn w:val="Normal"/>
    <w:link w:val="CorpodetextoCarter"/>
    <w:uiPriority w:val="99"/>
    <w:semiHidden/>
    <w:unhideWhenUsed/>
    <w:rsid w:val="00EB63FB"/>
    <w:pPr>
      <w:spacing w:after="120"/>
    </w:pPr>
  </w:style>
  <w:style w:type="character" w:customStyle="1" w:styleId="CorpodetextoCarter">
    <w:name w:val="Corpo de texto Caráter"/>
    <w:basedOn w:val="Tipodeletrapredefinidodopargrafo"/>
    <w:link w:val="Corpodetexto"/>
    <w:uiPriority w:val="99"/>
    <w:semiHidden/>
    <w:rsid w:val="00EB63FB"/>
    <w:rPr>
      <w:color w:val="5F5F5F"/>
      <w:sz w:val="22"/>
      <w:szCs w:val="22"/>
      <w:lang w:val="en-US"/>
    </w:rPr>
  </w:style>
  <w:style w:type="paragraph" w:styleId="Textodebalo">
    <w:name w:val="Balloon Text"/>
    <w:basedOn w:val="Normal"/>
    <w:link w:val="TextodebaloCarter"/>
    <w:uiPriority w:val="99"/>
    <w:semiHidden/>
    <w:unhideWhenUsed/>
    <w:rsid w:val="00011A5E"/>
    <w:pPr>
      <w:spacing w:before="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11A5E"/>
    <w:rPr>
      <w:rFonts w:ascii="Tahoma" w:hAnsi="Tahoma" w:cs="Tahoma"/>
      <w:color w:val="5F5F5F"/>
      <w:sz w:val="16"/>
      <w:szCs w:val="16"/>
      <w:lang w:val="en-US"/>
    </w:rPr>
  </w:style>
  <w:style w:type="paragraph" w:customStyle="1" w:styleId="FooterSignature">
    <w:name w:val="Footer Signature"/>
    <w:qFormat/>
    <w:rsid w:val="00A079D1"/>
    <w:rPr>
      <w:rFonts w:ascii="Gill Sans MT" w:hAnsi="Gill Sans MT"/>
      <w:color w:val="231F20" w:themeColor="text1"/>
      <w:spacing w:val="1"/>
      <w:sz w:val="15"/>
      <w:lang w:val="en-US"/>
    </w:rPr>
  </w:style>
  <w:style w:type="table" w:customStyle="1" w:styleId="TableGrid1">
    <w:name w:val="Table Grid1"/>
    <w:basedOn w:val="Tabelanormal"/>
    <w:next w:val="TabelacomGrelha"/>
    <w:rsid w:val="007C2D72"/>
    <w:pPr>
      <w:spacing w:before="200" w:line="280" w:lineRule="exact"/>
    </w:pPr>
    <w:tblPr>
      <w:tblBorders>
        <w:top w:val="single" w:sz="4" w:space="0" w:color="74737B"/>
        <w:left w:val="single" w:sz="4" w:space="0" w:color="74737B"/>
        <w:bottom w:val="single" w:sz="4" w:space="0" w:color="74737B"/>
        <w:right w:val="single" w:sz="4" w:space="0" w:color="74737B"/>
        <w:insideH w:val="single" w:sz="4" w:space="0" w:color="74737B"/>
        <w:insideV w:val="single" w:sz="4" w:space="0" w:color="74737B"/>
      </w:tblBorders>
    </w:tblPr>
  </w:style>
  <w:style w:type="paragraph" w:styleId="PargrafodaLista">
    <w:name w:val="List Paragraph"/>
    <w:basedOn w:val="Normal"/>
    <w:uiPriority w:val="34"/>
    <w:qFormat/>
    <w:rsid w:val="004265AA"/>
    <w:pPr>
      <w:ind w:left="720"/>
      <w:contextualSpacing/>
    </w:pPr>
  </w:style>
  <w:style w:type="table" w:styleId="SimplesTabela2">
    <w:name w:val="Plain Table 2"/>
    <w:basedOn w:val="Tabelanormal"/>
    <w:uiPriority w:val="42"/>
    <w:rsid w:val="004A6999"/>
    <w:rPr>
      <w:rFonts w:asciiTheme="minorHAnsi" w:eastAsiaTheme="minorHAnsi" w:hAnsiTheme="minorHAnsi" w:cstheme="minorBidi"/>
      <w:sz w:val="22"/>
      <w:szCs w:val="22"/>
      <w:lang w:val="de-DE"/>
    </w:rPr>
    <w:tblPr>
      <w:tblStyleRowBandSize w:val="1"/>
      <w:tblStyleColBandSize w:val="1"/>
      <w:tblBorders>
        <w:top w:val="single" w:sz="4" w:space="0" w:color="96888C" w:themeColor="text1" w:themeTint="80"/>
        <w:bottom w:val="single" w:sz="4" w:space="0" w:color="96888C" w:themeColor="text1" w:themeTint="80"/>
      </w:tblBorders>
    </w:tblPr>
    <w:tblStylePr w:type="firstRow">
      <w:rPr>
        <w:b/>
        <w:bCs/>
      </w:rPr>
      <w:tblPr/>
      <w:tcPr>
        <w:tcBorders>
          <w:bottom w:val="single" w:sz="4" w:space="0" w:color="96888C" w:themeColor="text1" w:themeTint="80"/>
        </w:tcBorders>
      </w:tcPr>
    </w:tblStylePr>
    <w:tblStylePr w:type="lastRow">
      <w:rPr>
        <w:b/>
        <w:bCs/>
      </w:rPr>
      <w:tblPr/>
      <w:tcPr>
        <w:tcBorders>
          <w:top w:val="single" w:sz="4" w:space="0" w:color="96888C" w:themeColor="text1" w:themeTint="80"/>
        </w:tcBorders>
      </w:tcPr>
    </w:tblStylePr>
    <w:tblStylePr w:type="firstCol">
      <w:rPr>
        <w:b/>
        <w:bCs/>
      </w:rPr>
    </w:tblStylePr>
    <w:tblStylePr w:type="lastCol">
      <w:rPr>
        <w:b/>
        <w:bCs/>
      </w:rPr>
    </w:tblStylePr>
    <w:tblStylePr w:type="band1Vert">
      <w:tblPr/>
      <w:tcPr>
        <w:tcBorders>
          <w:left w:val="single" w:sz="4" w:space="0" w:color="96888C" w:themeColor="text1" w:themeTint="80"/>
          <w:right w:val="single" w:sz="4" w:space="0" w:color="96888C" w:themeColor="text1" w:themeTint="80"/>
        </w:tcBorders>
      </w:tcPr>
    </w:tblStylePr>
    <w:tblStylePr w:type="band2Vert">
      <w:tblPr/>
      <w:tcPr>
        <w:tcBorders>
          <w:left w:val="single" w:sz="4" w:space="0" w:color="96888C" w:themeColor="text1" w:themeTint="80"/>
          <w:right w:val="single" w:sz="4" w:space="0" w:color="96888C" w:themeColor="text1" w:themeTint="80"/>
        </w:tcBorders>
      </w:tcPr>
    </w:tblStylePr>
    <w:tblStylePr w:type="band1Horz">
      <w:tblPr/>
      <w:tcPr>
        <w:tcBorders>
          <w:top w:val="single" w:sz="4" w:space="0" w:color="96888C" w:themeColor="text1" w:themeTint="80"/>
          <w:bottom w:val="single" w:sz="4" w:space="0" w:color="96888C" w:themeColor="text1" w:themeTint="80"/>
        </w:tcBorders>
      </w:tcPr>
    </w:tblStylePr>
  </w:style>
  <w:style w:type="character" w:styleId="Refdecomentrio">
    <w:name w:val="annotation reference"/>
    <w:basedOn w:val="Tipodeletrapredefinidodopargrafo"/>
    <w:uiPriority w:val="99"/>
    <w:semiHidden/>
    <w:unhideWhenUsed/>
    <w:rsid w:val="004970F9"/>
    <w:rPr>
      <w:sz w:val="16"/>
      <w:szCs w:val="16"/>
    </w:rPr>
  </w:style>
  <w:style w:type="paragraph" w:styleId="Textodecomentrio">
    <w:name w:val="annotation text"/>
    <w:basedOn w:val="Normal"/>
    <w:link w:val="TextodecomentrioCarter"/>
    <w:uiPriority w:val="99"/>
    <w:semiHidden/>
    <w:unhideWhenUsed/>
    <w:rsid w:val="004970F9"/>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4970F9"/>
    <w:rPr>
      <w:color w:val="343A3D" w:themeColor="background1"/>
      <w:lang w:val="en-US"/>
    </w:rPr>
  </w:style>
  <w:style w:type="paragraph" w:styleId="Assuntodecomentrio">
    <w:name w:val="annotation subject"/>
    <w:basedOn w:val="Textodecomentrio"/>
    <w:next w:val="Textodecomentrio"/>
    <w:link w:val="AssuntodecomentrioCarter"/>
    <w:uiPriority w:val="99"/>
    <w:semiHidden/>
    <w:unhideWhenUsed/>
    <w:rsid w:val="004970F9"/>
    <w:rPr>
      <w:b/>
      <w:bCs/>
    </w:rPr>
  </w:style>
  <w:style w:type="character" w:customStyle="1" w:styleId="AssuntodecomentrioCarter">
    <w:name w:val="Assunto de comentário Caráter"/>
    <w:basedOn w:val="TextodecomentrioCarter"/>
    <w:link w:val="Assuntodecomentrio"/>
    <w:uiPriority w:val="99"/>
    <w:semiHidden/>
    <w:rsid w:val="004970F9"/>
    <w:rPr>
      <w:b/>
      <w:bCs/>
      <w:color w:val="343A3D" w:themeColor="background1"/>
      <w:lang w:val="en-US"/>
    </w:rPr>
  </w:style>
  <w:style w:type="paragraph" w:customStyle="1" w:styleId="Default">
    <w:name w:val="Default"/>
    <w:rsid w:val="001E0F4A"/>
    <w:pPr>
      <w:autoSpaceDE w:val="0"/>
      <w:autoSpaceDN w:val="0"/>
      <w:adjustRightInd w:val="0"/>
    </w:pPr>
    <w:rPr>
      <w:rFonts w:eastAsiaTheme="minorHAns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344456">
      <w:bodyDiv w:val="1"/>
      <w:marLeft w:val="0"/>
      <w:marRight w:val="0"/>
      <w:marTop w:val="0"/>
      <w:marBottom w:val="0"/>
      <w:divBdr>
        <w:top w:val="none" w:sz="0" w:space="0" w:color="auto"/>
        <w:left w:val="none" w:sz="0" w:space="0" w:color="auto"/>
        <w:bottom w:val="none" w:sz="0" w:space="0" w:color="auto"/>
        <w:right w:val="none" w:sz="0" w:space="0" w:color="auto"/>
      </w:divBdr>
    </w:div>
    <w:div w:id="104637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EFIC">
      <a:dk1>
        <a:srgbClr val="231F20"/>
      </a:dk1>
      <a:lt1>
        <a:srgbClr val="343A3D"/>
      </a:lt1>
      <a:dk2>
        <a:srgbClr val="00ACA1"/>
      </a:dk2>
      <a:lt2>
        <a:srgbClr val="FFFFFF"/>
      </a:lt2>
      <a:accent1>
        <a:srgbClr val="0096D6"/>
      </a:accent1>
      <a:accent2>
        <a:srgbClr val="F47B20"/>
      </a:accent2>
      <a:accent3>
        <a:srgbClr val="005CAB"/>
      </a:accent3>
      <a:accent4>
        <a:srgbClr val="92C039"/>
      </a:accent4>
      <a:accent5>
        <a:srgbClr val="59A18C"/>
      </a:accent5>
      <a:accent6>
        <a:srgbClr val="5BBAA5"/>
      </a:accent6>
      <a:hlink>
        <a:srgbClr val="A5D290"/>
      </a:hlink>
      <a:folHlink>
        <a:srgbClr val="13B5EA"/>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78E7-4B40-46DF-8A9A-0599B0D1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1272</Words>
  <Characters>7252</Characters>
  <Application>Microsoft Office Word</Application>
  <DocSecurity>0</DocSecurity>
  <Lines>60</Lines>
  <Paragraphs>17</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Fact Sheet</vt:lpstr>
      <vt:lpstr>Fact Sheet</vt:lpstr>
      <vt:lpstr>Below is a statement by Cefic on the WTO ruling on Chinese rare earths and other raw materials restrictions</vt:lpstr>
    </vt:vector>
  </TitlesOfParts>
  <Company>Cefic</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Sheet</dc:title>
  <dc:creator>ALMEIDA Filipe</dc:creator>
  <cp:lastModifiedBy>Flip A</cp:lastModifiedBy>
  <cp:revision>4</cp:revision>
  <cp:lastPrinted>2017-11-23T09:56:00Z</cp:lastPrinted>
  <dcterms:created xsi:type="dcterms:W3CDTF">2021-03-05T10:58:00Z</dcterms:created>
  <dcterms:modified xsi:type="dcterms:W3CDTF">2021-03-17T10:16:00Z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1304290453</vt:i4>
  </property>
</Properties>
</file>