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8C63E" w14:textId="1EBC5ED4" w:rsidR="00B850F9" w:rsidRPr="00B850F9" w:rsidRDefault="007D353B" w:rsidP="007D353B">
      <w:pPr>
        <w:pStyle w:val="Citationintense"/>
        <w:ind w:hanging="708"/>
      </w:pPr>
      <w:r>
        <w:t xml:space="preserve"> </w:t>
      </w:r>
      <w:r w:rsidR="00596A91">
        <w:tab/>
      </w:r>
      <w:r w:rsidR="00596A91">
        <w:tab/>
      </w:r>
      <w:r w:rsidR="008B0FDD">
        <w:tab/>
        <w:t xml:space="preserve">    </w:t>
      </w:r>
      <w:r w:rsidR="00B850F9" w:rsidRPr="00B850F9">
        <w:t>DATE :</w:t>
      </w:r>
      <w:r w:rsidR="00024791">
        <w:t xml:space="preserve"> Février 202</w:t>
      </w:r>
      <w:r w:rsidR="00D429B1">
        <w:t>1</w:t>
      </w:r>
    </w:p>
    <w:p w14:paraId="067A0481" w14:textId="3073697D" w:rsidR="00925F69" w:rsidRPr="00925F69" w:rsidRDefault="007D353B" w:rsidP="00596A91">
      <w:pPr>
        <w:pStyle w:val="Citationintense"/>
        <w:ind w:left="3545" w:firstLine="709"/>
      </w:pPr>
      <w:r>
        <w:rPr>
          <w:rStyle w:val="lev"/>
        </w:rPr>
        <w:t xml:space="preserve"> </w:t>
      </w:r>
      <w:r w:rsidR="00596A91">
        <w:rPr>
          <w:rStyle w:val="lev"/>
        </w:rPr>
        <w:tab/>
      </w:r>
      <w:r w:rsidR="00596A91">
        <w:rPr>
          <w:rStyle w:val="lev"/>
        </w:rPr>
        <w:tab/>
      </w:r>
      <w:r w:rsidR="008B0FDD">
        <w:rPr>
          <w:rStyle w:val="lev"/>
        </w:rPr>
        <w:tab/>
      </w:r>
    </w:p>
    <w:p w14:paraId="120B8363" w14:textId="77777777" w:rsidR="00925F69" w:rsidRPr="00925F69" w:rsidRDefault="008B0FDD" w:rsidP="00925F69">
      <w:r>
        <w:rPr>
          <w:noProof/>
        </w:rPr>
        <mc:AlternateContent>
          <mc:Choice Requires="wps">
            <w:drawing>
              <wp:anchor distT="0" distB="0" distL="114300" distR="114300" simplePos="0" relativeHeight="251659264" behindDoc="0" locked="0" layoutInCell="1" allowOverlap="1" wp14:anchorId="09AD2508" wp14:editId="52725150">
                <wp:simplePos x="0" y="0"/>
                <wp:positionH relativeFrom="margin">
                  <wp:posOffset>-635</wp:posOffset>
                </wp:positionH>
                <wp:positionV relativeFrom="paragraph">
                  <wp:posOffset>170180</wp:posOffset>
                </wp:positionV>
                <wp:extent cx="309880" cy="95250"/>
                <wp:effectExtent l="0" t="0" r="0" b="0"/>
                <wp:wrapTopAndBottom/>
                <wp:docPr id="5" name="Rectangle 5"/>
                <wp:cNvGraphicFramePr/>
                <a:graphic xmlns:a="http://schemas.openxmlformats.org/drawingml/2006/main">
                  <a:graphicData uri="http://schemas.microsoft.com/office/word/2010/wordprocessingShape">
                    <wps:wsp>
                      <wps:cNvSpPr/>
                      <wps:spPr>
                        <a:xfrm>
                          <a:off x="0" y="0"/>
                          <a:ext cx="309880" cy="95250"/>
                        </a:xfrm>
                        <a:prstGeom prst="rect">
                          <a:avLst/>
                        </a:prstGeom>
                        <a:solidFill>
                          <a:srgbClr val="6EC6D8"/>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99EA4" id="Rectangle 5" o:spid="_x0000_s1026" style="position:absolute;margin-left:-.05pt;margin-top:13.4pt;width:24.4pt;height: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" fillcolor="#6ec6d8" stroked="f" strokeweight=".5pt">
                <w10:wrap type="topAndBottom" anchorx="margin"/>
              </v:rect>
            </w:pict>
          </mc:Fallback>
        </mc:AlternateContent>
      </w:r>
      <w:r w:rsidR="00925F69">
        <w:tab/>
      </w:r>
      <w:r w:rsidR="00925F69">
        <w:tab/>
      </w:r>
      <w:r w:rsidR="00925F69">
        <w:tab/>
      </w:r>
      <w:r w:rsidR="00925F69">
        <w:tab/>
      </w:r>
    </w:p>
    <w:p w14:paraId="5EBC1B1E" w14:textId="28D23504" w:rsidR="00CE5D4C" w:rsidRPr="0059023C" w:rsidRDefault="00024791" w:rsidP="00C30E73">
      <w:pPr>
        <w:rPr>
          <w:rStyle w:val="Titredulivre"/>
        </w:rPr>
      </w:pPr>
      <w:r>
        <w:rPr>
          <w:rStyle w:val="Titredulivre"/>
        </w:rPr>
        <w:t>NOTIFICATION</w:t>
      </w:r>
    </w:p>
    <w:p w14:paraId="716949E7" w14:textId="3862B434" w:rsidR="00CE5D4C" w:rsidRPr="00D47C43" w:rsidRDefault="00024791" w:rsidP="0059023C">
      <w:pPr>
        <w:pStyle w:val="Sous-titre"/>
      </w:pPr>
      <w:r w:rsidRPr="00D47C43">
        <w:t xml:space="preserve">Notification </w:t>
      </w:r>
      <w:proofErr w:type="spellStart"/>
      <w:r w:rsidRPr="00D47C43">
        <w:t>Ref</w:t>
      </w:r>
      <w:proofErr w:type="spellEnd"/>
      <w:r w:rsidRPr="00D47C43">
        <w:t xml:space="preserve"> : </w:t>
      </w:r>
      <w:r w:rsidR="005C5080" w:rsidRPr="00D47C43">
        <w:rPr>
          <w:rFonts w:ascii="Calibri" w:hAnsi="Calibri" w:cs="Calibri"/>
          <w:color w:val="000000"/>
        </w:rPr>
        <w:t>TRIS 2020/833/F and TRIS 2020/832/F</w:t>
      </w:r>
    </w:p>
    <w:p w14:paraId="6F45145B" w14:textId="77777777" w:rsidR="00296D8C" w:rsidRPr="00D47C43" w:rsidRDefault="00296D8C" w:rsidP="008B0FDD"/>
    <w:p w14:paraId="482AE78F" w14:textId="1418FEC8" w:rsidR="008B0FDD" w:rsidRDefault="00024791" w:rsidP="008B0FDD">
      <w:pPr>
        <w:pStyle w:val="Citation"/>
      </w:pPr>
      <w:proofErr w:type="spellStart"/>
      <w:r>
        <w:t>From</w:t>
      </w:r>
      <w:proofErr w:type="spellEnd"/>
      <w:r w:rsidR="008B0FDD" w:rsidRPr="00842BF8">
        <w:t> :</w:t>
      </w:r>
      <w:r w:rsidRPr="00024791">
        <w:rPr>
          <w:rFonts w:cs="Arial"/>
        </w:rPr>
        <w:t xml:space="preserve"> </w:t>
      </w:r>
      <w:r w:rsidRPr="00024791">
        <w:rPr>
          <w:rFonts w:cs="Arial"/>
          <w:b w:val="0"/>
          <w:bCs w:val="0"/>
          <w:color w:val="auto"/>
          <w:sz w:val="22"/>
          <w:szCs w:val="22"/>
        </w:rPr>
        <w:t>SNITEM (Syndicat national de l’industrie des technologies médicales)</w:t>
      </w:r>
    </w:p>
    <w:p w14:paraId="2BC8FA8A" w14:textId="77777777" w:rsidR="00024791" w:rsidRPr="009C0EF5" w:rsidRDefault="00024791" w:rsidP="00024791">
      <w:pPr>
        <w:tabs>
          <w:tab w:val="left" w:pos="1134"/>
        </w:tabs>
        <w:rPr>
          <w:rFonts w:cs="Arial"/>
        </w:rPr>
      </w:pPr>
    </w:p>
    <w:p w14:paraId="584040DF" w14:textId="77777777" w:rsidR="00024791" w:rsidRPr="00D301A4" w:rsidRDefault="00024791" w:rsidP="00024791">
      <w:pPr>
        <w:tabs>
          <w:tab w:val="left" w:pos="851"/>
          <w:tab w:val="left" w:pos="1134"/>
        </w:tabs>
        <w:rPr>
          <w:rFonts w:eastAsia="Times New Roman" w:cs="Arial"/>
          <w:color w:val="000000"/>
          <w:lang w:val="en-US" w:eastAsia="fr-FR"/>
        </w:rPr>
      </w:pPr>
      <w:proofErr w:type="gramStart"/>
      <w:r w:rsidRPr="0030185B">
        <w:rPr>
          <w:b/>
          <w:bCs/>
          <w:color w:val="6EC6D8" w:themeColor="background2"/>
          <w:sz w:val="32"/>
          <w:szCs w:val="32"/>
          <w:lang w:val="en-US"/>
        </w:rPr>
        <w:t>To :</w:t>
      </w:r>
      <w:proofErr w:type="gramEnd"/>
      <w:r w:rsidRPr="00D301A4">
        <w:rPr>
          <w:rFonts w:cs="Arial"/>
          <w:lang w:val="en-US"/>
        </w:rPr>
        <w:tab/>
        <w:t xml:space="preserve">DG </w:t>
      </w:r>
      <w:r w:rsidRPr="00D301A4">
        <w:rPr>
          <w:rFonts w:eastAsia="Times New Roman" w:cs="Arial"/>
          <w:color w:val="000000"/>
          <w:lang w:val="en-US" w:eastAsia="fr-FR"/>
        </w:rPr>
        <w:t xml:space="preserve">Growth, Unit B2 "Prevention of technical barriers” </w:t>
      </w:r>
    </w:p>
    <w:p w14:paraId="34058274" w14:textId="2F1EECFC" w:rsidR="00024791" w:rsidRPr="00D301A4" w:rsidRDefault="00024791" w:rsidP="00024791">
      <w:pPr>
        <w:tabs>
          <w:tab w:val="left" w:pos="851"/>
          <w:tab w:val="left" w:pos="1134"/>
        </w:tabs>
        <w:rPr>
          <w:rFonts w:eastAsia="Times New Roman" w:cs="Arial"/>
          <w:color w:val="000000"/>
          <w:lang w:val="en-US" w:eastAsia="fr-FR"/>
        </w:rPr>
      </w:pPr>
      <w:r w:rsidRPr="00D301A4">
        <w:rPr>
          <w:rFonts w:eastAsia="Times New Roman" w:cs="Arial"/>
          <w:color w:val="000000"/>
          <w:lang w:val="en-US" w:eastAsia="fr-FR"/>
        </w:rPr>
        <w:tab/>
      </w:r>
      <w:proofErr w:type="gramStart"/>
      <w:r w:rsidRPr="00D301A4">
        <w:rPr>
          <w:rFonts w:eastAsia="Times New Roman" w:cs="Arial"/>
          <w:color w:val="000000"/>
          <w:lang w:val="en-US" w:eastAsia="fr-FR"/>
        </w:rPr>
        <w:t>Email :</w:t>
      </w:r>
      <w:proofErr w:type="gramEnd"/>
      <w:r w:rsidRPr="00D301A4">
        <w:rPr>
          <w:rFonts w:eastAsia="Times New Roman" w:cs="Arial"/>
          <w:color w:val="000000"/>
          <w:lang w:val="en-US" w:eastAsia="fr-FR"/>
        </w:rPr>
        <w:t xml:space="preserve"> </w:t>
      </w:r>
      <w:hyperlink r:id="rId7" w:history="1">
        <w:r w:rsidRPr="00D301A4">
          <w:rPr>
            <w:rStyle w:val="Lienhypertexte"/>
            <w:rFonts w:eastAsia="Times New Roman" w:cs="Arial"/>
            <w:lang w:val="en-US" w:eastAsia="fr-FR"/>
          </w:rPr>
          <w:t>GROW-B2@ec.europa.eu</w:t>
        </w:r>
      </w:hyperlink>
      <w:r w:rsidRPr="00D301A4">
        <w:rPr>
          <w:rFonts w:eastAsia="Times New Roman" w:cs="Arial"/>
          <w:color w:val="000000"/>
          <w:lang w:val="en-US" w:eastAsia="fr-FR"/>
        </w:rPr>
        <w:t xml:space="preserve"> </w:t>
      </w:r>
      <w:r w:rsidR="00133769">
        <w:rPr>
          <w:rFonts w:eastAsia="Times New Roman" w:cs="Arial"/>
          <w:color w:val="000000"/>
          <w:lang w:val="en-US" w:eastAsia="fr-FR"/>
        </w:rPr>
        <w:t xml:space="preserve">/ </w:t>
      </w:r>
      <w:r w:rsidR="00133769" w:rsidRPr="00D429B1">
        <w:rPr>
          <w:lang w:val="en-US"/>
        </w:rPr>
        <w:t>grow-dir2015-1535-central@ec.europa.eu</w:t>
      </w:r>
    </w:p>
    <w:p w14:paraId="526A7501" w14:textId="77777777" w:rsidR="00024791" w:rsidRPr="00D301A4" w:rsidRDefault="00024791" w:rsidP="00024791">
      <w:pPr>
        <w:rPr>
          <w:rFonts w:cs="Arial"/>
          <w:lang w:val="en-US"/>
        </w:rPr>
      </w:pPr>
    </w:p>
    <w:p w14:paraId="59179189" w14:textId="45A37E02" w:rsidR="00024791" w:rsidRPr="00D301A4" w:rsidRDefault="00024791" w:rsidP="00024791">
      <w:pPr>
        <w:tabs>
          <w:tab w:val="left" w:pos="851"/>
        </w:tabs>
        <w:ind w:left="851" w:hanging="851"/>
        <w:rPr>
          <w:rFonts w:cs="Arial"/>
          <w:lang w:val="en-US"/>
        </w:rPr>
      </w:pPr>
      <w:proofErr w:type="gramStart"/>
      <w:r w:rsidRPr="0030185B">
        <w:rPr>
          <w:b/>
          <w:bCs/>
          <w:color w:val="6EC6D8" w:themeColor="background2"/>
          <w:sz w:val="32"/>
          <w:szCs w:val="32"/>
          <w:lang w:val="en-US"/>
        </w:rPr>
        <w:t>Re :</w:t>
      </w:r>
      <w:proofErr w:type="gramEnd"/>
      <w:r w:rsidRPr="00D301A4">
        <w:rPr>
          <w:rFonts w:cs="Arial"/>
          <w:lang w:val="en-US"/>
        </w:rPr>
        <w:tab/>
        <w:t xml:space="preserve">FRANCE / Potential technical barrier to trade deriving from a draft decree </w:t>
      </w:r>
      <w:r w:rsidRPr="0030185B">
        <w:rPr>
          <w:rFonts w:cs="Arial"/>
          <w:lang w:val="en-US"/>
        </w:rPr>
        <w:t xml:space="preserve">relating to </w:t>
      </w:r>
      <w:r w:rsidR="0030185B" w:rsidRPr="0030185B">
        <w:rPr>
          <w:rFonts w:cs="Arial"/>
          <w:lang w:val="en-US"/>
        </w:rPr>
        <w:t>the</w:t>
      </w:r>
      <w:r w:rsidR="0030185B">
        <w:rPr>
          <w:rFonts w:cs="Arial"/>
          <w:lang w:val="en-US"/>
        </w:rPr>
        <w:t xml:space="preserve"> identification of hazardous substances and the provision of information identifying endocrine disruptors in products </w:t>
      </w:r>
    </w:p>
    <w:p w14:paraId="78371D5E" w14:textId="77777777" w:rsidR="00024791" w:rsidRPr="00D301A4" w:rsidRDefault="00024791" w:rsidP="00024791">
      <w:pPr>
        <w:tabs>
          <w:tab w:val="left" w:pos="851"/>
        </w:tabs>
        <w:ind w:left="851" w:hanging="851"/>
        <w:rPr>
          <w:rFonts w:cs="Arial"/>
          <w:lang w:val="en-US"/>
        </w:rPr>
      </w:pPr>
    </w:p>
    <w:p w14:paraId="756E8EDD" w14:textId="07655966" w:rsidR="00024791" w:rsidRPr="00D301A4" w:rsidRDefault="00024791" w:rsidP="00024791">
      <w:pPr>
        <w:tabs>
          <w:tab w:val="left" w:pos="851"/>
        </w:tabs>
        <w:ind w:left="851" w:hanging="851"/>
        <w:rPr>
          <w:rFonts w:cs="Arial"/>
          <w:lang w:val="en-US"/>
        </w:rPr>
      </w:pPr>
      <w:r w:rsidRPr="0030185B">
        <w:rPr>
          <w:b/>
          <w:bCs/>
          <w:color w:val="6EC6D8" w:themeColor="background2"/>
          <w:sz w:val="32"/>
          <w:szCs w:val="32"/>
          <w:lang w:val="en-US"/>
        </w:rPr>
        <w:t>Date:</w:t>
      </w:r>
      <w:r w:rsidRPr="0030185B">
        <w:rPr>
          <w:b/>
          <w:bCs/>
          <w:color w:val="6EC6D8" w:themeColor="background2"/>
          <w:sz w:val="32"/>
          <w:szCs w:val="32"/>
          <w:lang w:val="en-US"/>
        </w:rPr>
        <w:tab/>
      </w:r>
      <w:r w:rsidRPr="00D301A4">
        <w:rPr>
          <w:rFonts w:cs="Arial"/>
          <w:lang w:val="en-US"/>
        </w:rPr>
        <w:t xml:space="preserve"> </w:t>
      </w:r>
      <w:r w:rsidR="00D429B1">
        <w:rPr>
          <w:rFonts w:cs="Arial"/>
          <w:lang w:val="en-US"/>
        </w:rPr>
        <w:t>24/02/2021</w:t>
      </w:r>
    </w:p>
    <w:p w14:paraId="2D6BADE5" w14:textId="77777777" w:rsidR="00024791" w:rsidRPr="00D301A4" w:rsidRDefault="00024791" w:rsidP="00024791">
      <w:pPr>
        <w:rPr>
          <w:rFonts w:cs="Arial"/>
          <w:lang w:val="en-US"/>
        </w:rPr>
      </w:pPr>
    </w:p>
    <w:p w14:paraId="16FAFC8A" w14:textId="7EC1F547" w:rsidR="00024791" w:rsidRPr="00E47D2E" w:rsidRDefault="00024791" w:rsidP="00024791">
      <w:pPr>
        <w:tabs>
          <w:tab w:val="left" w:pos="851"/>
        </w:tabs>
        <w:ind w:left="851" w:hanging="851"/>
        <w:rPr>
          <w:rFonts w:cs="Arial"/>
          <w:lang w:val="en-US"/>
        </w:rPr>
      </w:pPr>
      <w:r w:rsidRPr="0030185B">
        <w:rPr>
          <w:b/>
          <w:bCs/>
          <w:color w:val="6EC6D8" w:themeColor="background2"/>
          <w:sz w:val="32"/>
          <w:szCs w:val="32"/>
          <w:lang w:val="en-US"/>
        </w:rPr>
        <w:t>Ref.:</w:t>
      </w:r>
      <w:r w:rsidRPr="0030185B">
        <w:rPr>
          <w:b/>
          <w:bCs/>
          <w:color w:val="6EC6D8" w:themeColor="background2"/>
          <w:sz w:val="32"/>
          <w:szCs w:val="32"/>
          <w:lang w:val="en-US"/>
        </w:rPr>
        <w:tab/>
      </w:r>
      <w:r w:rsidRPr="00E47D2E">
        <w:rPr>
          <w:rFonts w:cs="Arial"/>
          <w:lang w:val="en-US"/>
        </w:rPr>
        <w:t xml:space="preserve">FRANCE / Law n°2020-105 of February 10, 2020 relating to anti waste measures and </w:t>
      </w:r>
      <w:r w:rsidR="0030185B">
        <w:rPr>
          <w:rFonts w:cs="Arial"/>
          <w:lang w:val="en-US"/>
        </w:rPr>
        <w:t>circular economy</w:t>
      </w:r>
      <w:r w:rsidRPr="00E47D2E">
        <w:rPr>
          <w:rFonts w:cs="Arial"/>
          <w:lang w:val="en-US"/>
        </w:rPr>
        <w:t xml:space="preserve"> </w:t>
      </w:r>
    </w:p>
    <w:p w14:paraId="04977C0A" w14:textId="77777777" w:rsidR="00024791" w:rsidRDefault="00024791" w:rsidP="005D5DF6">
      <w:pPr>
        <w:pStyle w:val="Titre2"/>
        <w:numPr>
          <w:ilvl w:val="0"/>
          <w:numId w:val="0"/>
        </w:numPr>
        <w:rPr>
          <w:lang w:val="en-US"/>
        </w:rPr>
      </w:pPr>
    </w:p>
    <w:p w14:paraId="5FC8041D" w14:textId="77777777" w:rsidR="00024791" w:rsidRPr="00D301A4" w:rsidRDefault="00024791" w:rsidP="00024791">
      <w:pPr>
        <w:pBdr>
          <w:bottom w:val="single" w:sz="12" w:space="1" w:color="auto"/>
        </w:pBdr>
        <w:tabs>
          <w:tab w:val="left" w:pos="1134"/>
        </w:tabs>
        <w:rPr>
          <w:rFonts w:cs="Arial"/>
          <w:lang w:val="en-US"/>
        </w:rPr>
      </w:pPr>
    </w:p>
    <w:p w14:paraId="1752B9B5" w14:textId="77777777" w:rsidR="00024791" w:rsidRPr="00D301A4" w:rsidRDefault="00024791" w:rsidP="00024791">
      <w:pPr>
        <w:rPr>
          <w:rFonts w:cs="Arial"/>
          <w:lang w:val="en-US"/>
        </w:rPr>
      </w:pPr>
    </w:p>
    <w:p w14:paraId="5BAB212E" w14:textId="77777777" w:rsidR="00024791" w:rsidRPr="00D301A4" w:rsidRDefault="00024791" w:rsidP="00024791">
      <w:pPr>
        <w:rPr>
          <w:rFonts w:cs="Arial"/>
          <w:lang w:val="en-US"/>
        </w:rPr>
      </w:pPr>
      <w:r w:rsidRPr="00D301A4">
        <w:rPr>
          <w:rFonts w:cs="Arial"/>
          <w:u w:val="single"/>
          <w:lang w:val="en-US"/>
        </w:rPr>
        <w:t>Note</w:t>
      </w:r>
      <w:r w:rsidRPr="00D301A4">
        <w:rPr>
          <w:rFonts w:cs="Arial"/>
          <w:lang w:val="en-US"/>
        </w:rPr>
        <w:t>: unless noted otherwise, all text references in the present notification are from the French Environmental Code.</w:t>
      </w:r>
    </w:p>
    <w:p w14:paraId="4F24C60A" w14:textId="77777777" w:rsidR="00024791" w:rsidRPr="00D301A4" w:rsidRDefault="00024791" w:rsidP="00024791">
      <w:pPr>
        <w:rPr>
          <w:rFonts w:cs="Arial"/>
          <w:lang w:val="en-US"/>
        </w:rPr>
      </w:pPr>
    </w:p>
    <w:p w14:paraId="50CE4FCA" w14:textId="77777777" w:rsidR="00024791" w:rsidRPr="00D301A4" w:rsidRDefault="00024791" w:rsidP="00024791">
      <w:pPr>
        <w:rPr>
          <w:rFonts w:cs="Arial"/>
          <w:lang w:val="en-US"/>
        </w:rPr>
      </w:pPr>
    </w:p>
    <w:p w14:paraId="15D7D047" w14:textId="77777777" w:rsidR="00024791" w:rsidRPr="00D301A4" w:rsidRDefault="00024791" w:rsidP="00024791">
      <w:pPr>
        <w:rPr>
          <w:rFonts w:cs="Arial"/>
          <w:b/>
          <w:bCs/>
          <w:lang w:val="en-US"/>
        </w:rPr>
      </w:pPr>
      <w:r w:rsidRPr="00D301A4">
        <w:rPr>
          <w:rFonts w:cs="Arial"/>
          <w:b/>
          <w:bCs/>
          <w:lang w:val="en-US"/>
        </w:rPr>
        <w:t>1.</w:t>
      </w:r>
      <w:r w:rsidRPr="00D301A4">
        <w:rPr>
          <w:rFonts w:cs="Arial"/>
          <w:b/>
          <w:bCs/>
          <w:lang w:val="en-US"/>
        </w:rPr>
        <w:tab/>
      </w:r>
      <w:r w:rsidRPr="00D301A4">
        <w:rPr>
          <w:rFonts w:cs="Arial"/>
          <w:b/>
          <w:bCs/>
          <w:u w:val="single"/>
          <w:lang w:val="en-US"/>
        </w:rPr>
        <w:t>Basis for notification</w:t>
      </w:r>
      <w:r w:rsidRPr="00D301A4">
        <w:rPr>
          <w:rFonts w:cs="Arial"/>
          <w:b/>
          <w:bCs/>
          <w:lang w:val="en-US"/>
        </w:rPr>
        <w:t xml:space="preserve"> </w:t>
      </w:r>
    </w:p>
    <w:p w14:paraId="135DE9BF" w14:textId="77777777" w:rsidR="00024791" w:rsidRPr="00D301A4" w:rsidRDefault="00024791" w:rsidP="00024791">
      <w:pPr>
        <w:rPr>
          <w:rFonts w:cs="Arial"/>
          <w:lang w:val="en-US"/>
        </w:rPr>
      </w:pPr>
    </w:p>
    <w:p w14:paraId="14DCEF79" w14:textId="77777777" w:rsidR="00024791" w:rsidRPr="00024791" w:rsidRDefault="00024791" w:rsidP="00024791">
      <w:pPr>
        <w:pStyle w:val="doc-ti"/>
        <w:shd w:val="clear" w:color="auto" w:fill="FFFFFF"/>
        <w:spacing w:before="0" w:beforeAutospacing="0" w:after="0" w:afterAutospacing="0"/>
        <w:jc w:val="both"/>
        <w:rPr>
          <w:rFonts w:asciiTheme="minorHAnsi" w:hAnsiTheme="minorHAnsi" w:cstheme="minorHAnsi"/>
          <w:color w:val="000000"/>
          <w:sz w:val="22"/>
          <w:szCs w:val="22"/>
          <w:lang w:val="en-US"/>
        </w:rPr>
      </w:pPr>
      <w:r w:rsidRPr="00024791">
        <w:rPr>
          <w:rFonts w:asciiTheme="minorHAnsi" w:hAnsiTheme="minorHAnsi" w:cstheme="minorHAnsi"/>
          <w:color w:val="000000"/>
          <w:sz w:val="22"/>
          <w:szCs w:val="22"/>
          <w:lang w:val="en-US"/>
        </w:rPr>
        <w:t>Directive (EU) 2015/1535 of the European Parliament and of the Council of 9 September 2015 laying down a procedure for the provision of information in the field of technical regulations and of rules on information society services. (</w:t>
      </w:r>
      <w:r w:rsidRPr="00024791">
        <w:rPr>
          <w:rFonts w:asciiTheme="minorHAnsi" w:hAnsiTheme="minorHAnsi" w:cstheme="minorHAnsi"/>
          <w:b/>
          <w:bCs/>
          <w:color w:val="000000"/>
          <w:sz w:val="22"/>
          <w:szCs w:val="22"/>
          <w:lang w:val="en-US"/>
        </w:rPr>
        <w:t>2015 Directive</w:t>
      </w:r>
      <w:r w:rsidRPr="00024791">
        <w:rPr>
          <w:rFonts w:asciiTheme="minorHAnsi" w:hAnsiTheme="minorHAnsi" w:cstheme="minorHAnsi"/>
          <w:color w:val="000000"/>
          <w:sz w:val="22"/>
          <w:szCs w:val="22"/>
          <w:lang w:val="en-US"/>
        </w:rPr>
        <w:t>)</w:t>
      </w:r>
    </w:p>
    <w:p w14:paraId="7ADBB970" w14:textId="77777777" w:rsidR="00024791" w:rsidRPr="00D301A4" w:rsidRDefault="00024791" w:rsidP="00024791">
      <w:pPr>
        <w:rPr>
          <w:rFonts w:cs="Arial"/>
          <w:lang w:val="en-US"/>
        </w:rPr>
      </w:pPr>
    </w:p>
    <w:p w14:paraId="5A65FEA3" w14:textId="693B508B" w:rsidR="00024791" w:rsidRDefault="00024791" w:rsidP="00024791">
      <w:pPr>
        <w:rPr>
          <w:rFonts w:cs="Arial"/>
          <w:lang w:val="en-US"/>
        </w:rPr>
      </w:pPr>
    </w:p>
    <w:p w14:paraId="238DE5C0" w14:textId="15B3B6E4" w:rsidR="00024791" w:rsidRDefault="00024791" w:rsidP="00024791">
      <w:pPr>
        <w:rPr>
          <w:rFonts w:cs="Arial"/>
          <w:lang w:val="en-US"/>
        </w:rPr>
      </w:pPr>
    </w:p>
    <w:p w14:paraId="2A7C0EE3" w14:textId="7453EDEF" w:rsidR="00024791" w:rsidRDefault="00024791" w:rsidP="00024791">
      <w:pPr>
        <w:rPr>
          <w:rFonts w:cs="Arial"/>
          <w:lang w:val="en-US"/>
        </w:rPr>
      </w:pPr>
    </w:p>
    <w:p w14:paraId="52DBD100" w14:textId="55EDCB7C" w:rsidR="00024791" w:rsidRDefault="00024791" w:rsidP="00024791">
      <w:pPr>
        <w:rPr>
          <w:rFonts w:cs="Arial"/>
          <w:lang w:val="en-US"/>
        </w:rPr>
      </w:pPr>
    </w:p>
    <w:p w14:paraId="1EA42FC3" w14:textId="1BC90BE8" w:rsidR="00024791" w:rsidRDefault="00024791" w:rsidP="00024791">
      <w:pPr>
        <w:rPr>
          <w:rFonts w:cs="Arial"/>
          <w:lang w:val="en-US"/>
        </w:rPr>
      </w:pPr>
    </w:p>
    <w:p w14:paraId="0ADA8260" w14:textId="7BC84E19" w:rsidR="00024791" w:rsidRDefault="00024791" w:rsidP="00024791">
      <w:pPr>
        <w:rPr>
          <w:rFonts w:cs="Arial"/>
          <w:lang w:val="en-US"/>
        </w:rPr>
      </w:pPr>
    </w:p>
    <w:p w14:paraId="4E69223F" w14:textId="3253ACD2" w:rsidR="00024791" w:rsidRDefault="00024791" w:rsidP="00024791">
      <w:pPr>
        <w:rPr>
          <w:rFonts w:cs="Arial"/>
          <w:lang w:val="en-US"/>
        </w:rPr>
      </w:pPr>
    </w:p>
    <w:p w14:paraId="4F19B746" w14:textId="2898E11B" w:rsidR="00024791" w:rsidRDefault="00024791" w:rsidP="00024791">
      <w:pPr>
        <w:rPr>
          <w:rFonts w:cs="Arial"/>
          <w:lang w:val="en-US"/>
        </w:rPr>
      </w:pPr>
    </w:p>
    <w:p w14:paraId="0C009923" w14:textId="0DFF7C67" w:rsidR="00024791" w:rsidRDefault="00024791" w:rsidP="00024791">
      <w:pPr>
        <w:rPr>
          <w:rFonts w:cs="Arial"/>
          <w:lang w:val="en-US"/>
        </w:rPr>
      </w:pPr>
    </w:p>
    <w:p w14:paraId="1D544719" w14:textId="45384F17" w:rsidR="00024791" w:rsidRDefault="00024791" w:rsidP="00024791">
      <w:pPr>
        <w:rPr>
          <w:rFonts w:cs="Arial"/>
          <w:lang w:val="en-US"/>
        </w:rPr>
      </w:pPr>
    </w:p>
    <w:p w14:paraId="1C3F0A5C" w14:textId="397D3F91" w:rsidR="00024791" w:rsidRDefault="00024791" w:rsidP="00024791">
      <w:pPr>
        <w:rPr>
          <w:rFonts w:cs="Arial"/>
          <w:lang w:val="en-US"/>
        </w:rPr>
      </w:pPr>
    </w:p>
    <w:p w14:paraId="14FC76D8" w14:textId="3467F5CA" w:rsidR="00024791" w:rsidRDefault="00024791" w:rsidP="00024791">
      <w:pPr>
        <w:rPr>
          <w:rFonts w:cs="Arial"/>
          <w:lang w:val="en-US"/>
        </w:rPr>
      </w:pPr>
    </w:p>
    <w:p w14:paraId="134D1E80" w14:textId="77777777" w:rsidR="00024791" w:rsidRPr="00D301A4" w:rsidRDefault="00024791" w:rsidP="00024791">
      <w:pPr>
        <w:rPr>
          <w:rFonts w:cs="Arial"/>
          <w:lang w:val="en-US"/>
        </w:rPr>
      </w:pPr>
    </w:p>
    <w:p w14:paraId="15E6A449" w14:textId="77777777" w:rsidR="00024791" w:rsidRPr="00D301A4" w:rsidRDefault="00024791" w:rsidP="00024791">
      <w:pPr>
        <w:rPr>
          <w:rFonts w:cs="Arial"/>
          <w:b/>
          <w:bCs/>
          <w:lang w:val="en-US"/>
        </w:rPr>
      </w:pPr>
      <w:r w:rsidRPr="00D301A4">
        <w:rPr>
          <w:rFonts w:cs="Arial"/>
          <w:b/>
          <w:bCs/>
          <w:lang w:val="en-US"/>
        </w:rPr>
        <w:t>2.</w:t>
      </w:r>
      <w:r w:rsidRPr="00D301A4">
        <w:rPr>
          <w:rFonts w:cs="Arial"/>
          <w:b/>
          <w:bCs/>
          <w:lang w:val="en-US"/>
        </w:rPr>
        <w:tab/>
      </w:r>
      <w:r w:rsidRPr="00D301A4">
        <w:rPr>
          <w:rFonts w:cs="Arial"/>
          <w:b/>
          <w:bCs/>
          <w:u w:val="single"/>
          <w:lang w:val="en-US"/>
        </w:rPr>
        <w:t>Context</w:t>
      </w:r>
      <w:r w:rsidRPr="00D301A4">
        <w:rPr>
          <w:rFonts w:cs="Arial"/>
          <w:b/>
          <w:bCs/>
          <w:lang w:val="en-US"/>
        </w:rPr>
        <w:t xml:space="preserve"> </w:t>
      </w:r>
    </w:p>
    <w:p w14:paraId="4C393BAB" w14:textId="77777777" w:rsidR="00024791" w:rsidRPr="00D301A4" w:rsidRDefault="00024791" w:rsidP="00024791">
      <w:pPr>
        <w:shd w:val="clear" w:color="auto" w:fill="FFFFFF"/>
        <w:rPr>
          <w:rFonts w:eastAsia="Times New Roman" w:cs="Arial"/>
          <w:color w:val="000000"/>
          <w:lang w:val="en-US" w:eastAsia="fr-FR"/>
        </w:rPr>
      </w:pPr>
    </w:p>
    <w:p w14:paraId="43D2E584" w14:textId="33F839FB" w:rsidR="00024791" w:rsidRPr="00D301A4" w:rsidRDefault="00024791" w:rsidP="00024791">
      <w:pPr>
        <w:rPr>
          <w:rFonts w:cs="Arial"/>
          <w:lang w:val="en-US"/>
        </w:rPr>
      </w:pPr>
      <w:r w:rsidRPr="00D301A4">
        <w:rPr>
          <w:rFonts w:eastAsia="Times New Roman" w:cs="Arial"/>
          <w:color w:val="000000"/>
          <w:lang w:val="en-US" w:eastAsia="fr-FR"/>
        </w:rPr>
        <w:t xml:space="preserve">On February 10, 2020, France adopted </w:t>
      </w:r>
      <w:hyperlink r:id="rId8" w:history="1">
        <w:r w:rsidRPr="0030185B">
          <w:rPr>
            <w:rStyle w:val="Lienhypertexte"/>
            <w:rFonts w:eastAsia="Times New Roman" w:cs="Arial"/>
            <w:lang w:val="en-US" w:eastAsia="fr-FR"/>
          </w:rPr>
          <w:t>law n°2020-105</w:t>
        </w:r>
      </w:hyperlink>
      <w:r w:rsidRPr="00D301A4">
        <w:rPr>
          <w:rFonts w:eastAsia="Times New Roman" w:cs="Arial"/>
          <w:color w:val="000000"/>
          <w:lang w:val="en-US" w:eastAsia="fr-FR"/>
        </w:rPr>
        <w:t xml:space="preserve"> relating to anti waste measures and circular economy </w:t>
      </w:r>
      <w:r w:rsidRPr="00D301A4">
        <w:rPr>
          <w:rFonts w:cs="Arial"/>
          <w:lang w:val="en-US"/>
        </w:rPr>
        <w:t>(</w:t>
      </w:r>
      <w:r w:rsidRPr="00D301A4">
        <w:rPr>
          <w:rFonts w:cs="Arial"/>
          <w:b/>
          <w:bCs/>
          <w:lang w:val="en-US"/>
        </w:rPr>
        <w:t>2020 Law</w:t>
      </w:r>
      <w:r w:rsidRPr="00D301A4">
        <w:rPr>
          <w:rFonts w:cs="Arial"/>
          <w:lang w:val="en-US"/>
        </w:rPr>
        <w:t xml:space="preserve">). </w:t>
      </w:r>
    </w:p>
    <w:p w14:paraId="0CBBD7F7" w14:textId="77777777" w:rsidR="00024791" w:rsidRPr="00D301A4" w:rsidRDefault="00024791" w:rsidP="00024791">
      <w:pPr>
        <w:rPr>
          <w:rFonts w:cs="Arial"/>
          <w:lang w:val="en-US"/>
        </w:rPr>
      </w:pPr>
    </w:p>
    <w:p w14:paraId="58169E13" w14:textId="42D68D54" w:rsidR="00024791" w:rsidRPr="00024791" w:rsidRDefault="00024791" w:rsidP="00024791">
      <w:pPr>
        <w:rPr>
          <w:rFonts w:ascii="Calibri" w:hAnsi="Calibri" w:cs="Calibri"/>
          <w:color w:val="000000"/>
          <w:lang w:val="en-US"/>
        </w:rPr>
      </w:pPr>
      <w:r w:rsidRPr="00D301A4">
        <w:rPr>
          <w:rFonts w:eastAsia="Times New Roman" w:cs="Arial"/>
          <w:color w:val="000000"/>
          <w:lang w:val="en-US" w:eastAsia="fr-FR"/>
        </w:rPr>
        <w:t xml:space="preserve">This piece of legislation </w:t>
      </w:r>
      <w:r w:rsidRPr="00024791">
        <w:rPr>
          <w:rFonts w:ascii="Calibri" w:hAnsi="Calibri" w:cs="Calibri"/>
          <w:color w:val="000000"/>
          <w:lang w:val="en-US"/>
        </w:rPr>
        <w:t xml:space="preserve">provides for the possibility of extending and strengthening the information requirement established at EU level on the presence of hazardous substances in products. Article 13 of this law provides for the use of several Council of State decrees to set the implementing rules for the identification of hazardous substances and the provision of identifying endocrine disruptors in a product placed on the market. </w:t>
      </w:r>
    </w:p>
    <w:p w14:paraId="41A97C4D" w14:textId="77777777" w:rsidR="005C5080" w:rsidRDefault="005C5080" w:rsidP="00024791">
      <w:pPr>
        <w:autoSpaceDE w:val="0"/>
        <w:autoSpaceDN w:val="0"/>
        <w:adjustRightInd w:val="0"/>
        <w:spacing w:line="240" w:lineRule="auto"/>
        <w:rPr>
          <w:rFonts w:ascii="Calibri" w:hAnsi="Calibri" w:cs="Calibri"/>
          <w:color w:val="000000"/>
          <w:lang w:val="en-US"/>
        </w:rPr>
      </w:pPr>
    </w:p>
    <w:p w14:paraId="02A58337" w14:textId="56F64B09" w:rsidR="00024791" w:rsidRPr="00024791" w:rsidRDefault="00024791" w:rsidP="00024791">
      <w:pPr>
        <w:autoSpaceDE w:val="0"/>
        <w:autoSpaceDN w:val="0"/>
        <w:adjustRightInd w:val="0"/>
        <w:spacing w:line="240" w:lineRule="auto"/>
        <w:rPr>
          <w:rFonts w:ascii="Calibri" w:hAnsi="Calibri" w:cs="Calibri"/>
          <w:color w:val="000000"/>
          <w:lang w:val="en-US"/>
        </w:rPr>
      </w:pPr>
      <w:r w:rsidRPr="00024791">
        <w:rPr>
          <w:rFonts w:ascii="Calibri" w:hAnsi="Calibri" w:cs="Calibri"/>
          <w:color w:val="000000"/>
          <w:lang w:val="en-US"/>
        </w:rPr>
        <w:t xml:space="preserve">Article 13-I of this law is related to the information of consumers on the environmental characteristics of in waste-generating products and states that a decree will determine "the definition of environmental qualities and characteristics, the procedures for establishing them, the categories of products concerned and the procedures for informing consumers" and another decree will identify the hazardous substances referred to, after opinion of the French Agency for food, environmental and occupational health safety (ANSES). This first decree has not yet been adopted. </w:t>
      </w:r>
    </w:p>
    <w:p w14:paraId="22A798A5" w14:textId="25D368C8" w:rsidR="00024791" w:rsidRPr="00024791" w:rsidRDefault="00024791" w:rsidP="00024791">
      <w:pPr>
        <w:autoSpaceDE w:val="0"/>
        <w:autoSpaceDN w:val="0"/>
        <w:adjustRightInd w:val="0"/>
        <w:spacing w:line="240" w:lineRule="auto"/>
        <w:rPr>
          <w:rFonts w:ascii="Calibri" w:hAnsi="Calibri" w:cs="Calibri"/>
          <w:color w:val="000000"/>
          <w:lang w:val="en-US"/>
        </w:rPr>
      </w:pPr>
      <w:r w:rsidRPr="00024791">
        <w:rPr>
          <w:rFonts w:ascii="Calibri" w:hAnsi="Calibri" w:cs="Calibri"/>
          <w:color w:val="000000"/>
          <w:lang w:val="en-US"/>
        </w:rPr>
        <w:t xml:space="preserve">By an </w:t>
      </w:r>
      <w:hyperlink r:id="rId9" w:history="1">
        <w:r w:rsidRPr="00A06295">
          <w:rPr>
            <w:rStyle w:val="Lienhypertexte"/>
            <w:rFonts w:ascii="Calibri" w:hAnsi="Calibri" w:cs="Calibri"/>
            <w:lang w:val="en-US"/>
          </w:rPr>
          <w:t>opinion</w:t>
        </w:r>
      </w:hyperlink>
      <w:r w:rsidRPr="00024791">
        <w:rPr>
          <w:rFonts w:ascii="Calibri" w:hAnsi="Calibri" w:cs="Calibri"/>
          <w:color w:val="000000"/>
          <w:lang w:val="en-US"/>
        </w:rPr>
        <w:t xml:space="preserve"> published on November 2</w:t>
      </w:r>
      <w:r w:rsidRPr="00024791">
        <w:rPr>
          <w:rFonts w:ascii="Calibri" w:hAnsi="Calibri" w:cs="Calibri"/>
          <w:color w:val="000000"/>
          <w:sz w:val="14"/>
          <w:szCs w:val="14"/>
          <w:vertAlign w:val="superscript"/>
          <w:lang w:val="en-US"/>
        </w:rPr>
        <w:t>nd</w:t>
      </w:r>
      <w:r w:rsidRPr="00024791">
        <w:rPr>
          <w:rFonts w:ascii="Calibri" w:hAnsi="Calibri" w:cs="Calibri"/>
          <w:color w:val="000000"/>
          <w:sz w:val="14"/>
          <w:szCs w:val="14"/>
          <w:lang w:val="en-US"/>
        </w:rPr>
        <w:t xml:space="preserve"> </w:t>
      </w:r>
      <w:r w:rsidRPr="00024791">
        <w:rPr>
          <w:rFonts w:ascii="Calibri" w:hAnsi="Calibri" w:cs="Calibri"/>
          <w:color w:val="000000"/>
          <w:lang w:val="en-US"/>
        </w:rPr>
        <w:t xml:space="preserve">2020, ANSES stated that the list of Substances of very high concern established under REACH regulation is relevant to form the basis of this list and further opinions are needed to specify what other substances should be included. These additional opinions are still pending. </w:t>
      </w:r>
    </w:p>
    <w:p w14:paraId="416A11FD" w14:textId="77777777" w:rsidR="005C5080" w:rsidRDefault="005C5080" w:rsidP="00024791">
      <w:pPr>
        <w:autoSpaceDE w:val="0"/>
        <w:autoSpaceDN w:val="0"/>
        <w:adjustRightInd w:val="0"/>
        <w:spacing w:line="240" w:lineRule="auto"/>
        <w:rPr>
          <w:rFonts w:ascii="Calibri" w:hAnsi="Calibri" w:cs="Calibri"/>
          <w:color w:val="000000"/>
          <w:lang w:val="en-US"/>
        </w:rPr>
      </w:pPr>
    </w:p>
    <w:p w14:paraId="1297A63F" w14:textId="1E125C42" w:rsidR="00024791" w:rsidRPr="00024791" w:rsidRDefault="00024791" w:rsidP="00024791">
      <w:pPr>
        <w:autoSpaceDE w:val="0"/>
        <w:autoSpaceDN w:val="0"/>
        <w:adjustRightInd w:val="0"/>
        <w:spacing w:line="240" w:lineRule="auto"/>
        <w:rPr>
          <w:rFonts w:ascii="Calibri" w:hAnsi="Calibri" w:cs="Calibri"/>
          <w:color w:val="000000"/>
          <w:lang w:val="en-US"/>
        </w:rPr>
      </w:pPr>
      <w:r w:rsidRPr="00024791">
        <w:rPr>
          <w:rFonts w:ascii="Calibri" w:hAnsi="Calibri" w:cs="Calibri"/>
          <w:color w:val="000000"/>
          <w:lang w:val="en-US"/>
        </w:rPr>
        <w:t xml:space="preserve">Article 13-II of this law aims to provide the public with information on the presence of endocrine disruptors in products and require a decree of Council of State to lay down the modalities of application of this article. Article 130 of the French Circular Economy Law states that Article 13 will come into force on 1 January 2022. </w:t>
      </w:r>
    </w:p>
    <w:p w14:paraId="42427C54" w14:textId="77777777" w:rsidR="00B23FB9" w:rsidRDefault="00B23FB9" w:rsidP="00024791">
      <w:pPr>
        <w:autoSpaceDE w:val="0"/>
        <w:autoSpaceDN w:val="0"/>
        <w:adjustRightInd w:val="0"/>
        <w:spacing w:line="240" w:lineRule="auto"/>
        <w:rPr>
          <w:rFonts w:ascii="Calibri" w:hAnsi="Calibri" w:cs="Calibri"/>
          <w:color w:val="000000"/>
          <w:lang w:val="en-US"/>
        </w:rPr>
      </w:pPr>
    </w:p>
    <w:p w14:paraId="5ED1811F" w14:textId="2EB71F8F" w:rsidR="00024791" w:rsidRPr="00024791" w:rsidRDefault="00024791" w:rsidP="00024791">
      <w:pPr>
        <w:autoSpaceDE w:val="0"/>
        <w:autoSpaceDN w:val="0"/>
        <w:adjustRightInd w:val="0"/>
        <w:spacing w:line="240" w:lineRule="auto"/>
        <w:rPr>
          <w:rFonts w:ascii="Calibri" w:hAnsi="Calibri" w:cs="Calibri"/>
          <w:color w:val="000000"/>
          <w:lang w:val="en-US"/>
        </w:rPr>
      </w:pPr>
      <w:r w:rsidRPr="00024791">
        <w:rPr>
          <w:rFonts w:ascii="Calibri" w:hAnsi="Calibri" w:cs="Calibri"/>
          <w:color w:val="000000"/>
          <w:lang w:val="en-US"/>
        </w:rPr>
        <w:t xml:space="preserve">The draft decrees notified under notification number TRIS 2020/833/F and TRIS 2020/832/F lay down the conditions governing the application of the legislative provisions related to the list of hazardous substances and the implementation of the obligation to provide information </w:t>
      </w:r>
      <w:proofErr w:type="spellStart"/>
      <w:r w:rsidRPr="00024791">
        <w:rPr>
          <w:rFonts w:ascii="Calibri" w:hAnsi="Calibri" w:cs="Calibri"/>
          <w:color w:val="000000"/>
          <w:lang w:val="en-US"/>
        </w:rPr>
        <w:t>identiying</w:t>
      </w:r>
      <w:proofErr w:type="spellEnd"/>
      <w:r w:rsidRPr="00024791">
        <w:rPr>
          <w:rFonts w:ascii="Calibri" w:hAnsi="Calibri" w:cs="Calibri"/>
          <w:color w:val="000000"/>
          <w:lang w:val="en-US"/>
        </w:rPr>
        <w:t xml:space="preserve"> endocrine disruptors in products. </w:t>
      </w:r>
    </w:p>
    <w:p w14:paraId="4278916D" w14:textId="77777777" w:rsidR="005C5080" w:rsidRPr="00024791" w:rsidRDefault="005C5080" w:rsidP="00024791">
      <w:pPr>
        <w:shd w:val="clear" w:color="auto" w:fill="FFFFFF"/>
        <w:rPr>
          <w:rFonts w:eastAsia="Times New Roman" w:cs="Arial"/>
          <w:color w:val="000000"/>
          <w:lang w:val="en-US" w:eastAsia="fr-FR"/>
        </w:rPr>
      </w:pPr>
    </w:p>
    <w:p w14:paraId="48511061" w14:textId="77777777" w:rsidR="005C5080" w:rsidRPr="00024791" w:rsidRDefault="005C5080" w:rsidP="005C5080">
      <w:pPr>
        <w:autoSpaceDE w:val="0"/>
        <w:autoSpaceDN w:val="0"/>
        <w:adjustRightInd w:val="0"/>
        <w:spacing w:line="240" w:lineRule="auto"/>
        <w:rPr>
          <w:rFonts w:ascii="Calibri" w:hAnsi="Calibri" w:cs="Calibri"/>
          <w:color w:val="000000"/>
          <w:lang w:val="en-US"/>
        </w:rPr>
      </w:pPr>
      <w:r w:rsidRPr="00024791">
        <w:rPr>
          <w:rFonts w:ascii="Calibri" w:hAnsi="Calibri" w:cs="Calibri"/>
          <w:color w:val="000000"/>
          <w:lang w:val="en-US"/>
        </w:rPr>
        <w:t xml:space="preserve">These draft decrees raise concerns regarding the deadline for application and the consistency with EU regulations, notably considering several dispositions </w:t>
      </w:r>
      <w:proofErr w:type="gramStart"/>
      <w:r w:rsidRPr="00024791">
        <w:rPr>
          <w:rFonts w:ascii="Calibri" w:hAnsi="Calibri" w:cs="Calibri"/>
          <w:color w:val="000000"/>
          <w:lang w:val="en-US"/>
        </w:rPr>
        <w:t>have to</w:t>
      </w:r>
      <w:proofErr w:type="gramEnd"/>
      <w:r w:rsidRPr="00024791">
        <w:rPr>
          <w:rFonts w:ascii="Calibri" w:hAnsi="Calibri" w:cs="Calibri"/>
          <w:color w:val="000000"/>
          <w:lang w:val="en-US"/>
        </w:rPr>
        <w:t xml:space="preserve"> been laid down by Ministerial orders. </w:t>
      </w:r>
    </w:p>
    <w:p w14:paraId="4980C745" w14:textId="77777777" w:rsidR="00024791" w:rsidRPr="0030185B" w:rsidRDefault="00024791" w:rsidP="00024791">
      <w:pPr>
        <w:shd w:val="clear" w:color="auto" w:fill="FFFFFF"/>
        <w:rPr>
          <w:rFonts w:eastAsia="Times New Roman" w:cs="Arial"/>
          <w:color w:val="000000"/>
          <w:lang w:val="en-US" w:eastAsia="fr-FR"/>
        </w:rPr>
      </w:pPr>
    </w:p>
    <w:p w14:paraId="6C69716A" w14:textId="77777777" w:rsidR="00024791" w:rsidRPr="0030185B" w:rsidRDefault="00024791" w:rsidP="00024791">
      <w:pPr>
        <w:shd w:val="clear" w:color="auto" w:fill="FFFFFF"/>
        <w:rPr>
          <w:rFonts w:eastAsia="Times New Roman" w:cs="Arial"/>
          <w:color w:val="000000"/>
          <w:lang w:val="en-US" w:eastAsia="fr-FR"/>
        </w:rPr>
      </w:pPr>
    </w:p>
    <w:p w14:paraId="2430D710" w14:textId="4DB1C74B" w:rsidR="00024791" w:rsidRPr="00D301A4" w:rsidRDefault="00024791" w:rsidP="00024791">
      <w:pPr>
        <w:shd w:val="clear" w:color="auto" w:fill="FFFFFF"/>
        <w:rPr>
          <w:rFonts w:eastAsia="Times New Roman" w:cs="Arial"/>
          <w:b/>
          <w:bCs/>
          <w:color w:val="000000"/>
          <w:lang w:val="en-US" w:eastAsia="fr-FR"/>
        </w:rPr>
      </w:pPr>
      <w:r w:rsidRPr="00D301A4">
        <w:rPr>
          <w:rFonts w:eastAsia="Times New Roman" w:cs="Arial"/>
          <w:b/>
          <w:bCs/>
          <w:color w:val="000000"/>
          <w:lang w:val="en-US" w:eastAsia="fr-FR"/>
        </w:rPr>
        <w:t>3.</w:t>
      </w:r>
      <w:r w:rsidRPr="00D301A4">
        <w:rPr>
          <w:rFonts w:eastAsia="Times New Roman" w:cs="Arial"/>
          <w:b/>
          <w:bCs/>
          <w:color w:val="000000"/>
          <w:lang w:val="en-US" w:eastAsia="fr-FR"/>
        </w:rPr>
        <w:tab/>
      </w:r>
      <w:r w:rsidR="00D47C43" w:rsidRPr="00D47C43">
        <w:rPr>
          <w:rFonts w:eastAsia="Times New Roman" w:cs="Arial"/>
          <w:b/>
          <w:bCs/>
          <w:color w:val="000000"/>
          <w:u w:val="single"/>
          <w:lang w:val="en-US" w:eastAsia="fr-FR"/>
        </w:rPr>
        <w:t xml:space="preserve">General </w:t>
      </w:r>
      <w:r w:rsidRPr="00D47C43">
        <w:rPr>
          <w:rFonts w:eastAsia="Times New Roman" w:cs="Arial"/>
          <w:b/>
          <w:bCs/>
          <w:color w:val="000000"/>
          <w:u w:val="single"/>
          <w:lang w:val="en-US" w:eastAsia="fr-FR"/>
        </w:rPr>
        <w:t>Issues</w:t>
      </w:r>
      <w:r w:rsidRPr="00D301A4">
        <w:rPr>
          <w:rFonts w:eastAsia="Times New Roman" w:cs="Arial"/>
          <w:b/>
          <w:bCs/>
          <w:color w:val="000000"/>
          <w:lang w:val="en-US" w:eastAsia="fr-FR"/>
        </w:rPr>
        <w:t xml:space="preserve"> </w:t>
      </w:r>
    </w:p>
    <w:p w14:paraId="00B7357E" w14:textId="77777777" w:rsidR="00024791" w:rsidRPr="00D301A4" w:rsidRDefault="00024791" w:rsidP="00024791">
      <w:pPr>
        <w:shd w:val="clear" w:color="auto" w:fill="FFFFFF"/>
        <w:rPr>
          <w:rFonts w:eastAsia="Times New Roman" w:cs="Arial"/>
          <w:color w:val="000000"/>
          <w:lang w:val="en-US" w:eastAsia="fr-FR"/>
        </w:rPr>
      </w:pPr>
    </w:p>
    <w:p w14:paraId="78E014BF" w14:textId="0FFBDEDB" w:rsidR="00D47C43" w:rsidRPr="00D47C43" w:rsidRDefault="00D47C43" w:rsidP="00D47C43">
      <w:pPr>
        <w:spacing w:after="240"/>
        <w:rPr>
          <w:rFonts w:cstheme="minorHAnsi"/>
          <w:b/>
          <w:bCs/>
          <w:lang w:val="en-GB"/>
        </w:rPr>
      </w:pPr>
      <w:r w:rsidRPr="00D47C43">
        <w:rPr>
          <w:rFonts w:cstheme="minorHAnsi"/>
          <w:b/>
          <w:bCs/>
          <w:lang w:val="en-GB"/>
        </w:rPr>
        <w:t>The introduction of new national mandatory requirements, not aligned with European requirements, will install competitive distortion, jeopardise the level playing field within the EU and the good functioning of its market</w:t>
      </w:r>
      <w:r w:rsidRPr="00D47C43">
        <w:rPr>
          <w:rFonts w:cstheme="minorHAnsi"/>
          <w:lang w:val="en-GB"/>
        </w:rPr>
        <w:t xml:space="preserve">. Furthermore, these additional obligations will increase the complexity of information gathering along the value chain for companies placing products on the French market. In addition, potential labelling requirements, not in line with EU obligations, would be likely to affect the free circulation of goods within the EU. Finally, these requirements would lead to </w:t>
      </w:r>
      <w:r w:rsidRPr="00D47C43">
        <w:rPr>
          <w:rFonts w:cstheme="minorHAnsi"/>
          <w:b/>
          <w:bCs/>
          <w:lang w:val="en-GB"/>
        </w:rPr>
        <w:t xml:space="preserve">legal uncertainty due to the lack of visibility on the scope of these requirements, the lists of substances and the methodology for their adoption and update. </w:t>
      </w:r>
    </w:p>
    <w:p w14:paraId="6EDFB915" w14:textId="77777777" w:rsidR="00B23FB9" w:rsidRDefault="00B23FB9" w:rsidP="00D47C43">
      <w:pPr>
        <w:rPr>
          <w:rFonts w:cstheme="minorHAnsi"/>
          <w:b/>
          <w:bCs/>
          <w:lang w:val="en-GB"/>
        </w:rPr>
      </w:pPr>
    </w:p>
    <w:p w14:paraId="14751E56" w14:textId="77777777" w:rsidR="00B23FB9" w:rsidRDefault="00B23FB9" w:rsidP="00D47C43">
      <w:pPr>
        <w:rPr>
          <w:rFonts w:cstheme="minorHAnsi"/>
          <w:b/>
          <w:bCs/>
          <w:lang w:val="en-GB"/>
        </w:rPr>
      </w:pPr>
    </w:p>
    <w:p w14:paraId="285C95D2" w14:textId="77777777" w:rsidR="00B23FB9" w:rsidRDefault="00B23FB9" w:rsidP="00D47C43">
      <w:pPr>
        <w:rPr>
          <w:rFonts w:cstheme="minorHAnsi"/>
          <w:b/>
          <w:bCs/>
          <w:lang w:val="en-GB"/>
        </w:rPr>
      </w:pPr>
    </w:p>
    <w:p w14:paraId="408E72C0" w14:textId="77777777" w:rsidR="00B23FB9" w:rsidRDefault="00B23FB9" w:rsidP="00D47C43">
      <w:pPr>
        <w:rPr>
          <w:rFonts w:cstheme="minorHAnsi"/>
          <w:b/>
          <w:bCs/>
          <w:lang w:val="en-GB"/>
        </w:rPr>
      </w:pPr>
    </w:p>
    <w:p w14:paraId="10873B65" w14:textId="77777777" w:rsidR="00B23FB9" w:rsidRDefault="00B23FB9" w:rsidP="00D47C43">
      <w:pPr>
        <w:rPr>
          <w:rFonts w:cstheme="minorHAnsi"/>
          <w:b/>
          <w:bCs/>
          <w:lang w:val="en-GB"/>
        </w:rPr>
      </w:pPr>
    </w:p>
    <w:p w14:paraId="6AD8BDFD" w14:textId="77777777" w:rsidR="00B23FB9" w:rsidRDefault="00B23FB9" w:rsidP="00D47C43">
      <w:pPr>
        <w:rPr>
          <w:rFonts w:cstheme="minorHAnsi"/>
          <w:b/>
          <w:bCs/>
          <w:lang w:val="en-GB"/>
        </w:rPr>
      </w:pPr>
    </w:p>
    <w:p w14:paraId="7643AE61" w14:textId="77777777" w:rsidR="00B23FB9" w:rsidRDefault="00B23FB9" w:rsidP="00D47C43">
      <w:pPr>
        <w:rPr>
          <w:rFonts w:cstheme="minorHAnsi"/>
          <w:b/>
          <w:bCs/>
          <w:lang w:val="en-GB"/>
        </w:rPr>
      </w:pPr>
    </w:p>
    <w:p w14:paraId="1AEA3997" w14:textId="17FD94D7" w:rsidR="00523D94" w:rsidRDefault="00523D94" w:rsidP="00D47C43">
      <w:pPr>
        <w:rPr>
          <w:rFonts w:cstheme="minorHAnsi"/>
          <w:lang w:val="en-GB"/>
        </w:rPr>
      </w:pPr>
      <w:r>
        <w:rPr>
          <w:rFonts w:cstheme="minorHAnsi"/>
          <w:b/>
          <w:bCs/>
          <w:lang w:val="en-GB"/>
        </w:rPr>
        <w:t>Industr</w:t>
      </w:r>
      <w:r w:rsidR="00B23FB9">
        <w:rPr>
          <w:rFonts w:cstheme="minorHAnsi"/>
          <w:b/>
          <w:bCs/>
          <w:lang w:val="en-GB"/>
        </w:rPr>
        <w:t>y</w:t>
      </w:r>
      <w:r w:rsidR="00D47C43" w:rsidRPr="00D47C43">
        <w:rPr>
          <w:rFonts w:cstheme="minorHAnsi"/>
          <w:b/>
          <w:bCs/>
          <w:lang w:val="en-GB"/>
        </w:rPr>
        <w:t xml:space="preserve"> asks for a harmonisation of the French obligations with the decisions that will be taken soon at EU level in the context of the Green Deal</w:t>
      </w:r>
      <w:r w:rsidR="00D47C43" w:rsidRPr="00D47C43">
        <w:rPr>
          <w:rFonts w:cstheme="minorHAnsi"/>
          <w:lang w:val="en-GB"/>
        </w:rPr>
        <w:t xml:space="preserve"> (e.g. Sustainable Product Initiative and Chemicals Strategy for Sustainability). The Chemical Strategy for Sustainability is an umbrella for multiple separate legislative actions on various topics. One of the topics that’s going to be included are the so-called ‘legacy topics’, and this concerns endocrine disrupters under CSS block: </w:t>
      </w:r>
      <w:r w:rsidR="00D47C43" w:rsidRPr="00D47C43">
        <w:rPr>
          <w:rFonts w:cstheme="minorHAnsi"/>
          <w:b/>
          <w:bCs/>
          <w:lang w:val="en-GB"/>
        </w:rPr>
        <w:t>“Simplifying and consolidating the legal framework: One substance, one assessment”.</w:t>
      </w:r>
      <w:r w:rsidR="00D47C43" w:rsidRPr="00D47C43">
        <w:rPr>
          <w:rFonts w:cstheme="minorHAnsi"/>
          <w:lang w:val="en-GB"/>
        </w:rPr>
        <w:t xml:space="preserve"> Fragmented approaches, at the national level, to identify hazardous substances </w:t>
      </w:r>
    </w:p>
    <w:p w14:paraId="49FE3814" w14:textId="77777777" w:rsidR="00523D94" w:rsidRDefault="00523D94" w:rsidP="00D47C43">
      <w:pPr>
        <w:rPr>
          <w:rFonts w:cstheme="minorHAnsi"/>
          <w:lang w:val="en-GB"/>
        </w:rPr>
      </w:pPr>
    </w:p>
    <w:p w14:paraId="4788E7DC" w14:textId="26B006B6" w:rsidR="00D47C43" w:rsidRPr="00D47C43" w:rsidRDefault="00D47C43" w:rsidP="00D47C43">
      <w:pPr>
        <w:rPr>
          <w:rFonts w:cstheme="minorHAnsi"/>
          <w:lang w:val="en-GB"/>
        </w:rPr>
      </w:pPr>
      <w:r w:rsidRPr="00D47C43">
        <w:rPr>
          <w:rFonts w:cstheme="minorHAnsi"/>
          <w:lang w:val="en-GB"/>
        </w:rPr>
        <w:t xml:space="preserve">and endocrine disruptors are likely to contradict the ‘one substance one assessment’ principle that the European Commission promotes in this strategy. Additionally, there are plans on </w:t>
      </w:r>
      <w:r w:rsidRPr="00D47C43">
        <w:rPr>
          <w:rFonts w:cstheme="minorHAnsi"/>
          <w:b/>
          <w:bCs/>
          <w:lang w:val="en-GB"/>
        </w:rPr>
        <w:t>REACH revision by 2022</w:t>
      </w:r>
      <w:r w:rsidRPr="00D47C43">
        <w:rPr>
          <w:rFonts w:cstheme="minorHAnsi"/>
          <w:lang w:val="en-GB"/>
        </w:rPr>
        <w:t xml:space="preserve">, </w:t>
      </w:r>
      <w:bookmarkStart w:id="0" w:name="_Hlk64472104"/>
      <w:r w:rsidRPr="00D47C43">
        <w:rPr>
          <w:rFonts w:cstheme="minorHAnsi"/>
          <w:lang w:val="en-GB"/>
        </w:rPr>
        <w:t xml:space="preserve">in order to extend the generic approach to risk management to ensure consumer products do not contain chemicals that cause cancers, gene mutations, affect the reproductive or the endocrine system, or are persistent and </w:t>
      </w:r>
      <w:proofErr w:type="spellStart"/>
      <w:r w:rsidRPr="00D47C43">
        <w:rPr>
          <w:rFonts w:cstheme="minorHAnsi"/>
          <w:lang w:val="en-GB"/>
        </w:rPr>
        <w:t>bioaccumulative</w:t>
      </w:r>
      <w:proofErr w:type="spellEnd"/>
      <w:r w:rsidRPr="00D47C43">
        <w:rPr>
          <w:rFonts w:cstheme="minorHAnsi"/>
          <w:lang w:val="en-GB"/>
        </w:rPr>
        <w:t xml:space="preserve"> and toxic</w:t>
      </w:r>
      <w:bookmarkEnd w:id="0"/>
      <w:r w:rsidRPr="00D47C43">
        <w:rPr>
          <w:rFonts w:cstheme="minorHAnsi"/>
          <w:lang w:val="en-GB"/>
        </w:rPr>
        <w:t xml:space="preserve">. </w:t>
      </w:r>
      <w:r w:rsidRPr="00D47C43">
        <w:rPr>
          <w:rFonts w:cstheme="minorHAnsi"/>
          <w:b/>
          <w:bCs/>
          <w:lang w:val="en-GB"/>
        </w:rPr>
        <w:t>The harmonization and alignment with the CSS</w:t>
      </w:r>
      <w:r w:rsidRPr="00D47C43">
        <w:rPr>
          <w:rFonts w:cstheme="minorHAnsi"/>
          <w:lang w:val="en-GB"/>
        </w:rPr>
        <w:t xml:space="preserve"> activities is crucial to </w:t>
      </w:r>
      <w:r w:rsidRPr="00D47C43">
        <w:rPr>
          <w:rFonts w:cstheme="minorHAnsi"/>
          <w:b/>
          <w:bCs/>
          <w:lang w:val="en-GB"/>
        </w:rPr>
        <w:t>avoid a separation of rules on the same subject between the EU and the members states</w:t>
      </w:r>
      <w:r w:rsidRPr="00D47C43">
        <w:rPr>
          <w:rFonts w:cstheme="minorHAnsi"/>
          <w:lang w:val="en-GB"/>
        </w:rPr>
        <w:t xml:space="preserve">. </w:t>
      </w:r>
    </w:p>
    <w:p w14:paraId="6DC339B7" w14:textId="77777777" w:rsidR="00523D94" w:rsidRDefault="00523D94" w:rsidP="00523D94">
      <w:pPr>
        <w:rPr>
          <w:rFonts w:cstheme="minorHAnsi"/>
          <w:lang w:val="en-US"/>
        </w:rPr>
      </w:pPr>
    </w:p>
    <w:p w14:paraId="5EAC4D33" w14:textId="5DA06804" w:rsidR="00D47C43" w:rsidRPr="00523D94" w:rsidRDefault="00D47C43" w:rsidP="00523D94">
      <w:pPr>
        <w:rPr>
          <w:rFonts w:cstheme="minorHAnsi"/>
          <w:lang w:val="en-GB"/>
        </w:rPr>
      </w:pPr>
      <w:r w:rsidRPr="00523D94">
        <w:rPr>
          <w:rFonts w:cstheme="minorHAnsi"/>
          <w:lang w:val="en-US"/>
        </w:rPr>
        <w:t xml:space="preserve">The parliamentary debates have shown a willingness to strengthen consumer information compared to the REACH Regulation. We consider that the separation of rules on the same subject </w:t>
      </w:r>
      <w:r w:rsidRPr="00523D94">
        <w:rPr>
          <w:rFonts w:cstheme="minorHAnsi"/>
          <w:lang w:val="en-GB"/>
        </w:rPr>
        <w:t xml:space="preserve">between the EU and the Member States would be likely to create considerable burden for the industry, more confusion and fragmentation within the EU internal market and the Member States markets.  </w:t>
      </w:r>
      <w:r w:rsidRPr="00523D94">
        <w:rPr>
          <w:rFonts w:cstheme="minorHAnsi"/>
          <w:b/>
          <w:bCs/>
          <w:lang w:val="en-GB"/>
        </w:rPr>
        <w:t>It is therefore essential to the efficiency and success of the Circular Economy, that requirements are developed on a harmonised basis, across all EU Member States, and proportionate, to ensure the effective ongoing operation of the internal market.</w:t>
      </w:r>
    </w:p>
    <w:p w14:paraId="697E1A72" w14:textId="77777777" w:rsidR="00523D94" w:rsidRDefault="00523D94" w:rsidP="00523D94">
      <w:pPr>
        <w:rPr>
          <w:rFonts w:cstheme="minorHAnsi"/>
          <w:lang w:val="en-GB"/>
        </w:rPr>
      </w:pPr>
    </w:p>
    <w:p w14:paraId="7AD7D201" w14:textId="074126E7" w:rsidR="00D47C43" w:rsidRPr="00523D94" w:rsidRDefault="00D47C43" w:rsidP="00523D94">
      <w:pPr>
        <w:rPr>
          <w:rFonts w:cstheme="minorHAnsi"/>
          <w:lang w:val="en-GB"/>
        </w:rPr>
      </w:pPr>
      <w:r w:rsidRPr="00523D94">
        <w:rPr>
          <w:rFonts w:cstheme="minorHAnsi"/>
          <w:lang w:val="en-GB"/>
        </w:rPr>
        <w:t xml:space="preserve">Furthermore, REACH processes to identify SVHC (including ED) include a </w:t>
      </w:r>
      <w:r w:rsidRPr="00523D94">
        <w:rPr>
          <w:rFonts w:cstheme="minorHAnsi"/>
          <w:b/>
          <w:bCs/>
          <w:lang w:val="en-GB"/>
        </w:rPr>
        <w:t>review by an independent scientific committee</w:t>
      </w:r>
      <w:r w:rsidRPr="00523D94">
        <w:rPr>
          <w:rFonts w:cstheme="minorHAnsi"/>
          <w:lang w:val="en-GB"/>
        </w:rPr>
        <w:t xml:space="preserve">, the RAC committee. This committee evaluates the proposal and gives his opinion. In </w:t>
      </w:r>
      <w:proofErr w:type="gramStart"/>
      <w:r w:rsidRPr="00523D94">
        <w:rPr>
          <w:rFonts w:cstheme="minorHAnsi"/>
          <w:lang w:val="en-GB"/>
        </w:rPr>
        <w:t>both of these</w:t>
      </w:r>
      <w:proofErr w:type="gramEnd"/>
      <w:r w:rsidRPr="00523D94">
        <w:rPr>
          <w:rFonts w:cstheme="minorHAnsi"/>
          <w:lang w:val="en-GB"/>
        </w:rPr>
        <w:t xml:space="preserve"> decrees it seems that such a scientific and independent review is missing. We regret that a similar committee is not foreseen for the application of these measures.</w:t>
      </w:r>
    </w:p>
    <w:p w14:paraId="5A2DBADF" w14:textId="77777777" w:rsidR="00D47C43" w:rsidRPr="00523D94" w:rsidRDefault="00D47C43" w:rsidP="00523D94">
      <w:pPr>
        <w:spacing w:before="240"/>
        <w:rPr>
          <w:rFonts w:cstheme="minorHAnsi"/>
          <w:lang w:val="en-GB"/>
        </w:rPr>
      </w:pPr>
      <w:r w:rsidRPr="00523D94">
        <w:rPr>
          <w:rFonts w:cstheme="minorHAnsi"/>
          <w:lang w:val="en-GB"/>
        </w:rPr>
        <w:t xml:space="preserve">It is also vital for the operators as for authorities to </w:t>
      </w:r>
      <w:r w:rsidRPr="00523D94">
        <w:rPr>
          <w:rFonts w:cstheme="minorHAnsi"/>
          <w:b/>
          <w:bCs/>
          <w:lang w:val="en-GB"/>
        </w:rPr>
        <w:t>ensure that such national requirements can be implemented, and that the operators can get the information on the presence of hazardous substances or endocrine disruptors along the supply chain</w:t>
      </w:r>
      <w:r w:rsidRPr="00523D94">
        <w:rPr>
          <w:rFonts w:cstheme="minorHAnsi"/>
          <w:lang w:val="en-GB"/>
        </w:rPr>
        <w:t xml:space="preserve">, even if it is supra-national or global. This would be especially important for endocrine disruptors or hazardous substances for which the information is likely to be not mandatory in the supply chain at EU and global level and therefore not available for downstream users. </w:t>
      </w:r>
    </w:p>
    <w:p w14:paraId="5DF758B7" w14:textId="77777777" w:rsidR="00D47C43" w:rsidRPr="00D47C43" w:rsidRDefault="00D47C43" w:rsidP="00024791">
      <w:pPr>
        <w:shd w:val="clear" w:color="auto" w:fill="FFFFFF"/>
        <w:rPr>
          <w:rFonts w:eastAsia="Times New Roman" w:cs="Arial"/>
          <w:color w:val="000000"/>
          <w:lang w:val="en-GB" w:eastAsia="fr-FR"/>
        </w:rPr>
      </w:pPr>
    </w:p>
    <w:p w14:paraId="607F9B92" w14:textId="77777777" w:rsidR="00D47C43" w:rsidRDefault="00D47C43" w:rsidP="00024791">
      <w:pPr>
        <w:shd w:val="clear" w:color="auto" w:fill="FFFFFF"/>
        <w:rPr>
          <w:rFonts w:eastAsia="Times New Roman" w:cs="Arial"/>
          <w:color w:val="000000"/>
          <w:lang w:val="en-US" w:eastAsia="fr-FR"/>
        </w:rPr>
      </w:pPr>
    </w:p>
    <w:p w14:paraId="405E1FCB" w14:textId="34322FDA" w:rsidR="00024791" w:rsidRPr="00D301A4" w:rsidRDefault="00024791" w:rsidP="00024791">
      <w:pPr>
        <w:shd w:val="clear" w:color="auto" w:fill="FFFFFF"/>
        <w:rPr>
          <w:rFonts w:eastAsia="Times New Roman" w:cs="Arial"/>
          <w:b/>
          <w:bCs/>
          <w:color w:val="000000"/>
          <w:lang w:val="en-US" w:eastAsia="fr-FR"/>
        </w:rPr>
      </w:pPr>
      <w:r w:rsidRPr="00D301A4">
        <w:rPr>
          <w:rFonts w:eastAsia="Times New Roman" w:cs="Arial"/>
          <w:b/>
          <w:bCs/>
          <w:color w:val="000000"/>
          <w:lang w:val="en-US" w:eastAsia="fr-FR"/>
        </w:rPr>
        <w:t xml:space="preserve">3.1 </w:t>
      </w:r>
      <w:r w:rsidRPr="00D301A4">
        <w:rPr>
          <w:rFonts w:eastAsia="Times New Roman" w:cs="Arial"/>
          <w:b/>
          <w:bCs/>
          <w:color w:val="000000"/>
          <w:lang w:val="en-US" w:eastAsia="fr-FR"/>
        </w:rPr>
        <w:tab/>
      </w:r>
      <w:r w:rsidRPr="00D301A4">
        <w:rPr>
          <w:rFonts w:eastAsia="Times New Roman" w:cs="Arial"/>
          <w:color w:val="000000"/>
          <w:u w:val="single"/>
          <w:lang w:val="en-US" w:eastAsia="fr-FR"/>
        </w:rPr>
        <w:t>S</w:t>
      </w:r>
      <w:r w:rsidR="00523D94">
        <w:rPr>
          <w:rFonts w:eastAsia="Times New Roman" w:cs="Arial"/>
          <w:color w:val="000000"/>
          <w:u w:val="single"/>
          <w:lang w:val="en-US" w:eastAsia="fr-FR"/>
        </w:rPr>
        <w:t>pecific comments and recommendations on the draft decree on identification of hazardous substances in products</w:t>
      </w:r>
      <w:r w:rsidRPr="00D301A4">
        <w:rPr>
          <w:rFonts w:eastAsia="Times New Roman" w:cs="Arial"/>
          <w:color w:val="000000"/>
          <w:u w:val="single"/>
          <w:lang w:val="en-US" w:eastAsia="fr-FR"/>
        </w:rPr>
        <w:t xml:space="preserve"> </w:t>
      </w:r>
    </w:p>
    <w:p w14:paraId="75F6772A" w14:textId="77777777" w:rsidR="00024791" w:rsidRPr="00D301A4" w:rsidRDefault="00024791" w:rsidP="00024791">
      <w:pPr>
        <w:shd w:val="clear" w:color="auto" w:fill="FFFFFF"/>
        <w:rPr>
          <w:rFonts w:eastAsia="Times New Roman" w:cs="Arial"/>
          <w:color w:val="000000"/>
          <w:lang w:val="en-US" w:eastAsia="fr-FR"/>
        </w:rPr>
      </w:pPr>
    </w:p>
    <w:p w14:paraId="32D10FF0" w14:textId="77777777" w:rsidR="00523D94" w:rsidRDefault="00523D94" w:rsidP="00523D94">
      <w:pPr>
        <w:spacing w:line="276" w:lineRule="auto"/>
        <w:contextualSpacing/>
        <w:rPr>
          <w:rFonts w:asciiTheme="majorHAnsi" w:eastAsia="Calibri" w:hAnsiTheme="majorHAnsi" w:cstheme="majorHAnsi"/>
          <w:lang w:val="en-GB"/>
        </w:rPr>
      </w:pPr>
      <w:r>
        <w:rPr>
          <w:rFonts w:asciiTheme="majorHAnsi" w:eastAsia="Calibri" w:hAnsiTheme="majorHAnsi" w:cstheme="majorHAnsi"/>
          <w:lang w:val="en-GB"/>
        </w:rPr>
        <w:t xml:space="preserve">Regarding hazardous substances, the requirements on information to consumers go beyond REACH on the following points: </w:t>
      </w:r>
    </w:p>
    <w:p w14:paraId="195D34BE" w14:textId="77777777" w:rsidR="00523D94" w:rsidRDefault="00523D94" w:rsidP="00523D94">
      <w:pPr>
        <w:pStyle w:val="Paragraphedeliste"/>
        <w:numPr>
          <w:ilvl w:val="2"/>
          <w:numId w:val="32"/>
        </w:numPr>
        <w:spacing w:after="200" w:line="276" w:lineRule="auto"/>
        <w:rPr>
          <w:rFonts w:asciiTheme="majorHAnsi" w:eastAsia="Calibri" w:hAnsiTheme="majorHAnsi" w:cstheme="majorHAnsi"/>
          <w:sz w:val="20"/>
          <w:szCs w:val="20"/>
          <w:lang w:val="en-GB"/>
        </w:rPr>
      </w:pPr>
      <w:r>
        <w:rPr>
          <w:rFonts w:asciiTheme="majorHAnsi" w:eastAsia="SimSun" w:hAnsiTheme="majorHAnsi" w:cstheme="majorHAnsi"/>
          <w:sz w:val="20"/>
          <w:szCs w:val="20"/>
          <w:lang w:val="en-GB"/>
        </w:rPr>
        <w:t>The law foresees an obligation to inform consumers of the presence of SVHC in products, whereas REACH states that information to consumers should be given on demand (article 33.2).</w:t>
      </w:r>
    </w:p>
    <w:p w14:paraId="27BD2C99" w14:textId="1D85BADF" w:rsidR="00523D94" w:rsidRPr="00B23FB9" w:rsidRDefault="00523D94" w:rsidP="00523D94">
      <w:pPr>
        <w:pStyle w:val="Paragraphedeliste"/>
        <w:numPr>
          <w:ilvl w:val="2"/>
          <w:numId w:val="32"/>
        </w:numPr>
        <w:spacing w:line="276" w:lineRule="auto"/>
        <w:rPr>
          <w:rFonts w:asciiTheme="majorHAnsi" w:hAnsiTheme="majorHAnsi" w:cstheme="majorHAnsi"/>
          <w:sz w:val="20"/>
          <w:szCs w:val="20"/>
          <w:lang w:val="en-GB"/>
        </w:rPr>
      </w:pPr>
      <w:r>
        <w:rPr>
          <w:rFonts w:asciiTheme="majorHAnsi" w:eastAsia="SimSun" w:hAnsiTheme="majorHAnsi" w:cstheme="majorHAnsi"/>
          <w:sz w:val="20"/>
          <w:szCs w:val="20"/>
          <w:lang w:val="en-GB"/>
        </w:rPr>
        <w:t xml:space="preserve">This obligation also extends to informing consumers of the presence of substances having a comparable concern to SVHC, but not listed on Candidate List. However, </w:t>
      </w:r>
      <w:r>
        <w:rPr>
          <w:rFonts w:asciiTheme="majorHAnsi" w:eastAsia="SimSun" w:hAnsiTheme="majorHAnsi" w:cstheme="majorHAnsi"/>
          <w:b/>
          <w:bCs/>
          <w:sz w:val="20"/>
          <w:szCs w:val="20"/>
          <w:lang w:val="en-GB"/>
        </w:rPr>
        <w:t>the text is not explicitly referring to Article 57 of REACH for identification criteria</w:t>
      </w:r>
      <w:r>
        <w:rPr>
          <w:rFonts w:asciiTheme="majorHAnsi" w:eastAsia="SimSun" w:hAnsiTheme="majorHAnsi" w:cstheme="majorHAnsi"/>
          <w:sz w:val="20"/>
          <w:szCs w:val="20"/>
          <w:lang w:val="en-GB"/>
        </w:rPr>
        <w:t xml:space="preserve">. Furthermore, instances have occurred whereby substances have been proposed for identification as SVHC but have not been confirmed after discussion under the European procedure. This new requirement jeopardizes the harmonised European procedure. Among 231 dossiers Annex XV requiring an SVHC identification published so far on </w:t>
      </w:r>
      <w:hyperlink r:id="rId10" w:history="1">
        <w:r>
          <w:rPr>
            <w:rStyle w:val="Lienhypertexte"/>
            <w:rFonts w:asciiTheme="majorHAnsi" w:eastAsia="SimSun" w:hAnsiTheme="majorHAnsi" w:cstheme="majorHAnsi"/>
            <w:color w:val="0000FF"/>
            <w:sz w:val="20"/>
            <w:szCs w:val="20"/>
            <w:lang w:val="en-GB"/>
          </w:rPr>
          <w:t>ECHA’s website</w:t>
        </w:r>
      </w:hyperlink>
      <w:r>
        <w:rPr>
          <w:rFonts w:asciiTheme="majorHAnsi" w:eastAsia="SimSun" w:hAnsiTheme="majorHAnsi" w:cstheme="majorHAnsi"/>
          <w:sz w:val="20"/>
          <w:szCs w:val="20"/>
          <w:lang w:val="en-GB"/>
        </w:rPr>
        <w:t xml:space="preserve">, 7 substances have been found not to be SVHC (i.e. </w:t>
      </w:r>
      <w:proofErr w:type="spellStart"/>
      <w:r>
        <w:rPr>
          <w:rFonts w:asciiTheme="majorHAnsi" w:eastAsia="SimSun" w:hAnsiTheme="majorHAnsi" w:cstheme="majorHAnsi"/>
          <w:sz w:val="20"/>
          <w:szCs w:val="20"/>
          <w:lang w:val="en-GB"/>
        </w:rPr>
        <w:t>Cyclododecane</w:t>
      </w:r>
      <w:proofErr w:type="spellEnd"/>
      <w:r>
        <w:rPr>
          <w:rFonts w:asciiTheme="majorHAnsi" w:eastAsia="SimSun" w:hAnsiTheme="majorHAnsi" w:cstheme="majorHAnsi"/>
          <w:sz w:val="20"/>
          <w:szCs w:val="20"/>
          <w:lang w:val="en-GB"/>
        </w:rPr>
        <w:t xml:space="preserve">, or </w:t>
      </w:r>
      <w:hyperlink r:id="rId11" w:history="1">
        <w:r>
          <w:rPr>
            <w:rStyle w:val="Lienhypertexte"/>
            <w:rFonts w:asciiTheme="majorHAnsi" w:eastAsia="SimSun" w:hAnsiTheme="majorHAnsi" w:cstheme="majorHAnsi"/>
            <w:color w:val="0000FF"/>
            <w:sz w:val="20"/>
            <w:szCs w:val="20"/>
            <w:lang w:val="en-GB"/>
          </w:rPr>
          <w:t>trichlorobenzene</w:t>
        </w:r>
      </w:hyperlink>
      <w:r>
        <w:rPr>
          <w:rFonts w:asciiTheme="majorHAnsi" w:eastAsia="SimSun" w:hAnsiTheme="majorHAnsi" w:cstheme="majorHAnsi"/>
          <w:sz w:val="20"/>
          <w:szCs w:val="20"/>
          <w:lang w:val="en-GB"/>
        </w:rPr>
        <w:t>);</w:t>
      </w:r>
    </w:p>
    <w:p w14:paraId="2E5ECBC3" w14:textId="05BBCE03" w:rsidR="00B23FB9" w:rsidRDefault="00B23FB9" w:rsidP="00B23FB9">
      <w:pPr>
        <w:pStyle w:val="Paragraphedeliste"/>
        <w:spacing w:line="276" w:lineRule="auto"/>
        <w:ind w:left="1069"/>
        <w:rPr>
          <w:rFonts w:asciiTheme="majorHAnsi" w:eastAsia="SimSun" w:hAnsiTheme="majorHAnsi" w:cstheme="majorHAnsi"/>
          <w:sz w:val="20"/>
          <w:szCs w:val="20"/>
          <w:lang w:val="en-GB"/>
        </w:rPr>
      </w:pPr>
    </w:p>
    <w:p w14:paraId="10DAF839" w14:textId="77777777" w:rsidR="00B23FB9" w:rsidRDefault="00B23FB9" w:rsidP="00B23FB9">
      <w:pPr>
        <w:pStyle w:val="Paragraphedeliste"/>
        <w:spacing w:line="276" w:lineRule="auto"/>
        <w:ind w:left="1069"/>
        <w:rPr>
          <w:rFonts w:asciiTheme="majorHAnsi" w:hAnsiTheme="majorHAnsi" w:cstheme="majorHAnsi"/>
          <w:sz w:val="20"/>
          <w:szCs w:val="20"/>
          <w:lang w:val="en-GB"/>
        </w:rPr>
      </w:pPr>
    </w:p>
    <w:p w14:paraId="1F64BFAD" w14:textId="77777777" w:rsidR="00523D94" w:rsidRDefault="00523D94" w:rsidP="00523D94">
      <w:pPr>
        <w:pStyle w:val="Paragraphedeliste"/>
        <w:numPr>
          <w:ilvl w:val="2"/>
          <w:numId w:val="32"/>
        </w:numPr>
        <w:spacing w:line="276" w:lineRule="auto"/>
        <w:rPr>
          <w:rFonts w:asciiTheme="majorHAnsi" w:hAnsiTheme="majorHAnsi" w:cstheme="majorHAnsi"/>
          <w:b/>
          <w:bCs/>
          <w:sz w:val="20"/>
          <w:szCs w:val="20"/>
          <w:lang w:val="en-GB"/>
        </w:rPr>
      </w:pPr>
      <w:r>
        <w:rPr>
          <w:rFonts w:asciiTheme="majorHAnsi" w:eastAsia="SimSun" w:hAnsiTheme="majorHAnsi" w:cstheme="majorHAnsi"/>
          <w:b/>
          <w:bCs/>
          <w:sz w:val="20"/>
          <w:szCs w:val="20"/>
          <w:lang w:val="en-GB"/>
        </w:rPr>
        <w:t xml:space="preserve">A consultation of stakeholders is needed before the lists of hazardous substances is finalized by ANSES followed by a TRIS notification before </w:t>
      </w:r>
      <w:proofErr w:type="gramStart"/>
      <w:r>
        <w:rPr>
          <w:rFonts w:asciiTheme="majorHAnsi" w:eastAsia="SimSun" w:hAnsiTheme="majorHAnsi" w:cstheme="majorHAnsi"/>
          <w:b/>
          <w:bCs/>
          <w:sz w:val="20"/>
          <w:szCs w:val="20"/>
          <w:lang w:val="en-GB"/>
        </w:rPr>
        <w:t>publication;</w:t>
      </w:r>
      <w:proofErr w:type="gramEnd"/>
    </w:p>
    <w:p w14:paraId="5CDED89D" w14:textId="1F0FD965" w:rsidR="00523D94" w:rsidRPr="00B23FB9" w:rsidRDefault="00523D94" w:rsidP="00523D94">
      <w:pPr>
        <w:pStyle w:val="Paragraphedeliste"/>
        <w:numPr>
          <w:ilvl w:val="2"/>
          <w:numId w:val="32"/>
        </w:numPr>
        <w:spacing w:line="276" w:lineRule="auto"/>
        <w:rPr>
          <w:rFonts w:asciiTheme="majorHAnsi" w:hAnsiTheme="majorHAnsi" w:cstheme="majorHAnsi"/>
          <w:sz w:val="20"/>
          <w:szCs w:val="20"/>
          <w:lang w:val="en-GB"/>
        </w:rPr>
      </w:pPr>
      <w:r>
        <w:rPr>
          <w:rFonts w:asciiTheme="majorHAnsi" w:eastAsia="SimSun" w:hAnsiTheme="majorHAnsi" w:cstheme="majorHAnsi"/>
          <w:sz w:val="20"/>
          <w:szCs w:val="20"/>
          <w:lang w:val="en-GB"/>
        </w:rPr>
        <w:t xml:space="preserve">For substances that are not subject to harmonised mandatory traceability on European territory, </w:t>
      </w:r>
      <w:r>
        <w:rPr>
          <w:rFonts w:asciiTheme="majorHAnsi" w:eastAsia="SimSun" w:hAnsiTheme="majorHAnsi" w:cstheme="majorHAnsi"/>
          <w:b/>
          <w:bCs/>
          <w:sz w:val="20"/>
          <w:szCs w:val="20"/>
          <w:lang w:val="en-GB"/>
        </w:rPr>
        <w:t>a period of 18 months is necessary from the publication of the lists of substances (and their updates)</w:t>
      </w:r>
      <w:r>
        <w:rPr>
          <w:rFonts w:asciiTheme="majorHAnsi" w:eastAsia="SimSun" w:hAnsiTheme="majorHAnsi" w:cstheme="majorHAnsi"/>
          <w:sz w:val="20"/>
          <w:szCs w:val="20"/>
          <w:lang w:val="en-GB"/>
        </w:rPr>
        <w:t xml:space="preserve">. This is a minimum period of time for companies to collect this information within their supply chains, which are often European or globalised, assuming that the communication is </w:t>
      </w:r>
      <w:proofErr w:type="gramStart"/>
      <w:r>
        <w:rPr>
          <w:rFonts w:asciiTheme="majorHAnsi" w:eastAsia="SimSun" w:hAnsiTheme="majorHAnsi" w:cstheme="majorHAnsi"/>
          <w:sz w:val="20"/>
          <w:szCs w:val="20"/>
          <w:lang w:val="en-GB"/>
        </w:rPr>
        <w:t>dematerialised;</w:t>
      </w:r>
      <w:proofErr w:type="gramEnd"/>
    </w:p>
    <w:p w14:paraId="24B701B5" w14:textId="77777777" w:rsidR="00523D94" w:rsidRDefault="00523D94" w:rsidP="00523D94">
      <w:pPr>
        <w:pStyle w:val="Paragraphedeliste"/>
        <w:numPr>
          <w:ilvl w:val="2"/>
          <w:numId w:val="32"/>
        </w:numPr>
        <w:spacing w:line="276" w:lineRule="auto"/>
        <w:rPr>
          <w:rFonts w:asciiTheme="majorHAnsi" w:hAnsiTheme="majorHAnsi" w:cstheme="majorHAnsi"/>
          <w:sz w:val="20"/>
          <w:szCs w:val="20"/>
          <w:lang w:val="en-GB"/>
        </w:rPr>
      </w:pPr>
      <w:r>
        <w:rPr>
          <w:rFonts w:asciiTheme="majorHAnsi" w:hAnsiTheme="majorHAnsi" w:cstheme="majorHAnsi"/>
          <w:sz w:val="20"/>
          <w:szCs w:val="20"/>
          <w:lang w:val="en-GB"/>
        </w:rPr>
        <w:t xml:space="preserve">In addition, </w:t>
      </w:r>
      <w:r>
        <w:rPr>
          <w:rFonts w:asciiTheme="majorHAnsi" w:hAnsiTheme="majorHAnsi" w:cstheme="majorHAnsi"/>
          <w:b/>
          <w:bCs/>
          <w:sz w:val="20"/>
          <w:szCs w:val="20"/>
          <w:lang w:val="en-GB"/>
        </w:rPr>
        <w:t>this draft decree doesn’t</w:t>
      </w:r>
      <w:r>
        <w:rPr>
          <w:rFonts w:asciiTheme="majorHAnsi" w:hAnsiTheme="majorHAnsi" w:cstheme="majorHAnsi"/>
          <w:sz w:val="20"/>
          <w:szCs w:val="20"/>
          <w:lang w:val="en-GB"/>
        </w:rPr>
        <w:t xml:space="preserve"> </w:t>
      </w:r>
      <w:r>
        <w:rPr>
          <w:rFonts w:asciiTheme="majorHAnsi" w:hAnsiTheme="majorHAnsi" w:cstheme="majorHAnsi"/>
          <w:b/>
          <w:bCs/>
          <w:sz w:val="20"/>
          <w:szCs w:val="20"/>
          <w:lang w:val="en-GB"/>
        </w:rPr>
        <w:t>mention the threshold for application of information requirements</w:t>
      </w:r>
      <w:r>
        <w:rPr>
          <w:rFonts w:asciiTheme="majorHAnsi" w:hAnsiTheme="majorHAnsi" w:cstheme="majorHAnsi"/>
          <w:sz w:val="20"/>
          <w:szCs w:val="20"/>
          <w:lang w:val="en-GB"/>
        </w:rPr>
        <w:t xml:space="preserve">. Industry asks for a harmonisation of the obligations in France with European regulations. The reference to </w:t>
      </w:r>
    </w:p>
    <w:p w14:paraId="400C0A23" w14:textId="7B8B2929" w:rsidR="00523D94" w:rsidRDefault="00523D94" w:rsidP="00523D94">
      <w:pPr>
        <w:pStyle w:val="Paragraphedeliste"/>
        <w:spacing w:line="276" w:lineRule="auto"/>
        <w:ind w:left="1069"/>
        <w:rPr>
          <w:rFonts w:asciiTheme="majorHAnsi" w:hAnsiTheme="majorHAnsi" w:cstheme="majorHAnsi"/>
          <w:sz w:val="20"/>
          <w:szCs w:val="20"/>
          <w:lang w:val="en-GB"/>
        </w:rPr>
      </w:pPr>
      <w:r>
        <w:rPr>
          <w:rFonts w:asciiTheme="majorHAnsi" w:hAnsiTheme="majorHAnsi" w:cstheme="majorHAnsi"/>
          <w:sz w:val="20"/>
          <w:szCs w:val="20"/>
          <w:lang w:val="en-GB"/>
        </w:rPr>
        <w:t>a concentration threshold is essential for regulatory compliance and legal security of the system, for the producer as well as the control agency.</w:t>
      </w:r>
    </w:p>
    <w:p w14:paraId="44EEAED4" w14:textId="77777777" w:rsidR="00523D94" w:rsidRPr="00523D94" w:rsidRDefault="00523D94" w:rsidP="005C5080">
      <w:pPr>
        <w:shd w:val="clear" w:color="auto" w:fill="FFFFFF"/>
        <w:rPr>
          <w:rFonts w:eastAsia="Times New Roman" w:cs="Arial"/>
          <w:color w:val="000000"/>
          <w:highlight w:val="yellow"/>
          <w:lang w:val="en-GB" w:eastAsia="fr-FR"/>
        </w:rPr>
      </w:pPr>
    </w:p>
    <w:p w14:paraId="2BE877DA" w14:textId="77777777" w:rsidR="00024791" w:rsidRPr="00D301A4" w:rsidRDefault="00024791" w:rsidP="00024791">
      <w:pPr>
        <w:shd w:val="clear" w:color="auto" w:fill="FFFFFF"/>
        <w:rPr>
          <w:rFonts w:eastAsia="Times New Roman" w:cs="Arial"/>
          <w:color w:val="000000"/>
          <w:lang w:val="en-US" w:eastAsia="fr-FR"/>
        </w:rPr>
      </w:pPr>
    </w:p>
    <w:p w14:paraId="104AB5B3" w14:textId="0D5355CA" w:rsidR="00024791" w:rsidRPr="00523D94" w:rsidRDefault="00024791" w:rsidP="00024791">
      <w:pPr>
        <w:shd w:val="clear" w:color="auto" w:fill="FFFFFF"/>
        <w:rPr>
          <w:rFonts w:eastAsia="Times New Roman" w:cs="Arial"/>
          <w:b/>
          <w:bCs/>
          <w:color w:val="000000"/>
          <w:lang w:val="en-US" w:eastAsia="fr-FR"/>
        </w:rPr>
      </w:pPr>
      <w:r w:rsidRPr="00523D94">
        <w:rPr>
          <w:rFonts w:eastAsia="Times New Roman" w:cs="Arial"/>
          <w:b/>
          <w:bCs/>
          <w:color w:val="000000"/>
          <w:lang w:val="en-US" w:eastAsia="fr-FR"/>
        </w:rPr>
        <w:t>3.2</w:t>
      </w:r>
      <w:r w:rsidRPr="00523D94">
        <w:rPr>
          <w:rFonts w:eastAsia="Times New Roman" w:cs="Arial"/>
          <w:b/>
          <w:bCs/>
          <w:color w:val="000000"/>
          <w:lang w:val="en-US" w:eastAsia="fr-FR"/>
        </w:rPr>
        <w:tab/>
      </w:r>
      <w:r w:rsidR="00523D94" w:rsidRPr="00D301A4">
        <w:rPr>
          <w:rFonts w:eastAsia="Times New Roman" w:cs="Arial"/>
          <w:color w:val="000000"/>
          <w:u w:val="single"/>
          <w:lang w:val="en-US" w:eastAsia="fr-FR"/>
        </w:rPr>
        <w:t>S</w:t>
      </w:r>
      <w:r w:rsidR="00523D94">
        <w:rPr>
          <w:rFonts w:eastAsia="Times New Roman" w:cs="Arial"/>
          <w:color w:val="000000"/>
          <w:u w:val="single"/>
          <w:lang w:val="en-US" w:eastAsia="fr-FR"/>
        </w:rPr>
        <w:t>pecific comments and recommendations on the draft decree on identification on t</w:t>
      </w:r>
      <w:r w:rsidR="00383B85">
        <w:rPr>
          <w:rFonts w:eastAsia="Times New Roman" w:cs="Arial"/>
          <w:color w:val="000000"/>
          <w:u w:val="single"/>
          <w:lang w:val="en-US" w:eastAsia="fr-FR"/>
        </w:rPr>
        <w:t>h</w:t>
      </w:r>
      <w:r w:rsidR="00523D94">
        <w:rPr>
          <w:rFonts w:eastAsia="Times New Roman" w:cs="Arial"/>
          <w:color w:val="000000"/>
          <w:u w:val="single"/>
          <w:lang w:val="en-US" w:eastAsia="fr-FR"/>
        </w:rPr>
        <w:t>e provision of information identifying endocrine disruptors in products</w:t>
      </w:r>
    </w:p>
    <w:p w14:paraId="26840FC2" w14:textId="77777777" w:rsidR="00523D94" w:rsidRDefault="00523D94" w:rsidP="00523D94">
      <w:pPr>
        <w:spacing w:line="276" w:lineRule="auto"/>
        <w:contextualSpacing/>
        <w:rPr>
          <w:rFonts w:asciiTheme="majorHAnsi" w:eastAsia="Calibri" w:hAnsiTheme="majorHAnsi" w:cstheme="majorHAnsi"/>
          <w:lang w:val="en-GB"/>
        </w:rPr>
      </w:pPr>
      <w:r>
        <w:rPr>
          <w:rFonts w:asciiTheme="majorHAnsi" w:eastAsia="Calibri" w:hAnsiTheme="majorHAnsi" w:cstheme="majorHAnsi"/>
          <w:lang w:val="en-GB"/>
        </w:rPr>
        <w:t xml:space="preserve">Regarding the issue of open data to the public on EDs, which includes the creation of a data base on EDs, Industry asks for: </w:t>
      </w:r>
    </w:p>
    <w:p w14:paraId="335D4132" w14:textId="77777777" w:rsidR="00523D94" w:rsidRDefault="00523D94" w:rsidP="00523D94">
      <w:pPr>
        <w:pStyle w:val="Paragraphedeliste"/>
        <w:numPr>
          <w:ilvl w:val="0"/>
          <w:numId w:val="33"/>
        </w:numPr>
        <w:spacing w:after="200" w:line="276" w:lineRule="auto"/>
        <w:rPr>
          <w:rFonts w:asciiTheme="majorHAnsi" w:eastAsia="Calibri" w:hAnsiTheme="majorHAnsi" w:cstheme="majorHAnsi"/>
          <w:b/>
          <w:bCs/>
          <w:sz w:val="20"/>
          <w:szCs w:val="20"/>
          <w:lang w:val="en-GB"/>
        </w:rPr>
      </w:pPr>
      <w:r>
        <w:rPr>
          <w:rFonts w:asciiTheme="majorHAnsi" w:hAnsiTheme="majorHAnsi" w:cstheme="majorHAnsi"/>
          <w:sz w:val="20"/>
          <w:szCs w:val="20"/>
          <w:lang w:val="en-GB"/>
        </w:rPr>
        <w:t xml:space="preserve">An evaluation of the criteria used by ANSES for the identification of EDs in 3 categories as foreseen by the law (known/presumed/suspected). </w:t>
      </w:r>
      <w:r>
        <w:rPr>
          <w:rFonts w:asciiTheme="majorHAnsi" w:hAnsiTheme="majorHAnsi" w:cstheme="majorHAnsi"/>
          <w:b/>
          <w:bCs/>
          <w:sz w:val="20"/>
          <w:szCs w:val="20"/>
          <w:lang w:val="en-GB"/>
        </w:rPr>
        <w:t xml:space="preserve">A harmonisation with the criteria defined at EU level is </w:t>
      </w:r>
      <w:proofErr w:type="gramStart"/>
      <w:r>
        <w:rPr>
          <w:rFonts w:asciiTheme="majorHAnsi" w:hAnsiTheme="majorHAnsi" w:cstheme="majorHAnsi"/>
          <w:b/>
          <w:bCs/>
          <w:sz w:val="20"/>
          <w:szCs w:val="20"/>
          <w:lang w:val="en-GB"/>
        </w:rPr>
        <w:t>essential;</w:t>
      </w:r>
      <w:proofErr w:type="gramEnd"/>
    </w:p>
    <w:p w14:paraId="1B9AEC17" w14:textId="77777777" w:rsidR="00523D94" w:rsidRDefault="00523D94" w:rsidP="00523D94">
      <w:pPr>
        <w:pStyle w:val="Paragraphedeliste"/>
        <w:numPr>
          <w:ilvl w:val="0"/>
          <w:numId w:val="33"/>
        </w:numPr>
        <w:spacing w:line="276" w:lineRule="auto"/>
        <w:rPr>
          <w:rFonts w:asciiTheme="majorHAnsi" w:hAnsiTheme="majorHAnsi" w:cstheme="majorHAnsi"/>
          <w:sz w:val="20"/>
          <w:szCs w:val="20"/>
          <w:lang w:val="en-GB"/>
        </w:rPr>
      </w:pPr>
      <w:r>
        <w:rPr>
          <w:rFonts w:asciiTheme="majorHAnsi" w:hAnsiTheme="majorHAnsi" w:cstheme="majorHAnsi"/>
          <w:sz w:val="20"/>
          <w:szCs w:val="20"/>
          <w:lang w:val="en-GB"/>
        </w:rPr>
        <w:t xml:space="preserve">A </w:t>
      </w:r>
      <w:r>
        <w:rPr>
          <w:rFonts w:asciiTheme="majorHAnsi" w:hAnsiTheme="majorHAnsi" w:cstheme="majorHAnsi"/>
          <w:b/>
          <w:bCs/>
          <w:sz w:val="20"/>
          <w:szCs w:val="20"/>
          <w:lang w:val="en-GB"/>
        </w:rPr>
        <w:t>definition of the methodology defining criteria and more transparency on the process</w:t>
      </w:r>
      <w:r>
        <w:rPr>
          <w:rFonts w:asciiTheme="majorHAnsi" w:hAnsiTheme="majorHAnsi" w:cstheme="majorHAnsi"/>
          <w:sz w:val="20"/>
          <w:szCs w:val="20"/>
          <w:lang w:val="en-GB"/>
        </w:rPr>
        <w:t xml:space="preserve"> followed for listing </w:t>
      </w:r>
      <w:proofErr w:type="gramStart"/>
      <w:r>
        <w:rPr>
          <w:rFonts w:asciiTheme="majorHAnsi" w:hAnsiTheme="majorHAnsi" w:cstheme="majorHAnsi"/>
          <w:sz w:val="20"/>
          <w:szCs w:val="20"/>
          <w:lang w:val="en-GB"/>
        </w:rPr>
        <w:t>substances;</w:t>
      </w:r>
      <w:proofErr w:type="gramEnd"/>
    </w:p>
    <w:p w14:paraId="215FE86D" w14:textId="77777777" w:rsidR="00523D94" w:rsidRDefault="00523D94" w:rsidP="00523D94">
      <w:pPr>
        <w:pStyle w:val="Paragraphedeliste"/>
        <w:numPr>
          <w:ilvl w:val="0"/>
          <w:numId w:val="33"/>
        </w:numPr>
        <w:spacing w:line="276" w:lineRule="auto"/>
        <w:rPr>
          <w:rFonts w:asciiTheme="majorHAnsi" w:hAnsiTheme="majorHAnsi" w:cstheme="majorHAnsi"/>
          <w:sz w:val="20"/>
          <w:szCs w:val="20"/>
          <w:lang w:val="en-GB"/>
        </w:rPr>
      </w:pPr>
      <w:r>
        <w:rPr>
          <w:rFonts w:asciiTheme="majorHAnsi" w:hAnsiTheme="majorHAnsi" w:cstheme="majorHAnsi"/>
          <w:b/>
          <w:bCs/>
          <w:sz w:val="20"/>
          <w:szCs w:val="20"/>
          <w:lang w:val="en-GB"/>
        </w:rPr>
        <w:t>Mentioning in the decrees the threshold for application of information requirements</w:t>
      </w:r>
      <w:r>
        <w:rPr>
          <w:rFonts w:asciiTheme="majorHAnsi" w:hAnsiTheme="majorHAnsi" w:cstheme="majorHAnsi"/>
          <w:sz w:val="20"/>
          <w:szCs w:val="20"/>
          <w:lang w:val="en-GB"/>
        </w:rPr>
        <w:t xml:space="preserve">. Industry asks for a harmonisation of the obligations in France with European regulations. The reference to a concentration threshold is essential for regulatory compliance and legal security of the system, for the producer as well as the control </w:t>
      </w:r>
      <w:proofErr w:type="gramStart"/>
      <w:r>
        <w:rPr>
          <w:rFonts w:asciiTheme="majorHAnsi" w:hAnsiTheme="majorHAnsi" w:cstheme="majorHAnsi"/>
          <w:sz w:val="20"/>
          <w:szCs w:val="20"/>
          <w:lang w:val="en-GB"/>
        </w:rPr>
        <w:t>agency;</w:t>
      </w:r>
      <w:proofErr w:type="gramEnd"/>
    </w:p>
    <w:p w14:paraId="77646EAB" w14:textId="77777777" w:rsidR="00523D94" w:rsidRDefault="00523D94" w:rsidP="00523D94">
      <w:pPr>
        <w:pStyle w:val="Paragraphedeliste"/>
        <w:numPr>
          <w:ilvl w:val="0"/>
          <w:numId w:val="33"/>
        </w:numPr>
        <w:spacing w:line="276" w:lineRule="auto"/>
        <w:rPr>
          <w:rFonts w:asciiTheme="majorHAnsi" w:hAnsiTheme="majorHAnsi" w:cstheme="majorHAnsi"/>
          <w:b/>
          <w:bCs/>
          <w:sz w:val="20"/>
          <w:szCs w:val="20"/>
          <w:lang w:val="en-GB"/>
        </w:rPr>
      </w:pPr>
      <w:r>
        <w:rPr>
          <w:rFonts w:asciiTheme="majorHAnsi" w:hAnsiTheme="majorHAnsi" w:cstheme="majorHAnsi"/>
          <w:sz w:val="20"/>
          <w:szCs w:val="20"/>
          <w:lang w:val="en-GB"/>
        </w:rPr>
        <w:t>A</w:t>
      </w:r>
      <w:r>
        <w:rPr>
          <w:rFonts w:asciiTheme="majorHAnsi" w:hAnsiTheme="majorHAnsi" w:cstheme="majorHAnsi"/>
          <w:b/>
          <w:bCs/>
          <w:sz w:val="20"/>
          <w:szCs w:val="20"/>
          <w:lang w:val="en-GB"/>
        </w:rPr>
        <w:t xml:space="preserve"> consultation of stakeholders before the lists of EDs is finalized by ANSES followed by a TRIS notification before </w:t>
      </w:r>
      <w:proofErr w:type="gramStart"/>
      <w:r>
        <w:rPr>
          <w:rFonts w:asciiTheme="majorHAnsi" w:hAnsiTheme="majorHAnsi" w:cstheme="majorHAnsi"/>
          <w:b/>
          <w:bCs/>
          <w:sz w:val="20"/>
          <w:szCs w:val="20"/>
          <w:lang w:val="en-GB"/>
        </w:rPr>
        <w:t>publication;</w:t>
      </w:r>
      <w:proofErr w:type="gramEnd"/>
    </w:p>
    <w:p w14:paraId="62F6847D" w14:textId="77777777" w:rsidR="00523D94" w:rsidRDefault="00523D94" w:rsidP="00523D94">
      <w:pPr>
        <w:pStyle w:val="Paragraphedeliste"/>
        <w:numPr>
          <w:ilvl w:val="0"/>
          <w:numId w:val="33"/>
        </w:numPr>
        <w:spacing w:line="276" w:lineRule="auto"/>
        <w:rPr>
          <w:rFonts w:asciiTheme="majorHAnsi" w:hAnsiTheme="majorHAnsi" w:cstheme="majorHAnsi"/>
          <w:sz w:val="20"/>
          <w:szCs w:val="20"/>
          <w:lang w:val="en-GB"/>
        </w:rPr>
      </w:pPr>
      <w:r>
        <w:rPr>
          <w:rFonts w:asciiTheme="majorHAnsi" w:hAnsiTheme="majorHAnsi" w:cstheme="majorHAnsi"/>
          <w:sz w:val="20"/>
          <w:szCs w:val="20"/>
          <w:lang w:val="en-GB"/>
        </w:rPr>
        <w:t xml:space="preserve">The legal provisions of this text to </w:t>
      </w:r>
      <w:r>
        <w:rPr>
          <w:rFonts w:asciiTheme="majorHAnsi" w:hAnsiTheme="majorHAnsi" w:cstheme="majorHAnsi"/>
          <w:b/>
          <w:bCs/>
          <w:sz w:val="20"/>
          <w:szCs w:val="20"/>
          <w:lang w:val="en-GB"/>
        </w:rPr>
        <w:t xml:space="preserve">specify the scope in accordance </w:t>
      </w:r>
      <w:proofErr w:type="gramStart"/>
      <w:r>
        <w:rPr>
          <w:rFonts w:asciiTheme="majorHAnsi" w:hAnsiTheme="majorHAnsi" w:cstheme="majorHAnsi"/>
          <w:b/>
          <w:bCs/>
          <w:sz w:val="20"/>
          <w:szCs w:val="20"/>
          <w:lang w:val="en-GB"/>
        </w:rPr>
        <w:t>to</w:t>
      </w:r>
      <w:proofErr w:type="gramEnd"/>
      <w:r>
        <w:rPr>
          <w:rFonts w:asciiTheme="majorHAnsi" w:hAnsiTheme="majorHAnsi" w:cstheme="majorHAnsi"/>
          <w:b/>
          <w:bCs/>
          <w:sz w:val="20"/>
          <w:szCs w:val="20"/>
          <w:lang w:val="en-GB"/>
        </w:rPr>
        <w:t xml:space="preserve"> the notice</w:t>
      </w:r>
      <w:r>
        <w:rPr>
          <w:rFonts w:asciiTheme="majorHAnsi" w:hAnsiTheme="majorHAnsi" w:cstheme="majorHAnsi"/>
          <w:sz w:val="20"/>
          <w:szCs w:val="20"/>
          <w:lang w:val="en-GB"/>
        </w:rPr>
        <w:t xml:space="preserve"> of this decree that states that these information requirements apply to consumer products only;</w:t>
      </w:r>
    </w:p>
    <w:p w14:paraId="26459EAE" w14:textId="77777777" w:rsidR="00523D94" w:rsidRDefault="00523D94" w:rsidP="00523D94">
      <w:pPr>
        <w:pStyle w:val="Paragraphedeliste"/>
        <w:numPr>
          <w:ilvl w:val="0"/>
          <w:numId w:val="33"/>
        </w:numPr>
        <w:spacing w:line="276" w:lineRule="auto"/>
        <w:rPr>
          <w:rFonts w:asciiTheme="majorHAnsi" w:hAnsiTheme="majorHAnsi" w:cstheme="majorHAnsi"/>
          <w:sz w:val="20"/>
          <w:szCs w:val="20"/>
          <w:lang w:val="en-GB"/>
        </w:rPr>
      </w:pPr>
      <w:r>
        <w:rPr>
          <w:rFonts w:asciiTheme="majorHAnsi" w:hAnsiTheme="majorHAnsi" w:cstheme="majorHAnsi"/>
          <w:sz w:val="20"/>
          <w:szCs w:val="20"/>
          <w:lang w:val="en-GB"/>
        </w:rPr>
        <w:t xml:space="preserve">According to the notice part of the decree many product categories are exempted. Art. 1 of the draft decree is only exempting medicines and foodstuffs as defined in Article 2 of Regulation (EC) No 178/2002. It seems to be a discrepancy and it should be made clear by the French government also in the Article section that the </w:t>
      </w:r>
      <w:proofErr w:type="gramStart"/>
      <w:r>
        <w:rPr>
          <w:rFonts w:asciiTheme="majorHAnsi" w:hAnsiTheme="majorHAnsi" w:cstheme="majorHAnsi"/>
          <w:sz w:val="20"/>
          <w:szCs w:val="20"/>
          <w:lang w:val="en-GB"/>
        </w:rPr>
        <w:t>above mentioned</w:t>
      </w:r>
      <w:proofErr w:type="gramEnd"/>
      <w:r>
        <w:rPr>
          <w:rFonts w:asciiTheme="majorHAnsi" w:hAnsiTheme="majorHAnsi" w:cstheme="majorHAnsi"/>
          <w:sz w:val="20"/>
          <w:szCs w:val="20"/>
          <w:lang w:val="en-GB"/>
        </w:rPr>
        <w:t xml:space="preserve"> products are exempted.</w:t>
      </w:r>
    </w:p>
    <w:p w14:paraId="2A035953" w14:textId="77777777" w:rsidR="00024791" w:rsidRPr="00523D94" w:rsidRDefault="00024791" w:rsidP="00024791">
      <w:pPr>
        <w:shd w:val="clear" w:color="auto" w:fill="FFFFFF"/>
        <w:rPr>
          <w:rFonts w:eastAsia="Times New Roman" w:cs="Arial"/>
          <w:color w:val="000000"/>
          <w:lang w:val="en-GB" w:eastAsia="fr-FR"/>
        </w:rPr>
      </w:pPr>
    </w:p>
    <w:p w14:paraId="5D8680A5" w14:textId="77777777" w:rsidR="00024791" w:rsidRPr="00D301A4" w:rsidRDefault="00024791" w:rsidP="00024791">
      <w:pPr>
        <w:rPr>
          <w:rFonts w:eastAsia="Times New Roman" w:cs="Arial"/>
          <w:color w:val="000000"/>
          <w:lang w:val="en-US" w:eastAsia="fr-FR"/>
        </w:rPr>
      </w:pPr>
    </w:p>
    <w:p w14:paraId="0C021C53" w14:textId="77777777" w:rsidR="00024791" w:rsidRPr="00D301A4" w:rsidRDefault="00024791" w:rsidP="00024791">
      <w:pPr>
        <w:shd w:val="clear" w:color="auto" w:fill="FFFFFF"/>
        <w:rPr>
          <w:rFonts w:eastAsia="Times New Roman" w:cs="Arial"/>
          <w:color w:val="000000"/>
          <w:lang w:val="en-US" w:eastAsia="fr-FR"/>
        </w:rPr>
      </w:pPr>
    </w:p>
    <w:p w14:paraId="788DA607" w14:textId="4843BB80" w:rsidR="005C5080" w:rsidRPr="00D301A4" w:rsidRDefault="005C5080" w:rsidP="005C5080">
      <w:pPr>
        <w:shd w:val="clear" w:color="auto" w:fill="FFFFFF"/>
        <w:rPr>
          <w:rFonts w:eastAsia="Times New Roman" w:cs="Arial"/>
          <w:b/>
          <w:bCs/>
          <w:color w:val="000000"/>
          <w:lang w:val="en-US" w:eastAsia="fr-FR"/>
        </w:rPr>
      </w:pPr>
      <w:r w:rsidRPr="00D301A4">
        <w:rPr>
          <w:rFonts w:eastAsia="Times New Roman" w:cs="Arial"/>
          <w:b/>
          <w:bCs/>
          <w:color w:val="000000"/>
          <w:lang w:val="en-US" w:eastAsia="fr-FR"/>
        </w:rPr>
        <w:t>4.</w:t>
      </w:r>
      <w:r w:rsidRPr="00D301A4">
        <w:rPr>
          <w:rFonts w:eastAsia="Times New Roman" w:cs="Arial"/>
          <w:b/>
          <w:bCs/>
          <w:color w:val="000000"/>
          <w:lang w:val="en-US" w:eastAsia="fr-FR"/>
        </w:rPr>
        <w:tab/>
      </w:r>
      <w:r w:rsidR="00523D94">
        <w:rPr>
          <w:rFonts w:eastAsia="Times New Roman" w:cs="Arial"/>
          <w:b/>
          <w:bCs/>
          <w:color w:val="000000"/>
          <w:u w:val="single"/>
          <w:lang w:val="en-US" w:eastAsia="fr-FR"/>
        </w:rPr>
        <w:t>Particularity of medical devices</w:t>
      </w:r>
    </w:p>
    <w:p w14:paraId="5440E80A" w14:textId="77777777" w:rsidR="005C5080" w:rsidRPr="00175A81" w:rsidRDefault="005C5080" w:rsidP="005C5080">
      <w:pPr>
        <w:rPr>
          <w:rFonts w:cs="Arial"/>
          <w:lang w:val="en-US"/>
        </w:rPr>
      </w:pPr>
    </w:p>
    <w:p w14:paraId="4A7F07C7" w14:textId="77777777" w:rsidR="00383B85" w:rsidRPr="00523D94" w:rsidRDefault="005C5080" w:rsidP="00383B85">
      <w:pPr>
        <w:shd w:val="clear" w:color="auto" w:fill="FFFFFF"/>
        <w:rPr>
          <w:rFonts w:eastAsia="Times New Roman" w:cs="Arial"/>
          <w:b/>
          <w:bCs/>
          <w:color w:val="000000"/>
          <w:lang w:val="en-US" w:eastAsia="fr-FR"/>
        </w:rPr>
      </w:pPr>
      <w:r w:rsidRPr="00D301A4">
        <w:rPr>
          <w:rFonts w:cs="Arial"/>
          <w:b/>
          <w:bCs/>
          <w:lang w:val="en-US"/>
        </w:rPr>
        <w:t>4.</w:t>
      </w:r>
      <w:r w:rsidR="00523D94">
        <w:rPr>
          <w:rFonts w:cs="Arial"/>
          <w:b/>
          <w:bCs/>
          <w:lang w:val="en-US"/>
        </w:rPr>
        <w:t>1</w:t>
      </w:r>
      <w:r w:rsidRPr="00D301A4">
        <w:rPr>
          <w:rFonts w:cs="Arial"/>
          <w:lang w:val="en-US"/>
        </w:rPr>
        <w:tab/>
      </w:r>
      <w:r w:rsidRPr="00E47D2E">
        <w:rPr>
          <w:rFonts w:cs="Arial"/>
          <w:u w:val="single"/>
          <w:lang w:val="en-US"/>
        </w:rPr>
        <w:t>The rationale of Regulation (EU) 2017/745 on medical devices supersedes the terms of the Draft Decre</w:t>
      </w:r>
      <w:r w:rsidRPr="00383B85">
        <w:rPr>
          <w:rFonts w:cs="Arial"/>
          <w:u w:val="single"/>
          <w:lang w:val="en-US"/>
        </w:rPr>
        <w:t>e</w:t>
      </w:r>
      <w:r w:rsidR="00383B85">
        <w:rPr>
          <w:rFonts w:cs="Arial"/>
          <w:u w:val="single"/>
          <w:lang w:val="en-US"/>
        </w:rPr>
        <w:t xml:space="preserve"> </w:t>
      </w:r>
      <w:r w:rsidR="00383B85">
        <w:rPr>
          <w:rFonts w:eastAsia="Times New Roman" w:cs="Arial"/>
          <w:color w:val="000000"/>
          <w:u w:val="single"/>
          <w:lang w:val="en-US" w:eastAsia="fr-FR"/>
        </w:rPr>
        <w:t>on the provision of information identifying endocrine disruptors in products</w:t>
      </w:r>
    </w:p>
    <w:p w14:paraId="5912ADD5" w14:textId="065A4705" w:rsidR="005C5080" w:rsidRPr="00D301A4" w:rsidRDefault="005C5080" w:rsidP="005C5080">
      <w:pPr>
        <w:shd w:val="clear" w:color="auto" w:fill="FFFFFF"/>
        <w:ind w:left="708" w:hanging="708"/>
        <w:rPr>
          <w:rFonts w:cs="Arial"/>
          <w:lang w:val="en-US"/>
        </w:rPr>
      </w:pPr>
    </w:p>
    <w:p w14:paraId="049B9C6D" w14:textId="649F0FE6" w:rsidR="005C5080" w:rsidRPr="00383B85" w:rsidRDefault="005C5080" w:rsidP="005C5080">
      <w:pPr>
        <w:shd w:val="clear" w:color="auto" w:fill="FFFFFF"/>
        <w:rPr>
          <w:rFonts w:cs="Arial"/>
          <w:color w:val="444444"/>
          <w:shd w:val="clear" w:color="auto" w:fill="FFFFFF"/>
          <w:lang w:val="en-US"/>
        </w:rPr>
      </w:pPr>
      <w:r w:rsidRPr="00D301A4">
        <w:rPr>
          <w:rFonts w:cs="Arial"/>
          <w:lang w:val="en-US"/>
        </w:rPr>
        <w:t xml:space="preserve">The SNITEM considers that the rationale of </w:t>
      </w:r>
      <w:hyperlink r:id="rId12" w:history="1">
        <w:r w:rsidRPr="00D301A4">
          <w:rPr>
            <w:rStyle w:val="Lienhypertexte"/>
            <w:rFonts w:cs="Arial"/>
            <w:lang w:val="en-US"/>
          </w:rPr>
          <w:t xml:space="preserve">Regulation </w:t>
        </w:r>
        <w:r w:rsidRPr="00D301A4">
          <w:rPr>
            <w:rStyle w:val="Lienhypertexte"/>
            <w:rFonts w:cs="Arial"/>
            <w:shd w:val="clear" w:color="auto" w:fill="FFFFFF"/>
            <w:lang w:val="en-US"/>
          </w:rPr>
          <w:t>(EU) 2017/745 of the European Parliament and of the Council of 5 April 2017 on medical devices</w:t>
        </w:r>
      </w:hyperlink>
      <w:r w:rsidRPr="00D301A4">
        <w:rPr>
          <w:rFonts w:cs="Arial"/>
          <w:color w:val="444444"/>
          <w:shd w:val="clear" w:color="auto" w:fill="FFFFFF"/>
          <w:lang w:val="en-US"/>
        </w:rPr>
        <w:t xml:space="preserve"> (</w:t>
      </w:r>
      <w:r w:rsidRPr="00D301A4">
        <w:rPr>
          <w:rFonts w:cs="Arial"/>
          <w:b/>
          <w:bCs/>
          <w:color w:val="444444"/>
          <w:shd w:val="clear" w:color="auto" w:fill="FFFFFF"/>
          <w:lang w:val="en-US"/>
        </w:rPr>
        <w:t>Regulation</w:t>
      </w:r>
      <w:r w:rsidRPr="00D301A4">
        <w:rPr>
          <w:rFonts w:cs="Arial"/>
          <w:color w:val="444444"/>
          <w:shd w:val="clear" w:color="auto" w:fill="FFFFFF"/>
          <w:lang w:val="en-US"/>
        </w:rPr>
        <w:t>) supersedes that of the 2020 Law and Draft Decree</w:t>
      </w:r>
      <w:r w:rsidR="00383B85">
        <w:rPr>
          <w:rFonts w:cs="Arial"/>
          <w:color w:val="444444"/>
          <w:shd w:val="clear" w:color="auto" w:fill="FFFFFF"/>
          <w:lang w:val="en-US"/>
        </w:rPr>
        <w:t xml:space="preserve"> </w:t>
      </w:r>
      <w:r w:rsidR="00383B85" w:rsidRPr="00383B85">
        <w:rPr>
          <w:rFonts w:eastAsia="Times New Roman" w:cs="Arial"/>
          <w:color w:val="000000"/>
          <w:lang w:val="en-US" w:eastAsia="fr-FR"/>
        </w:rPr>
        <w:t>on the provision of information identifying endocrine disruptors in products</w:t>
      </w:r>
      <w:r w:rsidRPr="00383B85">
        <w:rPr>
          <w:rFonts w:cs="Arial"/>
          <w:color w:val="444444"/>
          <w:shd w:val="clear" w:color="auto" w:fill="FFFFFF"/>
          <w:lang w:val="en-US"/>
        </w:rPr>
        <w:t>.</w:t>
      </w:r>
    </w:p>
    <w:p w14:paraId="60CCA171" w14:textId="77777777" w:rsidR="005C5080" w:rsidRPr="00D301A4" w:rsidRDefault="005C5080" w:rsidP="005C5080">
      <w:pPr>
        <w:shd w:val="clear" w:color="auto" w:fill="FFFFFF"/>
        <w:rPr>
          <w:rFonts w:cs="Arial"/>
          <w:color w:val="444444"/>
          <w:shd w:val="clear" w:color="auto" w:fill="FFFFFF"/>
          <w:lang w:val="en-US"/>
        </w:rPr>
      </w:pPr>
    </w:p>
    <w:p w14:paraId="255A4D76" w14:textId="77777777" w:rsidR="005C5080" w:rsidRPr="00D301A4" w:rsidRDefault="005C5080" w:rsidP="005C5080">
      <w:pPr>
        <w:shd w:val="clear" w:color="auto" w:fill="FFFFFF"/>
        <w:rPr>
          <w:rFonts w:cs="Arial"/>
          <w:color w:val="444444"/>
          <w:shd w:val="clear" w:color="auto" w:fill="FFFFFF"/>
          <w:lang w:val="en-US"/>
        </w:rPr>
      </w:pPr>
      <w:r w:rsidRPr="00D301A4">
        <w:rPr>
          <w:rFonts w:cs="Arial"/>
          <w:color w:val="444444"/>
          <w:shd w:val="clear" w:color="auto" w:fill="FFFFFF"/>
          <w:lang w:val="en-US"/>
        </w:rPr>
        <w:t xml:space="preserve">Its position is predicated on the following arguments. </w:t>
      </w:r>
    </w:p>
    <w:p w14:paraId="145A6071" w14:textId="77777777" w:rsidR="005C5080" w:rsidRPr="00D301A4" w:rsidRDefault="005C5080" w:rsidP="005C5080">
      <w:pPr>
        <w:shd w:val="clear" w:color="auto" w:fill="FFFFFF"/>
        <w:rPr>
          <w:rFonts w:cs="Arial"/>
          <w:color w:val="444444"/>
          <w:shd w:val="clear" w:color="auto" w:fill="FFFFFF"/>
          <w:lang w:val="en-US"/>
        </w:rPr>
      </w:pPr>
    </w:p>
    <w:p w14:paraId="6E3DFEAA" w14:textId="77777777" w:rsidR="00B23FB9" w:rsidRDefault="00B23FB9" w:rsidP="005C5080">
      <w:pPr>
        <w:shd w:val="clear" w:color="auto" w:fill="FFFFFF"/>
        <w:rPr>
          <w:rFonts w:cs="Arial"/>
          <w:color w:val="444444"/>
          <w:shd w:val="clear" w:color="auto" w:fill="FFFFFF"/>
          <w:lang w:val="en-US"/>
        </w:rPr>
      </w:pPr>
    </w:p>
    <w:p w14:paraId="01F561E5" w14:textId="77777777" w:rsidR="00B23FB9" w:rsidRDefault="00B23FB9" w:rsidP="005C5080">
      <w:pPr>
        <w:shd w:val="clear" w:color="auto" w:fill="FFFFFF"/>
        <w:rPr>
          <w:rFonts w:cs="Arial"/>
          <w:color w:val="444444"/>
          <w:shd w:val="clear" w:color="auto" w:fill="FFFFFF"/>
          <w:lang w:val="en-US"/>
        </w:rPr>
      </w:pPr>
    </w:p>
    <w:p w14:paraId="08AE5C90" w14:textId="77777777" w:rsidR="00B23FB9" w:rsidRDefault="00B23FB9" w:rsidP="005C5080">
      <w:pPr>
        <w:shd w:val="clear" w:color="auto" w:fill="FFFFFF"/>
        <w:rPr>
          <w:rFonts w:cs="Arial"/>
          <w:color w:val="444444"/>
          <w:shd w:val="clear" w:color="auto" w:fill="FFFFFF"/>
          <w:lang w:val="en-US"/>
        </w:rPr>
      </w:pPr>
    </w:p>
    <w:p w14:paraId="6A3287D8" w14:textId="3DB94C3C" w:rsidR="005C5080" w:rsidRPr="00D301A4" w:rsidRDefault="005C5080" w:rsidP="005C5080">
      <w:pPr>
        <w:shd w:val="clear" w:color="auto" w:fill="FFFFFF"/>
        <w:rPr>
          <w:rFonts w:cs="Arial"/>
          <w:color w:val="000000"/>
          <w:shd w:val="clear" w:color="auto" w:fill="FFFFFF"/>
          <w:lang w:val="en-US"/>
        </w:rPr>
      </w:pPr>
      <w:r w:rsidRPr="00D301A4">
        <w:rPr>
          <w:rFonts w:cs="Arial"/>
          <w:color w:val="444444"/>
          <w:shd w:val="clear" w:color="auto" w:fill="FFFFFF"/>
          <w:lang w:val="en-US"/>
        </w:rPr>
        <w:t xml:space="preserve">As per its Recital n°1, </w:t>
      </w:r>
      <w:r w:rsidRPr="00D301A4">
        <w:rPr>
          <w:rFonts w:cs="Arial"/>
          <w:i/>
          <w:iCs/>
          <w:color w:val="444444"/>
          <w:shd w:val="clear" w:color="auto" w:fill="FFFFFF"/>
          <w:lang w:val="en-US"/>
        </w:rPr>
        <w:t xml:space="preserve">“this </w:t>
      </w:r>
      <w:r w:rsidRPr="00D301A4">
        <w:rPr>
          <w:rFonts w:cs="Arial"/>
          <w:i/>
          <w:iCs/>
          <w:color w:val="000000"/>
          <w:shd w:val="clear" w:color="auto" w:fill="FFFFFF"/>
          <w:lang w:val="en-US"/>
        </w:rPr>
        <w:t>Regulation lays down rules concerning the placing on the market, making available on the market or putting into service of medical devices for human use and accessories for such devices in the Union.”</w:t>
      </w:r>
      <w:r w:rsidRPr="00D301A4">
        <w:rPr>
          <w:rFonts w:cs="Arial"/>
          <w:color w:val="000000"/>
          <w:shd w:val="clear" w:color="auto" w:fill="FFFFFF"/>
          <w:lang w:val="en-US"/>
        </w:rPr>
        <w:t xml:space="preserve"> </w:t>
      </w:r>
    </w:p>
    <w:p w14:paraId="2F925D89" w14:textId="77777777" w:rsidR="005C5080" w:rsidRPr="00D301A4" w:rsidRDefault="005C5080" w:rsidP="005C5080">
      <w:pPr>
        <w:shd w:val="clear" w:color="auto" w:fill="FFFFFF"/>
        <w:rPr>
          <w:rFonts w:cs="Arial"/>
          <w:color w:val="000000"/>
          <w:shd w:val="clear" w:color="auto" w:fill="FFFFFF"/>
          <w:lang w:val="en-US"/>
        </w:rPr>
      </w:pPr>
    </w:p>
    <w:p w14:paraId="1D1B121C" w14:textId="77777777" w:rsidR="005C5080" w:rsidRPr="00141F57" w:rsidRDefault="005C5080" w:rsidP="005C5080">
      <w:pPr>
        <w:shd w:val="clear" w:color="auto" w:fill="FFFFFF"/>
        <w:rPr>
          <w:rFonts w:cs="Arial"/>
          <w:color w:val="444444"/>
          <w:shd w:val="clear" w:color="auto" w:fill="FFFFFF"/>
          <w:lang w:val="en-US"/>
        </w:rPr>
      </w:pPr>
      <w:r w:rsidRPr="00141F57">
        <w:rPr>
          <w:rFonts w:cs="Arial"/>
          <w:color w:val="444444"/>
          <w:shd w:val="clear" w:color="auto" w:fill="FFFFFF"/>
          <w:lang w:val="en-US"/>
        </w:rPr>
        <w:t xml:space="preserve">The adequate labeling and accompanying information of MDs at the time of their placing on the market therefore forms part of the obligations imposed upon by the Regulation and are verified by notified bodies during the certification process prior to placing the MD on the market. This obligation is complemented by strict rules for manufacturers to comply with whether the information in question appears on the MD itself, label / packaging, or in the IFU (See id., Annex I, Section 23). </w:t>
      </w:r>
    </w:p>
    <w:p w14:paraId="32927EA2" w14:textId="77777777" w:rsidR="005C5080" w:rsidRDefault="005C5080" w:rsidP="005C5080">
      <w:pPr>
        <w:pStyle w:val="Default"/>
        <w:ind w:left="708" w:hanging="708"/>
        <w:jc w:val="both"/>
        <w:rPr>
          <w:lang w:val="en-US"/>
        </w:rPr>
      </w:pPr>
    </w:p>
    <w:p w14:paraId="59187E57" w14:textId="77777777" w:rsidR="005C5080" w:rsidRPr="00D301A4" w:rsidRDefault="005C5080" w:rsidP="005C5080">
      <w:pPr>
        <w:shd w:val="clear" w:color="auto" w:fill="FFFFFF"/>
        <w:rPr>
          <w:rFonts w:eastAsia="Times New Roman" w:cs="Arial"/>
          <w:color w:val="000000"/>
          <w:lang w:val="en-US" w:eastAsia="fr-FR"/>
        </w:rPr>
      </w:pPr>
      <w:r w:rsidRPr="00D301A4">
        <w:rPr>
          <w:rFonts w:eastAsia="Times New Roman" w:cs="Arial"/>
          <w:color w:val="000000"/>
          <w:lang w:val="en-US" w:eastAsia="fr-FR"/>
        </w:rPr>
        <w:t xml:space="preserve">In this respect, Section 23.1 of Annex I provides that </w:t>
      </w:r>
      <w:r w:rsidRPr="00D301A4">
        <w:rPr>
          <w:rFonts w:eastAsia="Times New Roman" w:cs="Arial"/>
          <w:i/>
          <w:iCs/>
          <w:color w:val="000000"/>
          <w:lang w:val="en-US" w:eastAsia="fr-FR"/>
        </w:rPr>
        <w:t xml:space="preserve">“Each device shall be </w:t>
      </w:r>
      <w:r w:rsidRPr="00D301A4">
        <w:rPr>
          <w:rFonts w:eastAsia="Times New Roman" w:cs="Arial"/>
          <w:i/>
          <w:iCs/>
          <w:color w:val="000000"/>
          <w:u w:val="single"/>
          <w:lang w:val="en-US" w:eastAsia="fr-FR"/>
        </w:rPr>
        <w:t>accompanied</w:t>
      </w:r>
      <w:r w:rsidRPr="00D301A4">
        <w:rPr>
          <w:rFonts w:eastAsia="Times New Roman" w:cs="Arial"/>
          <w:i/>
          <w:iCs/>
          <w:color w:val="000000"/>
          <w:lang w:val="en-US" w:eastAsia="fr-FR"/>
        </w:rPr>
        <w:t xml:space="preserve"> by the information needed to identify the device and its manufacturer, and by any safety and performance information relevant to the user, or any other person, as appropriate. Such information may appear </w:t>
      </w:r>
      <w:r w:rsidRPr="00D301A4">
        <w:rPr>
          <w:rFonts w:eastAsia="Times New Roman" w:cs="Arial"/>
          <w:i/>
          <w:iCs/>
          <w:color w:val="000000"/>
          <w:u w:val="single"/>
          <w:lang w:val="en-US" w:eastAsia="fr-FR"/>
        </w:rPr>
        <w:t>on the device itself</w:t>
      </w:r>
      <w:r w:rsidRPr="00D301A4">
        <w:rPr>
          <w:rFonts w:eastAsia="Times New Roman" w:cs="Arial"/>
          <w:i/>
          <w:iCs/>
          <w:color w:val="000000"/>
          <w:lang w:val="en-US" w:eastAsia="fr-FR"/>
        </w:rPr>
        <w:t xml:space="preserve">, on the </w:t>
      </w:r>
      <w:r w:rsidRPr="00D301A4">
        <w:rPr>
          <w:rFonts w:eastAsia="Times New Roman" w:cs="Arial"/>
          <w:i/>
          <w:iCs/>
          <w:color w:val="000000"/>
          <w:u w:val="single"/>
          <w:lang w:val="en-US" w:eastAsia="fr-FR"/>
        </w:rPr>
        <w:t>packaging</w:t>
      </w:r>
      <w:r w:rsidRPr="00D301A4">
        <w:rPr>
          <w:rFonts w:eastAsia="Times New Roman" w:cs="Arial"/>
          <w:i/>
          <w:iCs/>
          <w:color w:val="000000"/>
          <w:lang w:val="en-US" w:eastAsia="fr-FR"/>
        </w:rPr>
        <w:t xml:space="preserve"> or in </w:t>
      </w:r>
      <w:r w:rsidRPr="00D301A4">
        <w:rPr>
          <w:rFonts w:eastAsia="Times New Roman" w:cs="Arial"/>
          <w:i/>
          <w:iCs/>
          <w:color w:val="000000"/>
          <w:u w:val="single"/>
          <w:lang w:val="en-US" w:eastAsia="fr-FR"/>
        </w:rPr>
        <w:t>the instructions for use</w:t>
      </w:r>
      <w:r w:rsidRPr="00D301A4">
        <w:rPr>
          <w:rFonts w:eastAsia="Times New Roman" w:cs="Arial"/>
          <w:i/>
          <w:iCs/>
          <w:color w:val="000000"/>
          <w:lang w:val="en-US" w:eastAsia="fr-FR"/>
        </w:rPr>
        <w:t xml:space="preserve">, and shall, if the manufacturer has a website, be made available and kept up to date on the website, taking into account the following: (a)  the medium, format, content, legibility, and location of the label and instructions for use shall be appropriate to the particular device, its intended purpose and the technical knowledge, experience, education or training of the intended user(s). </w:t>
      </w:r>
      <w:proofErr w:type="gramStart"/>
      <w:r w:rsidRPr="00D301A4">
        <w:rPr>
          <w:rFonts w:eastAsia="Times New Roman" w:cs="Arial"/>
          <w:i/>
          <w:iCs/>
          <w:color w:val="000000"/>
          <w:lang w:val="en-US" w:eastAsia="fr-FR"/>
        </w:rPr>
        <w:t>In particular, instructions</w:t>
      </w:r>
      <w:proofErr w:type="gramEnd"/>
      <w:r w:rsidRPr="00D301A4">
        <w:rPr>
          <w:rFonts w:eastAsia="Times New Roman" w:cs="Arial"/>
          <w:i/>
          <w:iCs/>
          <w:color w:val="000000"/>
          <w:lang w:val="en-US" w:eastAsia="fr-FR"/>
        </w:rPr>
        <w:t xml:space="preserve"> for use shall be written in terms readily understood by the intended user and, where appropriate, supplemented with drawings and diagrams.”</w:t>
      </w:r>
      <w:r w:rsidRPr="00D301A4">
        <w:rPr>
          <w:rFonts w:eastAsia="Times New Roman" w:cs="Arial"/>
          <w:color w:val="000000"/>
          <w:lang w:val="en-US" w:eastAsia="fr-FR"/>
        </w:rPr>
        <w:t xml:space="preserve"> (Emphasis added)</w:t>
      </w:r>
    </w:p>
    <w:p w14:paraId="1BB3C266" w14:textId="77777777" w:rsidR="005C5080" w:rsidRDefault="005C5080" w:rsidP="005C5080">
      <w:pPr>
        <w:pStyle w:val="Default"/>
        <w:ind w:left="708" w:hanging="708"/>
        <w:jc w:val="both"/>
        <w:rPr>
          <w:lang w:val="en-US"/>
        </w:rPr>
      </w:pPr>
    </w:p>
    <w:p w14:paraId="5A358105" w14:textId="787CE971" w:rsidR="005C5080" w:rsidRPr="00383B85" w:rsidRDefault="005C5080" w:rsidP="00383B85">
      <w:pPr>
        <w:shd w:val="clear" w:color="auto" w:fill="FFFFFF"/>
        <w:rPr>
          <w:rFonts w:cs="Arial"/>
          <w:color w:val="444444"/>
          <w:shd w:val="clear" w:color="auto" w:fill="FFFFFF"/>
          <w:lang w:val="en-US"/>
        </w:rPr>
      </w:pPr>
      <w:r w:rsidRPr="00383B85">
        <w:rPr>
          <w:rFonts w:cs="Arial"/>
          <w:color w:val="444444"/>
          <w:shd w:val="clear" w:color="auto" w:fill="FFFFFF"/>
          <w:lang w:val="en-US"/>
        </w:rPr>
        <w:t xml:space="preserve">While the Medical Devices Directive 93/42/EC had already adopted a risk-based approach to the presence of hazardous substances, focusing on reducing the potential health impact of these substances during the design and manufacture of the device and information to the patient </w:t>
      </w:r>
      <w:r w:rsidR="00383B85" w:rsidRPr="00383B85">
        <w:rPr>
          <w:rFonts w:cs="Arial"/>
          <w:color w:val="444444"/>
          <w:shd w:val="clear" w:color="auto" w:fill="FFFFFF"/>
          <w:lang w:val="en-US"/>
        </w:rPr>
        <w:t>trough</w:t>
      </w:r>
      <w:r w:rsidRPr="00383B85">
        <w:rPr>
          <w:rFonts w:cs="Arial"/>
          <w:color w:val="444444"/>
          <w:shd w:val="clear" w:color="auto" w:fill="FFFFFF"/>
          <w:lang w:val="en-US"/>
        </w:rPr>
        <w:t xml:space="preserve"> labeling requirements ; 2017/745 Regulation considerably strengthened requirements for substances in medical devices. With the entry into application of the Medical Device Regulation (EU) 2017/745 on May 26, 2021, the use of CMR 1A/1B and/or endocrine disrupting substance(s) present in medical device that:</w:t>
      </w:r>
    </w:p>
    <w:p w14:paraId="51A37EF9" w14:textId="77777777" w:rsidR="005C5080" w:rsidRPr="00383B85" w:rsidRDefault="005C5080" w:rsidP="00383B85">
      <w:pPr>
        <w:shd w:val="clear" w:color="auto" w:fill="FFFFFF"/>
        <w:rPr>
          <w:rFonts w:cs="Arial"/>
          <w:color w:val="444444"/>
          <w:shd w:val="clear" w:color="auto" w:fill="FFFFFF"/>
          <w:lang w:val="en-US"/>
        </w:rPr>
      </w:pPr>
      <w:r w:rsidRPr="00383B85">
        <w:rPr>
          <w:rFonts w:cs="Arial"/>
          <w:color w:val="444444"/>
          <w:shd w:val="clear" w:color="auto" w:fill="FFFFFF"/>
          <w:lang w:val="en-US"/>
        </w:rPr>
        <w:t xml:space="preserve">are invasive and come into direct contact with the human body, </w:t>
      </w:r>
    </w:p>
    <w:p w14:paraId="084AEE5A" w14:textId="77777777" w:rsidR="005C5080" w:rsidRPr="00383B85" w:rsidRDefault="005C5080" w:rsidP="00383B85">
      <w:pPr>
        <w:shd w:val="clear" w:color="auto" w:fill="FFFFFF"/>
        <w:rPr>
          <w:rFonts w:cs="Arial"/>
          <w:color w:val="444444"/>
          <w:shd w:val="clear" w:color="auto" w:fill="FFFFFF"/>
          <w:lang w:val="en-US"/>
        </w:rPr>
      </w:pPr>
      <w:r w:rsidRPr="00383B85">
        <w:rPr>
          <w:rFonts w:cs="Arial"/>
          <w:color w:val="444444"/>
          <w:shd w:val="clear" w:color="auto" w:fill="FFFFFF"/>
          <w:lang w:val="en-US"/>
        </w:rPr>
        <w:t xml:space="preserve">(re)administer medicines, body liquids or other substances, including gases, to/from the body, or </w:t>
      </w:r>
    </w:p>
    <w:p w14:paraId="3DA6A8A5" w14:textId="77777777" w:rsidR="005C5080" w:rsidRPr="00383B85" w:rsidRDefault="005C5080" w:rsidP="00383B85">
      <w:pPr>
        <w:shd w:val="clear" w:color="auto" w:fill="FFFFFF"/>
        <w:rPr>
          <w:rFonts w:cs="Arial"/>
          <w:color w:val="444444"/>
          <w:shd w:val="clear" w:color="auto" w:fill="FFFFFF"/>
          <w:lang w:val="en-US"/>
        </w:rPr>
      </w:pPr>
      <w:r w:rsidRPr="00383B85">
        <w:rPr>
          <w:rFonts w:cs="Arial"/>
          <w:color w:val="444444"/>
          <w:shd w:val="clear" w:color="auto" w:fill="FFFFFF"/>
          <w:lang w:val="en-US"/>
        </w:rPr>
        <w:t>transport or store such medicines, body fluids or substances, including gases, to be (re)administered to the body,</w:t>
      </w:r>
    </w:p>
    <w:p w14:paraId="3DA09364" w14:textId="77777777" w:rsidR="005C5080" w:rsidRPr="00383B85" w:rsidRDefault="005C5080" w:rsidP="00383B85">
      <w:pPr>
        <w:shd w:val="clear" w:color="auto" w:fill="FFFFFF"/>
        <w:rPr>
          <w:rFonts w:cs="Arial"/>
          <w:color w:val="444444"/>
          <w:shd w:val="clear" w:color="auto" w:fill="FFFFFF"/>
          <w:lang w:val="en-US"/>
        </w:rPr>
      </w:pPr>
      <w:r w:rsidRPr="00383B85">
        <w:rPr>
          <w:rFonts w:cs="Arial"/>
          <w:color w:val="444444"/>
          <w:shd w:val="clear" w:color="auto" w:fill="FFFFFF"/>
          <w:lang w:val="en-US"/>
        </w:rPr>
        <w:t xml:space="preserve">will have to be justified through a benefit/ risk assessment as defined by the Scientific Committee on Health, Environmental and Emerging Risks in the guideline published by the European commission and possible only when no other alternatives are possible. The justification will be part of the technical documentation of the device which is assessed by an independent notified body in the certification process prior to deliver the CE mark. </w:t>
      </w:r>
    </w:p>
    <w:p w14:paraId="544327D0" w14:textId="5063499B" w:rsidR="005C5080" w:rsidRPr="00383B85" w:rsidRDefault="005C5080" w:rsidP="00383B85">
      <w:pPr>
        <w:shd w:val="clear" w:color="auto" w:fill="FFFFFF"/>
        <w:rPr>
          <w:rFonts w:cs="Arial"/>
          <w:color w:val="444444"/>
          <w:shd w:val="clear" w:color="auto" w:fill="FFFFFF"/>
          <w:lang w:val="en-US"/>
        </w:rPr>
      </w:pPr>
      <w:r w:rsidRPr="00383B85">
        <w:rPr>
          <w:rFonts w:cs="Arial"/>
          <w:color w:val="444444"/>
          <w:shd w:val="clear" w:color="auto" w:fill="FFFFFF"/>
          <w:lang w:val="en-US"/>
        </w:rPr>
        <w:t xml:space="preserve"> When the justification conclude</w:t>
      </w:r>
      <w:r w:rsidR="00383B85" w:rsidRPr="00383B85">
        <w:rPr>
          <w:rFonts w:cs="Arial"/>
          <w:color w:val="444444"/>
          <w:shd w:val="clear" w:color="auto" w:fill="FFFFFF"/>
          <w:lang w:val="en-US"/>
        </w:rPr>
        <w:t>s</w:t>
      </w:r>
      <w:r w:rsidRPr="00383B85">
        <w:rPr>
          <w:rFonts w:cs="Arial"/>
          <w:color w:val="444444"/>
          <w:shd w:val="clear" w:color="auto" w:fill="FFFFFF"/>
          <w:lang w:val="en-US"/>
        </w:rPr>
        <w:t xml:space="preserve"> in favor of the inclusion of the substance in the device, strict information requirements will then apply to the device as specified in section 10.4.5 of Annex I of the regulation. “Where devices, parts thereof or materials used therein [contains CMR 1A/1B and/or endocrine disrupting substance(s) ] in a concentration above 0,1 % weight by weight (w/w), the presence of those substances shall be labelled on the device itself and/or on the packaging for each unit or, where appropriate, on the sales packaging, with the list of such substances. If the intended use of such devices includes treatment of children or treatment of pregnant or breastfeeding women or treatment of other patient groups considered particularly vulnerable to such substances and/or materials, information on residual risks for those patient groups and, if applicable, on appropriate precautionary measures shall be given in the instructions for use. “ </w:t>
      </w:r>
    </w:p>
    <w:p w14:paraId="2F5B3127" w14:textId="77777777" w:rsidR="005C5080" w:rsidRPr="00523D94" w:rsidRDefault="005C5080" w:rsidP="005C5080">
      <w:pPr>
        <w:spacing w:line="320" w:lineRule="exact"/>
        <w:ind w:left="720"/>
        <w:rPr>
          <w:rFonts w:cstheme="minorHAnsi"/>
          <w:highlight w:val="yellow"/>
          <w:lang w:val="en-US"/>
        </w:rPr>
      </w:pPr>
    </w:p>
    <w:p w14:paraId="0726C05A" w14:textId="66D90509" w:rsidR="005C5080" w:rsidRPr="00383B85" w:rsidRDefault="005C5080" w:rsidP="00383B85">
      <w:pPr>
        <w:shd w:val="clear" w:color="auto" w:fill="FFFFFF"/>
        <w:rPr>
          <w:rFonts w:cs="Arial"/>
          <w:color w:val="444444"/>
          <w:shd w:val="clear" w:color="auto" w:fill="FFFFFF"/>
          <w:lang w:val="en-US"/>
        </w:rPr>
      </w:pPr>
      <w:r w:rsidRPr="00383B85">
        <w:rPr>
          <w:rFonts w:cs="Arial"/>
          <w:color w:val="444444"/>
          <w:shd w:val="clear" w:color="auto" w:fill="FFFFFF"/>
          <w:lang w:val="en-US"/>
        </w:rPr>
        <w:t>As far as MDs are concerned, the SNITEM considers that information requirements intended by Article 13</w:t>
      </w:r>
      <w:r w:rsidR="00383B85" w:rsidRPr="00383B85">
        <w:rPr>
          <w:rFonts w:cs="Arial"/>
          <w:color w:val="444444"/>
          <w:shd w:val="clear" w:color="auto" w:fill="FFFFFF"/>
          <w:lang w:val="en-US"/>
        </w:rPr>
        <w:t>-</w:t>
      </w:r>
      <w:r w:rsidRPr="00383B85">
        <w:rPr>
          <w:rFonts w:cs="Arial"/>
          <w:color w:val="444444"/>
          <w:shd w:val="clear" w:color="auto" w:fill="FFFFFF"/>
          <w:lang w:val="en-US"/>
        </w:rPr>
        <w:t>II are already covered by section 10.4.5 of annex I of regulation 2017/745.</w:t>
      </w:r>
    </w:p>
    <w:p w14:paraId="74ADF497" w14:textId="77777777" w:rsidR="005C5080" w:rsidRPr="00523D94" w:rsidRDefault="005C5080" w:rsidP="005C5080">
      <w:pPr>
        <w:pStyle w:val="Default"/>
        <w:ind w:left="708" w:hanging="708"/>
        <w:jc w:val="both"/>
        <w:rPr>
          <w:rFonts w:asciiTheme="minorHAnsi" w:hAnsiTheme="minorHAnsi" w:cstheme="minorHAnsi"/>
          <w:sz w:val="22"/>
          <w:szCs w:val="22"/>
          <w:lang w:val="en-US"/>
        </w:rPr>
      </w:pPr>
    </w:p>
    <w:p w14:paraId="3E84C0D4" w14:textId="77777777" w:rsidR="00B23FB9" w:rsidRDefault="00B23FB9" w:rsidP="005C5080">
      <w:pPr>
        <w:shd w:val="clear" w:color="auto" w:fill="FFFFFF"/>
        <w:rPr>
          <w:rFonts w:cstheme="minorHAnsi"/>
          <w:lang w:val="en-US"/>
        </w:rPr>
      </w:pPr>
    </w:p>
    <w:p w14:paraId="508D3206" w14:textId="74924BAC" w:rsidR="005C5080" w:rsidRPr="00523D94" w:rsidRDefault="005C5080" w:rsidP="005C5080">
      <w:pPr>
        <w:shd w:val="clear" w:color="auto" w:fill="FFFFFF"/>
        <w:rPr>
          <w:rFonts w:cstheme="minorHAnsi"/>
          <w:lang w:val="en-US"/>
        </w:rPr>
      </w:pPr>
      <w:r w:rsidRPr="00523D94">
        <w:rPr>
          <w:rFonts w:cstheme="minorHAnsi"/>
          <w:lang w:val="en-US"/>
        </w:rPr>
        <w:t xml:space="preserve">In view of the above however, </w:t>
      </w:r>
      <w:r w:rsidRPr="00523D94">
        <w:rPr>
          <w:rFonts w:cstheme="minorHAnsi"/>
          <w:b/>
          <w:bCs/>
          <w:lang w:val="en-US"/>
        </w:rPr>
        <w:t xml:space="preserve">the </w:t>
      </w:r>
      <w:r w:rsidR="00383B85">
        <w:rPr>
          <w:rFonts w:cstheme="minorHAnsi"/>
          <w:b/>
          <w:bCs/>
          <w:lang w:val="en-US"/>
        </w:rPr>
        <w:t>information</w:t>
      </w:r>
      <w:r w:rsidR="00B23FB9">
        <w:rPr>
          <w:rFonts w:cstheme="minorHAnsi"/>
          <w:b/>
          <w:bCs/>
          <w:lang w:val="en-US"/>
        </w:rPr>
        <w:t xml:space="preserve"> to </w:t>
      </w:r>
      <w:proofErr w:type="gramStart"/>
      <w:r w:rsidR="00B23FB9">
        <w:rPr>
          <w:rFonts w:cstheme="minorHAnsi"/>
          <w:b/>
          <w:bCs/>
          <w:lang w:val="en-US"/>
        </w:rPr>
        <w:t>users</w:t>
      </w:r>
      <w:proofErr w:type="gramEnd"/>
      <w:r w:rsidRPr="00523D94">
        <w:rPr>
          <w:rFonts w:cstheme="minorHAnsi"/>
          <w:b/>
          <w:bCs/>
          <w:lang w:val="en-US"/>
        </w:rPr>
        <w:t xml:space="preserve"> provisions of the Regulation are already strictly defined and any additional requirement would be considered as a barrier of free movement as defined in article 24 of regulation 2017/745</w:t>
      </w:r>
      <w:r w:rsidRPr="00523D94">
        <w:rPr>
          <w:rFonts w:cstheme="minorHAnsi"/>
          <w:lang w:val="en-US"/>
        </w:rPr>
        <w:t>:</w:t>
      </w:r>
    </w:p>
    <w:p w14:paraId="53C5030B" w14:textId="77777777" w:rsidR="005C5080" w:rsidRPr="00523D94" w:rsidRDefault="005C5080" w:rsidP="005C5080">
      <w:pPr>
        <w:pStyle w:val="CM1"/>
        <w:jc w:val="both"/>
        <w:rPr>
          <w:rFonts w:asciiTheme="minorHAnsi" w:hAnsiTheme="minorHAnsi" w:cstheme="minorHAnsi"/>
          <w:i/>
          <w:iCs/>
          <w:color w:val="000000"/>
          <w:sz w:val="22"/>
          <w:szCs w:val="22"/>
          <w:lang w:val="en-US"/>
        </w:rPr>
      </w:pPr>
      <w:r w:rsidRPr="00523D94">
        <w:rPr>
          <w:rFonts w:asciiTheme="minorHAnsi" w:hAnsiTheme="minorHAnsi" w:cstheme="minorHAnsi"/>
          <w:i/>
          <w:iCs/>
          <w:color w:val="000000"/>
          <w:sz w:val="22"/>
          <w:szCs w:val="22"/>
          <w:lang w:val="en-US"/>
        </w:rPr>
        <w:t>“Except where otherwise provided for in this Regulation, Member States shall not refuse, prohibit or restrict the making available on the market or putting into service within their territory of devices which comply with the requirements of this Regulation.”</w:t>
      </w:r>
    </w:p>
    <w:p w14:paraId="4812A84B" w14:textId="77777777" w:rsidR="005C5080" w:rsidRDefault="005C5080" w:rsidP="005C5080">
      <w:pPr>
        <w:pStyle w:val="Default"/>
        <w:ind w:left="708" w:hanging="708"/>
        <w:jc w:val="both"/>
        <w:rPr>
          <w:lang w:val="en-US"/>
        </w:rPr>
      </w:pPr>
    </w:p>
    <w:p w14:paraId="50559262" w14:textId="77777777" w:rsidR="005C5080" w:rsidRDefault="005C5080" w:rsidP="005C5080">
      <w:pPr>
        <w:pStyle w:val="Default"/>
        <w:ind w:left="708" w:hanging="708"/>
        <w:jc w:val="both"/>
        <w:rPr>
          <w:lang w:val="en-US"/>
        </w:rPr>
      </w:pPr>
    </w:p>
    <w:p w14:paraId="7DDDA652" w14:textId="77777777" w:rsidR="005C5080" w:rsidRPr="00D301A4" w:rsidRDefault="005C5080" w:rsidP="005C5080">
      <w:pPr>
        <w:pStyle w:val="Paragraphedeliste"/>
        <w:shd w:val="clear" w:color="auto" w:fill="FFFFFF"/>
        <w:ind w:left="0"/>
        <w:rPr>
          <w:rFonts w:cs="Arial"/>
          <w:lang w:val="en-US"/>
        </w:rPr>
      </w:pPr>
      <w:r w:rsidRPr="00D301A4">
        <w:rPr>
          <w:rFonts w:cs="Arial"/>
          <w:b/>
          <w:bCs/>
          <w:lang w:val="en-US"/>
        </w:rPr>
        <w:t>4.</w:t>
      </w:r>
      <w:r>
        <w:rPr>
          <w:rFonts w:cs="Arial"/>
          <w:b/>
          <w:bCs/>
          <w:lang w:val="en-US"/>
        </w:rPr>
        <w:t>3</w:t>
      </w:r>
      <w:r w:rsidRPr="00D301A4">
        <w:rPr>
          <w:rFonts w:cs="Arial"/>
          <w:b/>
          <w:bCs/>
          <w:lang w:val="en-US"/>
        </w:rPr>
        <w:tab/>
      </w:r>
      <w:r w:rsidRPr="00D301A4">
        <w:rPr>
          <w:rFonts w:cs="Arial"/>
          <w:u w:val="single"/>
          <w:lang w:val="en-US"/>
        </w:rPr>
        <w:t>The Draft Decree as a barrier to trade</w:t>
      </w:r>
      <w:r w:rsidRPr="00D301A4">
        <w:rPr>
          <w:rFonts w:cs="Arial"/>
          <w:lang w:val="en-US"/>
        </w:rPr>
        <w:t xml:space="preserve"> </w:t>
      </w:r>
    </w:p>
    <w:p w14:paraId="3B428722" w14:textId="77777777" w:rsidR="005C5080" w:rsidRPr="00D301A4" w:rsidRDefault="005C5080" w:rsidP="005C5080">
      <w:pPr>
        <w:shd w:val="clear" w:color="auto" w:fill="FFFFFF"/>
        <w:rPr>
          <w:rFonts w:cs="Arial"/>
          <w:lang w:val="en-US"/>
        </w:rPr>
      </w:pPr>
    </w:p>
    <w:p w14:paraId="0246FA33" w14:textId="13DA849A" w:rsidR="005C5080" w:rsidRPr="00B23FB9" w:rsidRDefault="005C5080" w:rsidP="00B23FB9">
      <w:pPr>
        <w:pStyle w:val="Paragraphedeliste"/>
        <w:shd w:val="clear" w:color="auto" w:fill="FFFFFF"/>
        <w:ind w:left="0"/>
        <w:rPr>
          <w:rFonts w:eastAsia="Times New Roman" w:cs="Arial"/>
          <w:color w:val="000000"/>
          <w:lang w:val="en-US" w:eastAsia="fr-FR"/>
        </w:rPr>
      </w:pPr>
      <w:r w:rsidRPr="00B23FB9">
        <w:rPr>
          <w:rFonts w:eastAsia="Times New Roman" w:cs="Arial"/>
          <w:color w:val="000000"/>
          <w:lang w:val="en-US" w:eastAsia="fr-FR"/>
        </w:rPr>
        <w:t xml:space="preserve">Finally, the </w:t>
      </w:r>
      <w:r w:rsidR="00B23FB9" w:rsidRPr="00B23FB9">
        <w:rPr>
          <w:rFonts w:eastAsia="Times New Roman" w:cs="Arial"/>
          <w:color w:val="000000"/>
          <w:lang w:val="en-US" w:eastAsia="fr-FR"/>
        </w:rPr>
        <w:t>French obligation</w:t>
      </w:r>
      <w:r w:rsidRPr="00B23FB9">
        <w:rPr>
          <w:rFonts w:eastAsia="Times New Roman" w:cs="Arial"/>
          <w:color w:val="000000"/>
          <w:lang w:val="en-US" w:eastAsia="fr-FR"/>
        </w:rPr>
        <w:t xml:space="preserve"> of information applicable to MDs</w:t>
      </w:r>
      <w:r w:rsidR="00B23FB9" w:rsidRPr="00B23FB9">
        <w:rPr>
          <w:rFonts w:eastAsia="Times New Roman" w:cs="Arial"/>
          <w:color w:val="000000"/>
          <w:lang w:val="en-US" w:eastAsia="fr-FR"/>
        </w:rPr>
        <w:t xml:space="preserve">, </w:t>
      </w:r>
      <w:r w:rsidR="00B23FB9">
        <w:rPr>
          <w:rFonts w:eastAsia="Times New Roman" w:cs="Arial"/>
          <w:color w:val="000000"/>
          <w:lang w:val="en-US" w:eastAsia="fr-FR"/>
        </w:rPr>
        <w:t>u</w:t>
      </w:r>
      <w:r w:rsidR="00B23FB9" w:rsidRPr="00B23FB9">
        <w:rPr>
          <w:rFonts w:eastAsia="Times New Roman" w:cs="Arial"/>
          <w:color w:val="000000"/>
          <w:lang w:val="en-US" w:eastAsia="fr-FR"/>
        </w:rPr>
        <w:t>nlike drugs which are specific excluded from this decree</w:t>
      </w:r>
      <w:r w:rsidR="00B23FB9">
        <w:rPr>
          <w:rFonts w:eastAsia="Times New Roman" w:cs="Arial"/>
          <w:color w:val="000000"/>
          <w:lang w:val="en-US" w:eastAsia="fr-FR"/>
        </w:rPr>
        <w:t>,</w:t>
      </w:r>
      <w:r w:rsidRPr="00B23FB9">
        <w:rPr>
          <w:rFonts w:eastAsia="Times New Roman" w:cs="Arial"/>
          <w:color w:val="000000"/>
          <w:lang w:val="en-US" w:eastAsia="fr-FR"/>
        </w:rPr>
        <w:t xml:space="preserve"> </w:t>
      </w:r>
      <w:r w:rsidRPr="00D301A4">
        <w:rPr>
          <w:rFonts w:eastAsia="Times New Roman" w:cs="Arial"/>
          <w:color w:val="000000"/>
          <w:lang w:val="en-US" w:eastAsia="fr-FR"/>
        </w:rPr>
        <w:t xml:space="preserve">will create a </w:t>
      </w:r>
      <w:r w:rsidRPr="00B23FB9">
        <w:rPr>
          <w:rFonts w:eastAsia="Times New Roman" w:cs="Arial"/>
          <w:color w:val="000000"/>
          <w:lang w:val="en-US" w:eastAsia="fr-FR"/>
        </w:rPr>
        <w:t>logistical hardship regarding specific French constraints</w:t>
      </w:r>
      <w:r>
        <w:rPr>
          <w:rFonts w:eastAsia="Times New Roman" w:cs="Arial"/>
          <w:color w:val="000000"/>
          <w:lang w:val="en-US" w:eastAsia="fr-FR"/>
        </w:rPr>
        <w:t xml:space="preserve"> </w:t>
      </w:r>
      <w:r w:rsidRPr="00D301A4">
        <w:rPr>
          <w:rFonts w:eastAsia="Times New Roman" w:cs="Arial"/>
          <w:color w:val="000000"/>
          <w:lang w:val="en-US" w:eastAsia="fr-FR"/>
        </w:rPr>
        <w:t xml:space="preserve">for MD manufacturers and importers at the EU market level. </w:t>
      </w:r>
    </w:p>
    <w:p w14:paraId="2A0CF9B9" w14:textId="77777777" w:rsidR="005C5080" w:rsidRPr="00E47D2E" w:rsidRDefault="005C5080" w:rsidP="005C5080">
      <w:pPr>
        <w:rPr>
          <w:rFonts w:eastAsia="Times New Roman" w:cs="Arial"/>
          <w:color w:val="000000"/>
          <w:lang w:val="en-US" w:eastAsia="fr-FR"/>
        </w:rPr>
      </w:pPr>
    </w:p>
    <w:p w14:paraId="4ED50473" w14:textId="77777777" w:rsidR="005C5080" w:rsidRPr="00D301A4" w:rsidRDefault="005C5080" w:rsidP="005C5080">
      <w:pPr>
        <w:pStyle w:val="Paragraphedeliste"/>
        <w:shd w:val="clear" w:color="auto" w:fill="FFFFFF"/>
        <w:ind w:left="0"/>
        <w:rPr>
          <w:rFonts w:eastAsia="Times New Roman" w:cs="Arial"/>
          <w:color w:val="000000"/>
          <w:lang w:val="en-US" w:eastAsia="fr-FR"/>
        </w:rPr>
      </w:pPr>
      <w:r w:rsidRPr="00D301A4">
        <w:rPr>
          <w:rFonts w:eastAsia="Times New Roman" w:cs="Arial"/>
          <w:color w:val="000000"/>
          <w:lang w:val="en-US" w:eastAsia="fr-FR"/>
        </w:rPr>
        <w:t xml:space="preserve">The SNITEM considers that such an obligation applicable in France only creates a barrier to trade which is not warranted by compelling environmental considerations. </w:t>
      </w:r>
    </w:p>
    <w:p w14:paraId="5D188C3D" w14:textId="77777777" w:rsidR="005C5080" w:rsidRPr="00D301A4" w:rsidRDefault="005C5080" w:rsidP="005C5080">
      <w:pPr>
        <w:pStyle w:val="Paragraphedeliste"/>
        <w:shd w:val="clear" w:color="auto" w:fill="FFFFFF"/>
        <w:ind w:left="0"/>
        <w:rPr>
          <w:rFonts w:cs="Arial"/>
          <w:lang w:val="en-US"/>
        </w:rPr>
      </w:pPr>
    </w:p>
    <w:p w14:paraId="11C8DF8C" w14:textId="77777777" w:rsidR="005C5080" w:rsidRPr="00D301A4" w:rsidRDefault="005C5080" w:rsidP="005C5080">
      <w:pPr>
        <w:pStyle w:val="Paragraphedeliste"/>
        <w:shd w:val="clear" w:color="auto" w:fill="FFFFFF"/>
        <w:ind w:left="0"/>
        <w:rPr>
          <w:rFonts w:eastAsia="Times New Roman" w:cs="Arial"/>
          <w:color w:val="000000"/>
          <w:lang w:val="en-US" w:eastAsia="fr-FR"/>
        </w:rPr>
      </w:pPr>
      <w:r>
        <w:rPr>
          <w:rFonts w:eastAsia="Times New Roman" w:cs="Arial"/>
          <w:color w:val="000000"/>
          <w:lang w:val="en-US" w:eastAsia="fr-FR"/>
        </w:rPr>
        <w:t>Besides the economic impact for companies already severely hit by the ongoing crisis, such obligation constitutes a barrier to free trade in violation of article 34 of TFUE in addition to the violation of article 24 of regulation 2017/745.</w:t>
      </w:r>
    </w:p>
    <w:p w14:paraId="6234BA1A" w14:textId="77777777" w:rsidR="005C5080" w:rsidRDefault="005C5080" w:rsidP="005C5080">
      <w:pPr>
        <w:pStyle w:val="Default"/>
        <w:ind w:left="708" w:hanging="708"/>
        <w:jc w:val="both"/>
        <w:rPr>
          <w:lang w:val="en-US"/>
        </w:rPr>
      </w:pPr>
    </w:p>
    <w:p w14:paraId="1F828A01" w14:textId="77777777" w:rsidR="005C5080" w:rsidRDefault="005C5080" w:rsidP="005C5080">
      <w:pPr>
        <w:pStyle w:val="Default"/>
        <w:ind w:left="708" w:hanging="708"/>
        <w:jc w:val="both"/>
        <w:rPr>
          <w:lang w:val="en-US"/>
        </w:rPr>
      </w:pPr>
    </w:p>
    <w:p w14:paraId="6DF51E14" w14:textId="77777777" w:rsidR="005C5080" w:rsidRPr="00D301A4" w:rsidRDefault="005C5080" w:rsidP="005C5080">
      <w:pPr>
        <w:shd w:val="clear" w:color="auto" w:fill="FFFFFF"/>
        <w:rPr>
          <w:rFonts w:cs="Arial"/>
          <w:lang w:val="en-US"/>
        </w:rPr>
      </w:pPr>
      <w:r w:rsidRPr="00E47D2E">
        <w:rPr>
          <w:rFonts w:cs="Arial"/>
          <w:b/>
          <w:bCs/>
          <w:lang w:val="en-US"/>
        </w:rPr>
        <w:t>5.</w:t>
      </w:r>
      <w:r w:rsidRPr="00D301A4">
        <w:rPr>
          <w:rFonts w:cs="Arial"/>
          <w:lang w:val="en-US"/>
        </w:rPr>
        <w:tab/>
      </w:r>
      <w:r w:rsidRPr="00E47D2E">
        <w:rPr>
          <w:rFonts w:cs="Arial"/>
          <w:u w:val="single"/>
          <w:lang w:val="en-US"/>
        </w:rPr>
        <w:t>Conclusion</w:t>
      </w:r>
      <w:r w:rsidRPr="00D301A4">
        <w:rPr>
          <w:rFonts w:cs="Arial"/>
          <w:lang w:val="en-US"/>
        </w:rPr>
        <w:t xml:space="preserve"> </w:t>
      </w:r>
    </w:p>
    <w:p w14:paraId="6F8FDDAC" w14:textId="77777777" w:rsidR="005C5080" w:rsidRPr="00D301A4" w:rsidRDefault="005C5080" w:rsidP="005C5080">
      <w:pPr>
        <w:shd w:val="clear" w:color="auto" w:fill="FFFFFF"/>
        <w:rPr>
          <w:rFonts w:cs="Arial"/>
          <w:lang w:val="en-US"/>
        </w:rPr>
      </w:pPr>
    </w:p>
    <w:p w14:paraId="7D380BC9" w14:textId="47BC2A6B" w:rsidR="005C5080" w:rsidRPr="00D301A4" w:rsidRDefault="005C5080" w:rsidP="005C5080">
      <w:pPr>
        <w:shd w:val="clear" w:color="auto" w:fill="FFFFFF"/>
        <w:rPr>
          <w:rFonts w:cs="Arial"/>
          <w:lang w:val="en-US"/>
        </w:rPr>
      </w:pPr>
      <w:r w:rsidRPr="00D301A4">
        <w:rPr>
          <w:rFonts w:cs="Arial"/>
          <w:lang w:val="en-US"/>
        </w:rPr>
        <w:t>In view of the above, the SNITEM holds that MDs should be excluded from the scope of the Draft Decree</w:t>
      </w:r>
      <w:r>
        <w:rPr>
          <w:rFonts w:cs="Arial"/>
          <w:lang w:val="en-US"/>
        </w:rPr>
        <w:t>.</w:t>
      </w:r>
      <w:r w:rsidRPr="00D301A4">
        <w:rPr>
          <w:rFonts w:cs="Arial"/>
          <w:lang w:val="en-US"/>
        </w:rPr>
        <w:t xml:space="preserve"> </w:t>
      </w:r>
    </w:p>
    <w:p w14:paraId="48732BB1" w14:textId="77777777" w:rsidR="005C5080" w:rsidRPr="00D301A4" w:rsidRDefault="005C5080" w:rsidP="005C5080">
      <w:pPr>
        <w:shd w:val="clear" w:color="auto" w:fill="FFFFFF"/>
        <w:rPr>
          <w:rFonts w:cs="Arial"/>
          <w:lang w:val="en-US"/>
        </w:rPr>
      </w:pPr>
    </w:p>
    <w:p w14:paraId="504FE84A" w14:textId="77777777" w:rsidR="005C5080" w:rsidRPr="00D301A4" w:rsidRDefault="005C5080" w:rsidP="005C5080">
      <w:pPr>
        <w:shd w:val="clear" w:color="auto" w:fill="FFFFFF"/>
        <w:rPr>
          <w:rFonts w:cs="Arial"/>
          <w:lang w:val="en-US"/>
        </w:rPr>
      </w:pPr>
    </w:p>
    <w:p w14:paraId="3E16BF14" w14:textId="2E76D037" w:rsidR="008B0FDD" w:rsidRPr="00024791" w:rsidRDefault="008B0FDD" w:rsidP="008B0FDD">
      <w:pPr>
        <w:rPr>
          <w:lang w:val="en-US"/>
        </w:rPr>
      </w:pPr>
    </w:p>
    <w:sectPr w:rsidR="008B0FDD" w:rsidRPr="00024791" w:rsidSect="008B0FDD">
      <w:headerReference w:type="even" r:id="rId13"/>
      <w:headerReference w:type="default" r:id="rId14"/>
      <w:footerReference w:type="even" r:id="rId15"/>
      <w:footerReference w:type="default" r:id="rId16"/>
      <w:headerReference w:type="first" r:id="rId17"/>
      <w:footerReference w:type="first" r:id="rId18"/>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139206" w14:textId="77777777" w:rsidR="00260219" w:rsidRDefault="00260219" w:rsidP="00DE15CE">
      <w:r>
        <w:separator/>
      </w:r>
    </w:p>
    <w:p w14:paraId="56D5BC75" w14:textId="77777777" w:rsidR="00260219" w:rsidRDefault="00260219" w:rsidP="00DE15CE"/>
    <w:p w14:paraId="60ABAAE5" w14:textId="77777777" w:rsidR="00260219" w:rsidRDefault="00260219" w:rsidP="00DE15CE"/>
  </w:endnote>
  <w:endnote w:type="continuationSeparator" w:id="0">
    <w:p w14:paraId="775860FE" w14:textId="77777777" w:rsidR="00260219" w:rsidRDefault="00260219" w:rsidP="00DE15CE">
      <w:r>
        <w:continuationSeparator/>
      </w:r>
    </w:p>
    <w:p w14:paraId="148DF9FF" w14:textId="77777777" w:rsidR="00260219" w:rsidRDefault="00260219" w:rsidP="00DE15CE"/>
    <w:p w14:paraId="25BC59B8" w14:textId="77777777" w:rsidR="00260219" w:rsidRDefault="00260219" w:rsidP="00DE15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3338E" w14:textId="77777777" w:rsidR="008B0FDD" w:rsidRDefault="008B0FD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1F00C" w14:textId="77777777" w:rsidR="00296D8C" w:rsidRPr="008B0FDD" w:rsidRDefault="008B0FDD" w:rsidP="008B0FDD">
    <w:pPr>
      <w:pStyle w:val="Pieddepage"/>
      <w:jc w:val="left"/>
      <w:rPr>
        <w:sz w:val="16"/>
        <w:szCs w:val="16"/>
      </w:rPr>
    </w:pPr>
    <w:r>
      <w:rPr>
        <w:sz w:val="16"/>
        <w:szCs w:val="16"/>
      </w:rPr>
      <w:t>Titre du document</w:t>
    </w:r>
    <w:r>
      <w:rPr>
        <w:sz w:val="16"/>
        <w:szCs w:val="16"/>
      </w:rPr>
      <w:tab/>
    </w:r>
    <w:r>
      <w:rPr>
        <w:sz w:val="16"/>
        <w:szCs w:val="16"/>
      </w:rPr>
      <w:tab/>
    </w:r>
    <w:r w:rsidRPr="00512F9D">
      <w:rPr>
        <w:sz w:val="16"/>
        <w:szCs w:val="16"/>
      </w:rPr>
      <w:fldChar w:fldCharType="begin"/>
    </w:r>
    <w:r w:rsidRPr="00512F9D">
      <w:rPr>
        <w:sz w:val="16"/>
        <w:szCs w:val="16"/>
      </w:rPr>
      <w:instrText xml:space="preserve"> PAGE </w:instrText>
    </w:r>
    <w:r w:rsidRPr="00512F9D">
      <w:rPr>
        <w:sz w:val="16"/>
        <w:szCs w:val="16"/>
      </w:rPr>
      <w:fldChar w:fldCharType="separate"/>
    </w:r>
    <w:r>
      <w:rPr>
        <w:sz w:val="16"/>
        <w:szCs w:val="16"/>
      </w:rPr>
      <w:t>2</w:t>
    </w:r>
    <w:r w:rsidRPr="00512F9D">
      <w:rPr>
        <w:sz w:val="16"/>
        <w:szCs w:val="16"/>
      </w:rPr>
      <w:fldChar w:fldCharType="end"/>
    </w:r>
    <w:r w:rsidRPr="00512F9D">
      <w:rPr>
        <w:sz w:val="16"/>
        <w:szCs w:val="16"/>
      </w:rPr>
      <w:t xml:space="preserve"> / </w:t>
    </w:r>
    <w:r w:rsidRPr="00512F9D">
      <w:rPr>
        <w:sz w:val="16"/>
        <w:szCs w:val="16"/>
      </w:rPr>
      <w:fldChar w:fldCharType="begin"/>
    </w:r>
    <w:r w:rsidRPr="00512F9D">
      <w:rPr>
        <w:sz w:val="16"/>
        <w:szCs w:val="16"/>
      </w:rPr>
      <w:instrText xml:space="preserve"> NUMPAGES </w:instrText>
    </w:r>
    <w:r w:rsidRPr="00512F9D">
      <w:rPr>
        <w:sz w:val="16"/>
        <w:szCs w:val="16"/>
      </w:rPr>
      <w:fldChar w:fldCharType="separate"/>
    </w:r>
    <w:r>
      <w:rPr>
        <w:sz w:val="16"/>
        <w:szCs w:val="16"/>
      </w:rPr>
      <w:t>2</w:t>
    </w:r>
    <w:r w:rsidRPr="00512F9D">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A93CF" w14:textId="77777777" w:rsidR="008B0FDD" w:rsidRDefault="008B0FDD" w:rsidP="008B0FDD">
    <w:pPr>
      <w:pStyle w:val="501-dosadresse"/>
      <w:framePr w:wrap="notBeside"/>
    </w:pPr>
    <w:r>
      <w:t xml:space="preserve">39 rue Louis Blanc - CS30080 - 92038 La Défense </w:t>
    </w:r>
    <w:r>
      <w:rPr>
        <w:caps/>
      </w:rPr>
      <w:t>Cedex</w:t>
    </w:r>
  </w:p>
  <w:p w14:paraId="76F54656" w14:textId="77777777" w:rsidR="008B0FDD" w:rsidRDefault="008B0FDD" w:rsidP="008B0FDD">
    <w:pPr>
      <w:pStyle w:val="501-dosadresse"/>
      <w:framePr w:wrap="notBeside"/>
    </w:pPr>
    <w:r>
      <w:t xml:space="preserve">Tél : 01 47 17 63 88 - </w:t>
    </w:r>
    <w:proofErr w:type="gramStart"/>
    <w:r>
      <w:t>E-mail</w:t>
    </w:r>
    <w:proofErr w:type="gramEnd"/>
    <w:r>
      <w:t xml:space="preserve"> : info</w:t>
    </w:r>
    <w:r>
      <w:rPr>
        <w:rFonts w:ascii="Calibri" w:hAnsi="Calibri" w:cs="Calibri"/>
      </w:rPr>
      <w:t>@</w:t>
    </w:r>
    <w:r>
      <w:t>snitem.fr</w:t>
    </w:r>
  </w:p>
  <w:p w14:paraId="3A983ECA" w14:textId="77777777" w:rsidR="00596A91" w:rsidRPr="008B0FDD" w:rsidRDefault="008B0FDD" w:rsidP="008B0FDD">
    <w:pPr>
      <w:pStyle w:val="Pieddepage"/>
    </w:pPr>
    <w:r w:rsidRPr="008B0FDD">
      <w:rPr>
        <w:noProof/>
      </w:rPr>
      <w:drawing>
        <wp:anchor distT="0" distB="0" distL="114300" distR="114300" simplePos="0" relativeHeight="251666432" behindDoc="1" locked="0" layoutInCell="1" allowOverlap="1" wp14:anchorId="25BFE6D3" wp14:editId="4E06F302">
          <wp:simplePos x="0" y="0"/>
          <wp:positionH relativeFrom="page">
            <wp:posOffset>612140</wp:posOffset>
          </wp:positionH>
          <wp:positionV relativeFrom="margin">
            <wp:posOffset>7792720</wp:posOffset>
          </wp:positionV>
          <wp:extent cx="1548806" cy="806403"/>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
                  <a:stretch>
                    <a:fillRect/>
                  </a:stretch>
                </pic:blipFill>
                <pic:spPr>
                  <a:xfrm>
                    <a:off x="0" y="0"/>
                    <a:ext cx="1548806" cy="806403"/>
                  </a:xfrm>
                  <a:prstGeom prst="rect">
                    <a:avLst/>
                  </a:prstGeom>
                </pic:spPr>
              </pic:pic>
            </a:graphicData>
          </a:graphic>
          <wp14:sizeRelH relativeFrom="margin">
            <wp14:pctWidth>0</wp14:pctWidth>
          </wp14:sizeRelH>
          <wp14:sizeRelV relativeFrom="margin">
            <wp14:pctHeight>0</wp14:pctHeight>
          </wp14:sizeRelV>
        </wp:anchor>
      </w:drawing>
    </w:r>
    <w:r w:rsidRPr="008B0FDD">
      <w:rPr>
        <w:noProof/>
      </w:rPr>
      <w:drawing>
        <wp:anchor distT="0" distB="0" distL="114300" distR="114300" simplePos="0" relativeHeight="251668480" behindDoc="1" locked="0" layoutInCell="1" allowOverlap="1" wp14:anchorId="7BA58311" wp14:editId="17A2203C">
          <wp:simplePos x="0" y="0"/>
          <wp:positionH relativeFrom="page">
            <wp:posOffset>6635115</wp:posOffset>
          </wp:positionH>
          <wp:positionV relativeFrom="page">
            <wp:posOffset>9668510</wp:posOffset>
          </wp:positionV>
          <wp:extent cx="515620" cy="450850"/>
          <wp:effectExtent l="0" t="0" r="5080" b="6350"/>
          <wp:wrapNone/>
          <wp:docPr id="4" name="Image 4" descr="Une image contenant dessin,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2"/>
                  <a:stretch>
                    <a:fillRect/>
                  </a:stretch>
                </pic:blipFill>
                <pic:spPr>
                  <a:xfrm>
                    <a:off x="0" y="0"/>
                    <a:ext cx="515620" cy="450850"/>
                  </a:xfrm>
                  <a:prstGeom prst="rect">
                    <a:avLst/>
                  </a:prstGeom>
                </pic:spPr>
              </pic:pic>
            </a:graphicData>
          </a:graphic>
          <wp14:sizeRelH relativeFrom="margin">
            <wp14:pctWidth>0</wp14:pctWidth>
          </wp14:sizeRelH>
          <wp14:sizeRelV relativeFrom="margin">
            <wp14:pctHeight>0</wp14:pctHeight>
          </wp14:sizeRelV>
        </wp:anchor>
      </w:drawing>
    </w:r>
    <w:r w:rsidRPr="008B0FDD">
      <w:rPr>
        <w:noProof/>
      </w:rPr>
      <w:drawing>
        <wp:anchor distT="0" distB="0" distL="114300" distR="114300" simplePos="0" relativeHeight="251667456" behindDoc="1" locked="0" layoutInCell="1" allowOverlap="1" wp14:anchorId="41BB576B" wp14:editId="4B15717F">
          <wp:simplePos x="0" y="0"/>
          <wp:positionH relativeFrom="page">
            <wp:posOffset>4844415</wp:posOffset>
          </wp:positionH>
          <wp:positionV relativeFrom="page">
            <wp:posOffset>9957435</wp:posOffset>
          </wp:positionV>
          <wp:extent cx="1690370" cy="152400"/>
          <wp:effectExtent l="0" t="0" r="0" b="0"/>
          <wp:wrapNone/>
          <wp:docPr id="3" name="Image 3" descr="Une image conten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3"/>
                  <a:stretch>
                    <a:fillRect/>
                  </a:stretch>
                </pic:blipFill>
                <pic:spPr>
                  <a:xfrm>
                    <a:off x="0" y="0"/>
                    <a:ext cx="1690370" cy="1524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C1CB4D" w14:textId="77777777" w:rsidR="00260219" w:rsidRDefault="00260219" w:rsidP="00DE15CE">
      <w:r>
        <w:separator/>
      </w:r>
    </w:p>
    <w:p w14:paraId="00A0F5A1" w14:textId="77777777" w:rsidR="00260219" w:rsidRDefault="00260219" w:rsidP="00DE15CE"/>
    <w:p w14:paraId="39FBD73B" w14:textId="77777777" w:rsidR="00260219" w:rsidRDefault="00260219" w:rsidP="00DE15CE"/>
  </w:footnote>
  <w:footnote w:type="continuationSeparator" w:id="0">
    <w:p w14:paraId="07E42C86" w14:textId="77777777" w:rsidR="00260219" w:rsidRDefault="00260219" w:rsidP="00DE15CE">
      <w:r>
        <w:continuationSeparator/>
      </w:r>
    </w:p>
    <w:p w14:paraId="578CCAAC" w14:textId="77777777" w:rsidR="00260219" w:rsidRDefault="00260219" w:rsidP="00DE15CE"/>
    <w:p w14:paraId="4F4818F3" w14:textId="77777777" w:rsidR="00260219" w:rsidRDefault="00260219" w:rsidP="00DE15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C66A0" w14:textId="77777777" w:rsidR="008B0FDD" w:rsidRDefault="008B0FD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4B577" w14:textId="77777777" w:rsidR="00A84D19" w:rsidRDefault="00A84D19" w:rsidP="00DE15CE">
    <w:pPr>
      <w:pStyle w:val="En-tte"/>
    </w:pPr>
    <w:r>
      <w:rPr>
        <w:noProof/>
      </w:rPr>
      <w:drawing>
        <wp:anchor distT="0" distB="0" distL="114300" distR="114300" simplePos="0" relativeHeight="251659264" behindDoc="1" locked="0" layoutInCell="1" allowOverlap="1" wp14:anchorId="1B10B446" wp14:editId="6AE09008">
          <wp:simplePos x="0" y="0"/>
          <wp:positionH relativeFrom="page">
            <wp:posOffset>499745</wp:posOffset>
          </wp:positionH>
          <wp:positionV relativeFrom="page">
            <wp:posOffset>458470</wp:posOffset>
          </wp:positionV>
          <wp:extent cx="1440000" cy="344071"/>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
                  <a:stretch>
                    <a:fillRect/>
                  </a:stretch>
                </pic:blipFill>
                <pic:spPr>
                  <a:xfrm>
                    <a:off x="0" y="0"/>
                    <a:ext cx="1440000" cy="344071"/>
                  </a:xfrm>
                  <a:prstGeom prst="rect">
                    <a:avLst/>
                  </a:prstGeom>
                </pic:spPr>
              </pic:pic>
            </a:graphicData>
          </a:graphic>
        </wp:anchor>
      </w:drawing>
    </w:r>
  </w:p>
  <w:p w14:paraId="21428610" w14:textId="77777777" w:rsidR="005D4654" w:rsidRDefault="005D4654" w:rsidP="00DE15C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3CC83" w14:textId="77777777" w:rsidR="00845FE5" w:rsidRDefault="00B850F9" w:rsidP="00DE15CE">
    <w:r>
      <w:rPr>
        <w:noProof/>
      </w:rPr>
      <w:drawing>
        <wp:anchor distT="0" distB="0" distL="114300" distR="114300" simplePos="0" relativeHeight="251660288" behindDoc="0" locked="0" layoutInCell="1" allowOverlap="1" wp14:anchorId="4402825C" wp14:editId="2F4FDC37">
          <wp:simplePos x="0" y="0"/>
          <wp:positionH relativeFrom="column">
            <wp:posOffset>-243840</wp:posOffset>
          </wp:positionH>
          <wp:positionV relativeFrom="paragraph">
            <wp:posOffset>3810</wp:posOffset>
          </wp:positionV>
          <wp:extent cx="2055303" cy="636166"/>
          <wp:effectExtent l="0" t="0" r="2540" b="0"/>
          <wp:wrapNone/>
          <wp:docPr id="2" name="Image 2" descr="Une image conten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ITEM_01_RVB.jpg"/>
                  <pic:cNvPicPr/>
                </pic:nvPicPr>
                <pic:blipFill>
                  <a:blip r:embed="rId1">
                    <a:extLst>
                      <a:ext uri="{28A0092B-C50C-407E-A947-70E740481C1C}">
                        <a14:useLocalDpi xmlns:a14="http://schemas.microsoft.com/office/drawing/2010/main" val="0"/>
                      </a:ext>
                    </a:extLst>
                  </a:blip>
                  <a:stretch>
                    <a:fillRect/>
                  </a:stretch>
                </pic:blipFill>
                <pic:spPr>
                  <a:xfrm>
                    <a:off x="0" y="0"/>
                    <a:ext cx="2055303" cy="636166"/>
                  </a:xfrm>
                  <a:prstGeom prst="rect">
                    <a:avLst/>
                  </a:prstGeom>
                </pic:spPr>
              </pic:pic>
            </a:graphicData>
          </a:graphic>
          <wp14:sizeRelH relativeFrom="margin">
            <wp14:pctWidth>0</wp14:pctWidth>
          </wp14:sizeRelH>
          <wp14:sizeRelV relativeFrom="margin">
            <wp14:pctHeight>0</wp14:pctHeight>
          </wp14:sizeRelV>
        </wp:anchor>
      </w:drawing>
    </w:r>
  </w:p>
  <w:p w14:paraId="72199E78" w14:textId="77777777" w:rsidR="00B850F9" w:rsidRDefault="00B850F9" w:rsidP="00DE15CE">
    <w:pPr>
      <w:pStyle w:val="En-tte"/>
    </w:pPr>
  </w:p>
  <w:p w14:paraId="5BE15C7A" w14:textId="77777777" w:rsidR="00925F69" w:rsidRDefault="007D353B" w:rsidP="008B0FDD">
    <w:pPr>
      <w:pStyle w:val="Titre4"/>
    </w:pPr>
    <w:r>
      <w:t xml:space="preserve"> </w:t>
    </w:r>
    <w:r w:rsidR="008B0FDD">
      <w:t>NOTE D’INFORMATION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6B838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FE322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844F4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E84D2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26CA5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3A9A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4443FB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9C0C96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6F2D7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E4CB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9C45BD"/>
    <w:multiLevelType w:val="hybridMultilevel"/>
    <w:tmpl w:val="AE9044EC"/>
    <w:lvl w:ilvl="0" w:tplc="FACABF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0C8746BA"/>
    <w:multiLevelType w:val="hybridMultilevel"/>
    <w:tmpl w:val="936C1258"/>
    <w:lvl w:ilvl="0" w:tplc="9A24BDF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0235141"/>
    <w:multiLevelType w:val="hybridMultilevel"/>
    <w:tmpl w:val="2B8C1F5E"/>
    <w:lvl w:ilvl="0" w:tplc="D1E861E4">
      <w:start w:val="1"/>
      <w:numFmt w:val="decimal"/>
      <w:pStyle w:val="Titre2"/>
      <w:lvlText w:val="%1."/>
      <w:lvlJc w:val="left"/>
      <w:pPr>
        <w:ind w:left="1920" w:hanging="360"/>
      </w:pPr>
      <w:rPr>
        <w:rFonts w:hint="default"/>
      </w:r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13" w15:restartNumberingAfterBreak="0">
    <w:nsid w:val="138910B8"/>
    <w:multiLevelType w:val="hybridMultilevel"/>
    <w:tmpl w:val="2CBE0440"/>
    <w:lvl w:ilvl="0" w:tplc="7F985E50">
      <w:start w:val="1"/>
      <w:numFmt w:val="upperRoman"/>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3715F4D"/>
    <w:multiLevelType w:val="hybridMultilevel"/>
    <w:tmpl w:val="28DAB5E6"/>
    <w:lvl w:ilvl="0" w:tplc="51D4B8FC">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23EA7FBA"/>
    <w:multiLevelType w:val="hybridMultilevel"/>
    <w:tmpl w:val="A71C71C2"/>
    <w:lvl w:ilvl="0" w:tplc="B4664026">
      <w:start w:val="1"/>
      <w:numFmt w:val="upperRoman"/>
      <w:lvlText w:val="%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4FE6FA6"/>
    <w:multiLevelType w:val="hybridMultilevel"/>
    <w:tmpl w:val="000E5616"/>
    <w:lvl w:ilvl="0" w:tplc="B1F0C67A">
      <w:start w:val="1"/>
      <w:numFmt w:val="bullet"/>
      <w:lvlText w:val=""/>
      <w:lvlJc w:val="left"/>
      <w:pPr>
        <w:ind w:left="720" w:hanging="360"/>
      </w:pPr>
      <w:rPr>
        <w:rFonts w:ascii="Symbol" w:hAnsi="Symbol" w:hint="default"/>
        <w:color w:val="3965AE" w:themeColor="text2"/>
        <w:sz w:val="24"/>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75D4C8C"/>
    <w:multiLevelType w:val="hybridMultilevel"/>
    <w:tmpl w:val="649AC49C"/>
    <w:lvl w:ilvl="0" w:tplc="2C54047C">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8" w15:restartNumberingAfterBreak="0">
    <w:nsid w:val="2E1230F9"/>
    <w:multiLevelType w:val="hybridMultilevel"/>
    <w:tmpl w:val="E4ECDBD0"/>
    <w:lvl w:ilvl="0" w:tplc="64800D84">
      <w:start w:val="1"/>
      <w:numFmt w:val="lowerLetter"/>
      <w:lvlText w:val="%1."/>
      <w:lvlJc w:val="left"/>
      <w:pPr>
        <w:ind w:left="1069" w:hanging="360"/>
      </w:pPr>
      <w:rPr>
        <w:b w:val="0"/>
        <w:bCs w:val="0"/>
      </w:rPr>
    </w:lvl>
    <w:lvl w:ilvl="1" w:tplc="040C0019">
      <w:start w:val="1"/>
      <w:numFmt w:val="lowerLetter"/>
      <w:lvlText w:val="%2."/>
      <w:lvlJc w:val="left"/>
      <w:pPr>
        <w:ind w:left="1789" w:hanging="360"/>
      </w:pPr>
    </w:lvl>
    <w:lvl w:ilvl="2" w:tplc="040C001B">
      <w:start w:val="1"/>
      <w:numFmt w:val="lowerRoman"/>
      <w:lvlText w:val="%3."/>
      <w:lvlJc w:val="right"/>
      <w:pPr>
        <w:ind w:left="2509" w:hanging="180"/>
      </w:pPr>
    </w:lvl>
    <w:lvl w:ilvl="3" w:tplc="040C000F">
      <w:start w:val="1"/>
      <w:numFmt w:val="decimal"/>
      <w:lvlText w:val="%4."/>
      <w:lvlJc w:val="left"/>
      <w:pPr>
        <w:ind w:left="3229" w:hanging="360"/>
      </w:pPr>
    </w:lvl>
    <w:lvl w:ilvl="4" w:tplc="040C0019">
      <w:start w:val="1"/>
      <w:numFmt w:val="lowerLetter"/>
      <w:lvlText w:val="%5."/>
      <w:lvlJc w:val="left"/>
      <w:pPr>
        <w:ind w:left="3949" w:hanging="360"/>
      </w:pPr>
    </w:lvl>
    <w:lvl w:ilvl="5" w:tplc="040C001B">
      <w:start w:val="1"/>
      <w:numFmt w:val="lowerRoman"/>
      <w:lvlText w:val="%6."/>
      <w:lvlJc w:val="right"/>
      <w:pPr>
        <w:ind w:left="4669" w:hanging="180"/>
      </w:pPr>
    </w:lvl>
    <w:lvl w:ilvl="6" w:tplc="040C000F">
      <w:start w:val="1"/>
      <w:numFmt w:val="decimal"/>
      <w:lvlText w:val="%7."/>
      <w:lvlJc w:val="left"/>
      <w:pPr>
        <w:ind w:left="5389" w:hanging="360"/>
      </w:pPr>
    </w:lvl>
    <w:lvl w:ilvl="7" w:tplc="040C0019">
      <w:start w:val="1"/>
      <w:numFmt w:val="lowerLetter"/>
      <w:lvlText w:val="%8."/>
      <w:lvlJc w:val="left"/>
      <w:pPr>
        <w:ind w:left="6109" w:hanging="360"/>
      </w:pPr>
    </w:lvl>
    <w:lvl w:ilvl="8" w:tplc="040C001B">
      <w:start w:val="1"/>
      <w:numFmt w:val="lowerRoman"/>
      <w:lvlText w:val="%9."/>
      <w:lvlJc w:val="right"/>
      <w:pPr>
        <w:ind w:left="6829" w:hanging="180"/>
      </w:pPr>
    </w:lvl>
  </w:abstractNum>
  <w:abstractNum w:abstractNumId="19" w15:restartNumberingAfterBreak="0">
    <w:nsid w:val="4574354F"/>
    <w:multiLevelType w:val="hybridMultilevel"/>
    <w:tmpl w:val="2CF64ACA"/>
    <w:lvl w:ilvl="0" w:tplc="DB3E6D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D0906B4"/>
    <w:multiLevelType w:val="hybridMultilevel"/>
    <w:tmpl w:val="9C2CF3DC"/>
    <w:lvl w:ilvl="0" w:tplc="19682220">
      <w:start w:val="1"/>
      <w:numFmt w:val="upperRoman"/>
      <w:lvlText w:val="%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9ED12B9"/>
    <w:multiLevelType w:val="hybridMultilevel"/>
    <w:tmpl w:val="542ECDC0"/>
    <w:lvl w:ilvl="0" w:tplc="E570805C">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2" w15:restartNumberingAfterBreak="0">
    <w:nsid w:val="5B1916D5"/>
    <w:multiLevelType w:val="hybridMultilevel"/>
    <w:tmpl w:val="B5A6409C"/>
    <w:lvl w:ilvl="0" w:tplc="178487DE">
      <w:start w:val="3"/>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1A70410"/>
    <w:multiLevelType w:val="hybridMultilevel"/>
    <w:tmpl w:val="BE80BAC6"/>
    <w:lvl w:ilvl="0" w:tplc="60F6543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68723F3"/>
    <w:multiLevelType w:val="hybridMultilevel"/>
    <w:tmpl w:val="CD4A25F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5" w15:restartNumberingAfterBreak="0">
    <w:nsid w:val="6C107CA3"/>
    <w:multiLevelType w:val="multilevel"/>
    <w:tmpl w:val="A4BE8D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1069"/>
        </w:tabs>
        <w:ind w:left="1069"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775728A8"/>
    <w:multiLevelType w:val="hybridMultilevel"/>
    <w:tmpl w:val="BE8C9916"/>
    <w:lvl w:ilvl="0" w:tplc="AB580272">
      <w:start w:val="1"/>
      <w:numFmt w:val="bullet"/>
      <w:lvlText w:val=""/>
      <w:lvlJc w:val="left"/>
      <w:pPr>
        <w:ind w:left="720" w:hanging="360"/>
      </w:pPr>
      <w:rPr>
        <w:rFonts w:ascii="Wingdings" w:hAnsi="Wingdings" w:hint="default"/>
        <w:b w:val="0"/>
        <w:i w:val="0"/>
        <w:color w:val="6EC6D8" w:themeColor="background2"/>
        <w:sz w:val="24"/>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1"/>
  </w:num>
  <w:num w:numId="2">
    <w:abstractNumId w:val="17"/>
  </w:num>
  <w:num w:numId="3">
    <w:abstractNumId w:val="16"/>
  </w:num>
  <w:num w:numId="4">
    <w:abstractNumId w:val="26"/>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1"/>
  </w:num>
  <w:num w:numId="16">
    <w:abstractNumId w:val="20"/>
  </w:num>
  <w:num w:numId="17">
    <w:abstractNumId w:val="15"/>
  </w:num>
  <w:num w:numId="18">
    <w:abstractNumId w:val="14"/>
  </w:num>
  <w:num w:numId="19">
    <w:abstractNumId w:val="13"/>
  </w:num>
  <w:num w:numId="20">
    <w:abstractNumId w:val="12"/>
  </w:num>
  <w:num w:numId="21">
    <w:abstractNumId w:val="13"/>
    <w:lvlOverride w:ilvl="0">
      <w:startOverride w:val="1"/>
    </w:lvlOverride>
  </w:num>
  <w:num w:numId="22">
    <w:abstractNumId w:val="12"/>
    <w:lvlOverride w:ilvl="0">
      <w:startOverride w:val="1"/>
    </w:lvlOverride>
  </w:num>
  <w:num w:numId="23">
    <w:abstractNumId w:val="19"/>
  </w:num>
  <w:num w:numId="24">
    <w:abstractNumId w:val="12"/>
    <w:lvlOverride w:ilvl="0">
      <w:startOverride w:val="1"/>
    </w:lvlOverride>
  </w:num>
  <w:num w:numId="25">
    <w:abstractNumId w:val="12"/>
    <w:lvlOverride w:ilvl="0">
      <w:startOverride w:val="1"/>
    </w:lvlOverride>
  </w:num>
  <w:num w:numId="26">
    <w:abstractNumId w:val="12"/>
    <w:lvlOverride w:ilvl="0">
      <w:startOverride w:val="1"/>
    </w:lvlOverride>
  </w:num>
  <w:num w:numId="27">
    <w:abstractNumId w:val="10"/>
  </w:num>
  <w:num w:numId="28">
    <w:abstractNumId w:val="23"/>
  </w:num>
  <w:num w:numId="29">
    <w:abstractNumId w:val="12"/>
    <w:lvlOverride w:ilvl="0">
      <w:startOverride w:val="1"/>
    </w:lvlOverride>
  </w:num>
  <w:num w:numId="30">
    <w:abstractNumId w:val="22"/>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9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1"/>
  <w:stylePaneSortMethod w:val="0003"/>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791"/>
    <w:rsid w:val="00024791"/>
    <w:rsid w:val="00133769"/>
    <w:rsid w:val="00136B74"/>
    <w:rsid w:val="001B1C81"/>
    <w:rsid w:val="001B24E9"/>
    <w:rsid w:val="00260219"/>
    <w:rsid w:val="00296D8C"/>
    <w:rsid w:val="002B1799"/>
    <w:rsid w:val="002C2D96"/>
    <w:rsid w:val="0030185B"/>
    <w:rsid w:val="003363E1"/>
    <w:rsid w:val="003671E0"/>
    <w:rsid w:val="00376768"/>
    <w:rsid w:val="00383B85"/>
    <w:rsid w:val="003F202C"/>
    <w:rsid w:val="00446C9B"/>
    <w:rsid w:val="00487725"/>
    <w:rsid w:val="004E3891"/>
    <w:rsid w:val="00523D94"/>
    <w:rsid w:val="0059023C"/>
    <w:rsid w:val="00593416"/>
    <w:rsid w:val="00596A91"/>
    <w:rsid w:val="005C5080"/>
    <w:rsid w:val="005D4654"/>
    <w:rsid w:val="005D5DF6"/>
    <w:rsid w:val="0061386C"/>
    <w:rsid w:val="007B2E53"/>
    <w:rsid w:val="007C130E"/>
    <w:rsid w:val="007C337F"/>
    <w:rsid w:val="007D353B"/>
    <w:rsid w:val="00845FE5"/>
    <w:rsid w:val="00883CC2"/>
    <w:rsid w:val="008B0FDD"/>
    <w:rsid w:val="008E62FD"/>
    <w:rsid w:val="009110AD"/>
    <w:rsid w:val="00925F69"/>
    <w:rsid w:val="0097587D"/>
    <w:rsid w:val="00A020F0"/>
    <w:rsid w:val="00A06295"/>
    <w:rsid w:val="00A84D19"/>
    <w:rsid w:val="00AF5199"/>
    <w:rsid w:val="00B23FB9"/>
    <w:rsid w:val="00B51682"/>
    <w:rsid w:val="00B850F9"/>
    <w:rsid w:val="00BB07BA"/>
    <w:rsid w:val="00BB26B1"/>
    <w:rsid w:val="00BE6895"/>
    <w:rsid w:val="00C30E73"/>
    <w:rsid w:val="00C56195"/>
    <w:rsid w:val="00C85723"/>
    <w:rsid w:val="00CB2051"/>
    <w:rsid w:val="00CE5D4C"/>
    <w:rsid w:val="00D429B1"/>
    <w:rsid w:val="00D46ABD"/>
    <w:rsid w:val="00D47C43"/>
    <w:rsid w:val="00DE15CE"/>
    <w:rsid w:val="00E27ECA"/>
    <w:rsid w:val="00E83458"/>
    <w:rsid w:val="00F50DF6"/>
    <w:rsid w:val="00FD34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83298"/>
  <w15:chartTrackingRefBased/>
  <w15:docId w15:val="{296B433B-0F5F-4815-B47C-C112FCB3F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799"/>
    <w:pPr>
      <w:spacing w:after="0"/>
      <w:jc w:val="both"/>
    </w:pPr>
  </w:style>
  <w:style w:type="paragraph" w:styleId="Titre1">
    <w:name w:val="heading 1"/>
    <w:basedOn w:val="Normal"/>
    <w:next w:val="Normal"/>
    <w:link w:val="Titre1Car"/>
    <w:uiPriority w:val="9"/>
    <w:qFormat/>
    <w:rsid w:val="00B51682"/>
    <w:pPr>
      <w:keepNext/>
      <w:keepLines/>
      <w:numPr>
        <w:numId w:val="19"/>
      </w:numPr>
      <w:spacing w:before="240"/>
      <w:ind w:left="993" w:hanging="633"/>
      <w:outlineLvl w:val="0"/>
    </w:pPr>
    <w:rPr>
      <w:rFonts w:asciiTheme="majorHAnsi" w:eastAsiaTheme="majorEastAsia" w:hAnsiTheme="majorHAnsi" w:cstheme="majorBidi"/>
      <w:b/>
      <w:bCs/>
      <w:color w:val="3965AE" w:themeColor="text2"/>
      <w:sz w:val="32"/>
      <w:szCs w:val="32"/>
    </w:rPr>
  </w:style>
  <w:style w:type="paragraph" w:styleId="Titre2">
    <w:name w:val="heading 2"/>
    <w:basedOn w:val="Normal"/>
    <w:next w:val="Normal"/>
    <w:link w:val="Titre2Car"/>
    <w:uiPriority w:val="9"/>
    <w:unhideWhenUsed/>
    <w:qFormat/>
    <w:rsid w:val="005D5DF6"/>
    <w:pPr>
      <w:keepNext/>
      <w:keepLines/>
      <w:numPr>
        <w:numId w:val="20"/>
      </w:numPr>
      <w:spacing w:before="40"/>
      <w:ind w:left="1843"/>
      <w:outlineLvl w:val="1"/>
    </w:pPr>
    <w:rPr>
      <w:rFonts w:asciiTheme="majorHAnsi" w:eastAsiaTheme="majorEastAsia" w:hAnsiTheme="majorHAnsi" w:cstheme="majorBidi"/>
      <w:b/>
      <w:bCs/>
      <w:color w:val="6EC6D8" w:themeColor="background2"/>
      <w:sz w:val="28"/>
      <w:szCs w:val="28"/>
    </w:rPr>
  </w:style>
  <w:style w:type="paragraph" w:styleId="Titre3">
    <w:name w:val="heading 3"/>
    <w:basedOn w:val="Normal"/>
    <w:next w:val="Normal"/>
    <w:link w:val="Titre3Car"/>
    <w:uiPriority w:val="9"/>
    <w:unhideWhenUsed/>
    <w:qFormat/>
    <w:rsid w:val="00AF5199"/>
    <w:pPr>
      <w:keepNext/>
      <w:keepLines/>
      <w:spacing w:before="40"/>
      <w:outlineLvl w:val="2"/>
    </w:pPr>
    <w:rPr>
      <w:rFonts w:asciiTheme="majorHAnsi" w:eastAsiaTheme="majorEastAsia" w:hAnsiTheme="majorHAnsi" w:cstheme="majorBidi"/>
      <w:color w:val="6287AB" w:themeColor="accent3" w:themeShade="BF"/>
      <w:u w:val="single"/>
    </w:rPr>
  </w:style>
  <w:style w:type="paragraph" w:styleId="Titre4">
    <w:name w:val="heading 4"/>
    <w:aliases w:val="Type de document"/>
    <w:basedOn w:val="Normal"/>
    <w:next w:val="Normal"/>
    <w:link w:val="Titre4Car"/>
    <w:uiPriority w:val="9"/>
    <w:unhideWhenUsed/>
    <w:qFormat/>
    <w:rsid w:val="00BB07BA"/>
    <w:pPr>
      <w:jc w:val="right"/>
      <w:outlineLvl w:val="3"/>
    </w:pPr>
    <w:rPr>
      <w:b/>
      <w:bCs/>
      <w:color w:val="3965AE" w:themeColor="text2"/>
      <w:sz w:val="32"/>
      <w:szCs w:val="32"/>
    </w:rPr>
  </w:style>
  <w:style w:type="paragraph" w:styleId="Titre5">
    <w:name w:val="heading 5"/>
    <w:aliases w:val="Titre cartouche"/>
    <w:basedOn w:val="Normal"/>
    <w:next w:val="Normal"/>
    <w:link w:val="Titre5Car"/>
    <w:uiPriority w:val="9"/>
    <w:unhideWhenUsed/>
    <w:qFormat/>
    <w:rsid w:val="003671E0"/>
    <w:pPr>
      <w:framePr w:hSpace="141" w:wrap="around" w:vAnchor="text" w:hAnchor="margin" w:x="-299" w:y="90"/>
      <w:spacing w:line="240" w:lineRule="auto"/>
      <w:outlineLvl w:val="4"/>
    </w:pPr>
    <w:rPr>
      <w:color w:val="FFFFFF" w:themeColor="background1"/>
    </w:rPr>
  </w:style>
  <w:style w:type="paragraph" w:styleId="Titre6">
    <w:name w:val="heading 6"/>
    <w:basedOn w:val="Normal"/>
    <w:next w:val="Normal"/>
    <w:link w:val="Titre6Car"/>
    <w:uiPriority w:val="9"/>
    <w:semiHidden/>
    <w:unhideWhenUsed/>
    <w:qFormat/>
    <w:rsid w:val="008B0FDD"/>
    <w:pPr>
      <w:keepNext/>
      <w:keepLines/>
      <w:spacing w:before="40"/>
      <w:outlineLvl w:val="5"/>
    </w:pPr>
    <w:rPr>
      <w:rFonts w:asciiTheme="majorHAnsi" w:eastAsiaTheme="majorEastAsia" w:hAnsiTheme="majorHAnsi" w:cstheme="majorBidi"/>
      <w:color w:val="525E17"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84D19"/>
    <w:pPr>
      <w:tabs>
        <w:tab w:val="center" w:pos="4536"/>
        <w:tab w:val="right" w:pos="9072"/>
      </w:tabs>
      <w:spacing w:line="240" w:lineRule="auto"/>
    </w:pPr>
  </w:style>
  <w:style w:type="character" w:customStyle="1" w:styleId="En-tteCar">
    <w:name w:val="En-tête Car"/>
    <w:basedOn w:val="Policepardfaut"/>
    <w:link w:val="En-tte"/>
    <w:uiPriority w:val="99"/>
    <w:rsid w:val="00A84D19"/>
  </w:style>
  <w:style w:type="paragraph" w:styleId="Pieddepage">
    <w:name w:val="footer"/>
    <w:basedOn w:val="Normal"/>
    <w:link w:val="PieddepageCar"/>
    <w:uiPriority w:val="99"/>
    <w:unhideWhenUsed/>
    <w:rsid w:val="00A84D19"/>
    <w:pPr>
      <w:tabs>
        <w:tab w:val="center" w:pos="4536"/>
        <w:tab w:val="right" w:pos="9072"/>
      </w:tabs>
      <w:spacing w:line="240" w:lineRule="auto"/>
    </w:pPr>
  </w:style>
  <w:style w:type="character" w:customStyle="1" w:styleId="PieddepageCar">
    <w:name w:val="Pied de page Car"/>
    <w:basedOn w:val="Policepardfaut"/>
    <w:link w:val="Pieddepage"/>
    <w:uiPriority w:val="99"/>
    <w:rsid w:val="00A84D19"/>
  </w:style>
  <w:style w:type="table" w:styleId="Grilledutableau">
    <w:name w:val="Table Grid"/>
    <w:basedOn w:val="TableauNormal"/>
    <w:uiPriority w:val="39"/>
    <w:rsid w:val="00A84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B51682"/>
    <w:rPr>
      <w:rFonts w:asciiTheme="majorHAnsi" w:eastAsiaTheme="majorEastAsia" w:hAnsiTheme="majorHAnsi" w:cstheme="majorBidi"/>
      <w:b/>
      <w:bCs/>
      <w:color w:val="3965AE" w:themeColor="text2"/>
      <w:sz w:val="32"/>
      <w:szCs w:val="32"/>
    </w:rPr>
  </w:style>
  <w:style w:type="character" w:customStyle="1" w:styleId="Titre2Car">
    <w:name w:val="Titre 2 Car"/>
    <w:basedOn w:val="Policepardfaut"/>
    <w:link w:val="Titre2"/>
    <w:uiPriority w:val="9"/>
    <w:rsid w:val="005D5DF6"/>
    <w:rPr>
      <w:rFonts w:asciiTheme="majorHAnsi" w:eastAsiaTheme="majorEastAsia" w:hAnsiTheme="majorHAnsi" w:cstheme="majorBidi"/>
      <w:b/>
      <w:bCs/>
      <w:color w:val="6EC6D8" w:themeColor="background2"/>
      <w:sz w:val="28"/>
      <w:szCs w:val="28"/>
    </w:rPr>
  </w:style>
  <w:style w:type="character" w:customStyle="1" w:styleId="Titre3Car">
    <w:name w:val="Titre 3 Car"/>
    <w:basedOn w:val="Policepardfaut"/>
    <w:link w:val="Titre3"/>
    <w:uiPriority w:val="9"/>
    <w:rsid w:val="00AF5199"/>
    <w:rPr>
      <w:rFonts w:asciiTheme="majorHAnsi" w:eastAsiaTheme="majorEastAsia" w:hAnsiTheme="majorHAnsi" w:cstheme="majorBidi"/>
      <w:color w:val="6287AB" w:themeColor="accent3" w:themeShade="BF"/>
      <w:u w:val="single"/>
    </w:rPr>
  </w:style>
  <w:style w:type="character" w:customStyle="1" w:styleId="Titre4Car">
    <w:name w:val="Titre 4 Car"/>
    <w:aliases w:val="Type de document Car"/>
    <w:basedOn w:val="Policepardfaut"/>
    <w:link w:val="Titre4"/>
    <w:uiPriority w:val="9"/>
    <w:rsid w:val="00BB07BA"/>
    <w:rPr>
      <w:b/>
      <w:bCs/>
      <w:color w:val="3965AE" w:themeColor="text2"/>
      <w:sz w:val="32"/>
      <w:szCs w:val="32"/>
    </w:rPr>
  </w:style>
  <w:style w:type="character" w:customStyle="1" w:styleId="Titre5Car">
    <w:name w:val="Titre 5 Car"/>
    <w:aliases w:val="Titre cartouche Car"/>
    <w:basedOn w:val="Policepardfaut"/>
    <w:link w:val="Titre5"/>
    <w:uiPriority w:val="9"/>
    <w:rsid w:val="003671E0"/>
    <w:rPr>
      <w:color w:val="FFFFFF" w:themeColor="background1"/>
      <w:sz w:val="24"/>
      <w:szCs w:val="24"/>
    </w:rPr>
  </w:style>
  <w:style w:type="character" w:styleId="lev">
    <w:name w:val="Strong"/>
    <w:aliases w:val="Date et rédacteur"/>
    <w:uiPriority w:val="22"/>
    <w:qFormat/>
    <w:rsid w:val="00925F69"/>
  </w:style>
  <w:style w:type="paragraph" w:styleId="Citationintense">
    <w:name w:val="Intense Quote"/>
    <w:basedOn w:val="Normal"/>
    <w:next w:val="Normal"/>
    <w:link w:val="CitationintenseCar"/>
    <w:uiPriority w:val="30"/>
    <w:qFormat/>
    <w:rsid w:val="00B850F9"/>
    <w:pPr>
      <w:ind w:left="5103"/>
    </w:pPr>
    <w:rPr>
      <w:color w:val="3965AE" w:themeColor="text2"/>
    </w:rPr>
  </w:style>
  <w:style w:type="character" w:customStyle="1" w:styleId="CitationintenseCar">
    <w:name w:val="Citation intense Car"/>
    <w:basedOn w:val="Policepardfaut"/>
    <w:link w:val="Citationintense"/>
    <w:uiPriority w:val="30"/>
    <w:rsid w:val="00B850F9"/>
    <w:rPr>
      <w:color w:val="3965AE" w:themeColor="text2"/>
      <w:sz w:val="24"/>
      <w:szCs w:val="24"/>
    </w:rPr>
  </w:style>
  <w:style w:type="character" w:styleId="Titredulivre">
    <w:name w:val="Book Title"/>
    <w:aliases w:val="Titre général"/>
    <w:uiPriority w:val="33"/>
    <w:qFormat/>
    <w:rsid w:val="00BB07BA"/>
    <w:rPr>
      <w:b/>
      <w:bCs/>
      <w:sz w:val="44"/>
      <w:szCs w:val="44"/>
    </w:rPr>
  </w:style>
  <w:style w:type="paragraph" w:styleId="Sous-titre">
    <w:name w:val="Subtitle"/>
    <w:aliases w:val="Sous-titre général"/>
    <w:basedOn w:val="Normal"/>
    <w:next w:val="Normal"/>
    <w:link w:val="Sous-titreCar"/>
    <w:uiPriority w:val="11"/>
    <w:qFormat/>
    <w:rsid w:val="00BB07BA"/>
    <w:rPr>
      <w:sz w:val="32"/>
      <w:szCs w:val="32"/>
    </w:rPr>
  </w:style>
  <w:style w:type="character" w:customStyle="1" w:styleId="Sous-titreCar">
    <w:name w:val="Sous-titre Car"/>
    <w:aliases w:val="Sous-titre général Car"/>
    <w:basedOn w:val="Policepardfaut"/>
    <w:link w:val="Sous-titre"/>
    <w:uiPriority w:val="11"/>
    <w:rsid w:val="00BB07BA"/>
    <w:rPr>
      <w:sz w:val="32"/>
      <w:szCs w:val="32"/>
    </w:rPr>
  </w:style>
  <w:style w:type="character" w:styleId="Lienhypertexte">
    <w:name w:val="Hyperlink"/>
    <w:basedOn w:val="Policepardfaut"/>
    <w:uiPriority w:val="99"/>
    <w:unhideWhenUsed/>
    <w:rsid w:val="00487725"/>
    <w:rPr>
      <w:color w:val="505050" w:themeColor="hyperlink"/>
      <w:u w:val="single"/>
    </w:rPr>
  </w:style>
  <w:style w:type="character" w:styleId="Mentionnonrsolue">
    <w:name w:val="Unresolved Mention"/>
    <w:basedOn w:val="Policepardfaut"/>
    <w:uiPriority w:val="99"/>
    <w:semiHidden/>
    <w:unhideWhenUsed/>
    <w:rsid w:val="00487725"/>
    <w:rPr>
      <w:color w:val="605E5C"/>
      <w:shd w:val="clear" w:color="auto" w:fill="E1DFDD"/>
    </w:rPr>
  </w:style>
  <w:style w:type="character" w:styleId="Accentuationlgre">
    <w:name w:val="Subtle Emphasis"/>
    <w:aliases w:val="Figure"/>
    <w:basedOn w:val="Policepardfaut"/>
    <w:uiPriority w:val="19"/>
    <w:qFormat/>
    <w:rsid w:val="00C56195"/>
    <w:rPr>
      <w:i/>
      <w:iCs/>
      <w:color w:val="7F7F7F" w:themeColor="text1" w:themeTint="80"/>
      <w:sz w:val="20"/>
      <w:szCs w:val="20"/>
    </w:rPr>
  </w:style>
  <w:style w:type="paragraph" w:styleId="Paragraphedeliste">
    <w:name w:val="List Paragraph"/>
    <w:basedOn w:val="Normal"/>
    <w:link w:val="ParagraphedelisteCar"/>
    <w:uiPriority w:val="34"/>
    <w:qFormat/>
    <w:rsid w:val="00925F69"/>
    <w:pPr>
      <w:ind w:left="720"/>
      <w:contextualSpacing/>
    </w:pPr>
  </w:style>
  <w:style w:type="paragraph" w:styleId="Titre">
    <w:name w:val="Title"/>
    <w:aliases w:val="Etape"/>
    <w:basedOn w:val="Normal"/>
    <w:next w:val="Normal"/>
    <w:link w:val="TitreCar"/>
    <w:uiPriority w:val="10"/>
    <w:qFormat/>
    <w:rsid w:val="00AF5199"/>
    <w:pPr>
      <w:jc w:val="center"/>
    </w:pPr>
    <w:rPr>
      <w:color w:val="3965AE" w:themeColor="text2"/>
      <w:sz w:val="28"/>
      <w:szCs w:val="28"/>
    </w:rPr>
  </w:style>
  <w:style w:type="character" w:customStyle="1" w:styleId="TitreCar">
    <w:name w:val="Titre Car"/>
    <w:aliases w:val="Etape Car"/>
    <w:basedOn w:val="Policepardfaut"/>
    <w:link w:val="Titre"/>
    <w:uiPriority w:val="10"/>
    <w:rsid w:val="00AF5199"/>
    <w:rPr>
      <w:color w:val="3965AE" w:themeColor="text2"/>
      <w:sz w:val="28"/>
      <w:szCs w:val="28"/>
    </w:rPr>
  </w:style>
  <w:style w:type="paragraph" w:customStyle="1" w:styleId="501-dosadresse">
    <w:name w:val="501-dos adresse"/>
    <w:basedOn w:val="Normal"/>
    <w:qFormat/>
    <w:rsid w:val="00446C9B"/>
    <w:pPr>
      <w:framePr w:w="4536" w:hSpace="142" w:wrap="notBeside" w:vAnchor="page" w:hAnchor="page" w:x="908" w:y="15543"/>
      <w:adjustRightInd w:val="0"/>
      <w:snapToGrid w:val="0"/>
      <w:spacing w:line="220" w:lineRule="exact"/>
      <w:jc w:val="left"/>
    </w:pPr>
    <w:rPr>
      <w:sz w:val="16"/>
      <w:szCs w:val="18"/>
    </w:rPr>
  </w:style>
  <w:style w:type="paragraph" w:styleId="Citation">
    <w:name w:val="Quote"/>
    <w:aliases w:val="Introduction"/>
    <w:basedOn w:val="Titre6"/>
    <w:next w:val="Normal"/>
    <w:link w:val="CitationCar"/>
    <w:uiPriority w:val="29"/>
    <w:qFormat/>
    <w:rsid w:val="008B0FDD"/>
    <w:pPr>
      <w:keepNext w:val="0"/>
      <w:keepLines w:val="0"/>
      <w:spacing w:before="0"/>
    </w:pPr>
    <w:rPr>
      <w:rFonts w:asciiTheme="minorHAnsi" w:eastAsiaTheme="minorHAnsi" w:hAnsiTheme="minorHAnsi" w:cstheme="minorBidi"/>
      <w:b/>
      <w:bCs/>
      <w:color w:val="6EC6D8" w:themeColor="background2"/>
      <w:sz w:val="32"/>
      <w:szCs w:val="32"/>
    </w:rPr>
  </w:style>
  <w:style w:type="character" w:customStyle="1" w:styleId="CitationCar">
    <w:name w:val="Citation Car"/>
    <w:aliases w:val="Introduction Car"/>
    <w:basedOn w:val="Policepardfaut"/>
    <w:link w:val="Citation"/>
    <w:uiPriority w:val="29"/>
    <w:rsid w:val="008B0FDD"/>
    <w:rPr>
      <w:b/>
      <w:bCs/>
      <w:color w:val="6EC6D8" w:themeColor="background2"/>
      <w:sz w:val="32"/>
      <w:szCs w:val="32"/>
    </w:rPr>
  </w:style>
  <w:style w:type="character" w:customStyle="1" w:styleId="Titre6Car">
    <w:name w:val="Titre 6 Car"/>
    <w:basedOn w:val="Policepardfaut"/>
    <w:link w:val="Titre6"/>
    <w:uiPriority w:val="9"/>
    <w:semiHidden/>
    <w:rsid w:val="008B0FDD"/>
    <w:rPr>
      <w:rFonts w:asciiTheme="majorHAnsi" w:eastAsiaTheme="majorEastAsia" w:hAnsiTheme="majorHAnsi" w:cstheme="majorBidi"/>
      <w:color w:val="525E17" w:themeColor="accent1" w:themeShade="7F"/>
    </w:rPr>
  </w:style>
  <w:style w:type="paragraph" w:customStyle="1" w:styleId="Default">
    <w:name w:val="Default"/>
    <w:rsid w:val="0002479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doc-ti">
    <w:name w:val="doc-ti"/>
    <w:basedOn w:val="Normal"/>
    <w:rsid w:val="00024791"/>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customStyle="1" w:styleId="CM1">
    <w:name w:val="CM1"/>
    <w:basedOn w:val="Default"/>
    <w:next w:val="Default"/>
    <w:uiPriority w:val="99"/>
    <w:rsid w:val="00024791"/>
    <w:rPr>
      <w:color w:val="auto"/>
    </w:rPr>
  </w:style>
  <w:style w:type="paragraph" w:styleId="Notedebasdepage">
    <w:name w:val="footnote text"/>
    <w:basedOn w:val="Normal"/>
    <w:link w:val="NotedebasdepageCar"/>
    <w:uiPriority w:val="99"/>
    <w:semiHidden/>
    <w:unhideWhenUsed/>
    <w:rsid w:val="00024791"/>
    <w:pPr>
      <w:spacing w:line="240" w:lineRule="auto"/>
      <w:jc w:val="left"/>
    </w:pPr>
    <w:rPr>
      <w:rFonts w:ascii="Arial" w:hAnsi="Arial"/>
      <w:sz w:val="20"/>
      <w:szCs w:val="20"/>
    </w:rPr>
  </w:style>
  <w:style w:type="character" w:customStyle="1" w:styleId="NotedebasdepageCar">
    <w:name w:val="Note de bas de page Car"/>
    <w:basedOn w:val="Policepardfaut"/>
    <w:link w:val="Notedebasdepage"/>
    <w:uiPriority w:val="99"/>
    <w:semiHidden/>
    <w:rsid w:val="00024791"/>
    <w:rPr>
      <w:rFonts w:ascii="Arial" w:hAnsi="Arial"/>
      <w:sz w:val="20"/>
      <w:szCs w:val="20"/>
    </w:rPr>
  </w:style>
  <w:style w:type="character" w:styleId="Appelnotedebasdep">
    <w:name w:val="footnote reference"/>
    <w:basedOn w:val="Policepardfaut"/>
    <w:uiPriority w:val="99"/>
    <w:semiHidden/>
    <w:unhideWhenUsed/>
    <w:rsid w:val="00024791"/>
    <w:rPr>
      <w:vertAlign w:val="superscript"/>
    </w:rPr>
  </w:style>
  <w:style w:type="paragraph" w:styleId="Textedebulles">
    <w:name w:val="Balloon Text"/>
    <w:basedOn w:val="Normal"/>
    <w:link w:val="TextedebullesCar"/>
    <w:uiPriority w:val="99"/>
    <w:semiHidden/>
    <w:unhideWhenUsed/>
    <w:rsid w:val="00024791"/>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24791"/>
    <w:rPr>
      <w:rFonts w:ascii="Segoe UI" w:hAnsi="Segoe UI" w:cs="Segoe UI"/>
      <w:sz w:val="18"/>
      <w:szCs w:val="18"/>
    </w:rPr>
  </w:style>
  <w:style w:type="character" w:styleId="Marquedecommentaire">
    <w:name w:val="annotation reference"/>
    <w:basedOn w:val="Policepardfaut"/>
    <w:uiPriority w:val="99"/>
    <w:semiHidden/>
    <w:unhideWhenUsed/>
    <w:rsid w:val="005C5080"/>
    <w:rPr>
      <w:sz w:val="16"/>
      <w:szCs w:val="16"/>
    </w:rPr>
  </w:style>
  <w:style w:type="paragraph" w:styleId="Commentaire">
    <w:name w:val="annotation text"/>
    <w:basedOn w:val="Normal"/>
    <w:link w:val="CommentaireCar"/>
    <w:uiPriority w:val="99"/>
    <w:semiHidden/>
    <w:unhideWhenUsed/>
    <w:rsid w:val="005C5080"/>
    <w:pPr>
      <w:spacing w:after="160" w:line="240" w:lineRule="auto"/>
      <w:jc w:val="left"/>
    </w:pPr>
    <w:rPr>
      <w:sz w:val="20"/>
      <w:szCs w:val="20"/>
    </w:rPr>
  </w:style>
  <w:style w:type="character" w:customStyle="1" w:styleId="CommentaireCar">
    <w:name w:val="Commentaire Car"/>
    <w:basedOn w:val="Policepardfaut"/>
    <w:link w:val="Commentaire"/>
    <w:uiPriority w:val="99"/>
    <w:semiHidden/>
    <w:rsid w:val="005C5080"/>
    <w:rPr>
      <w:sz w:val="20"/>
      <w:szCs w:val="20"/>
    </w:rPr>
  </w:style>
  <w:style w:type="character" w:customStyle="1" w:styleId="ParagraphedelisteCar">
    <w:name w:val="Paragraphe de liste Car"/>
    <w:basedOn w:val="Policepardfaut"/>
    <w:link w:val="Paragraphedeliste"/>
    <w:uiPriority w:val="34"/>
    <w:locked/>
    <w:rsid w:val="00D47C43"/>
  </w:style>
  <w:style w:type="paragraph" w:styleId="PrformatHTML">
    <w:name w:val="HTML Preformatted"/>
    <w:basedOn w:val="Normal"/>
    <w:link w:val="PrformatHTMLCar"/>
    <w:uiPriority w:val="99"/>
    <w:unhideWhenUsed/>
    <w:rsid w:val="00B23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B23FB9"/>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147441">
      <w:bodyDiv w:val="1"/>
      <w:marLeft w:val="0"/>
      <w:marRight w:val="0"/>
      <w:marTop w:val="0"/>
      <w:marBottom w:val="0"/>
      <w:divBdr>
        <w:top w:val="none" w:sz="0" w:space="0" w:color="auto"/>
        <w:left w:val="none" w:sz="0" w:space="0" w:color="auto"/>
        <w:bottom w:val="none" w:sz="0" w:space="0" w:color="auto"/>
        <w:right w:val="none" w:sz="0" w:space="0" w:color="auto"/>
      </w:divBdr>
    </w:div>
    <w:div w:id="249043711">
      <w:bodyDiv w:val="1"/>
      <w:marLeft w:val="0"/>
      <w:marRight w:val="0"/>
      <w:marTop w:val="0"/>
      <w:marBottom w:val="0"/>
      <w:divBdr>
        <w:top w:val="none" w:sz="0" w:space="0" w:color="auto"/>
        <w:left w:val="none" w:sz="0" w:space="0" w:color="auto"/>
        <w:bottom w:val="none" w:sz="0" w:space="0" w:color="auto"/>
        <w:right w:val="none" w:sz="0" w:space="0" w:color="auto"/>
      </w:divBdr>
    </w:div>
    <w:div w:id="477263151">
      <w:bodyDiv w:val="1"/>
      <w:marLeft w:val="0"/>
      <w:marRight w:val="0"/>
      <w:marTop w:val="0"/>
      <w:marBottom w:val="0"/>
      <w:divBdr>
        <w:top w:val="none" w:sz="0" w:space="0" w:color="auto"/>
        <w:left w:val="none" w:sz="0" w:space="0" w:color="auto"/>
        <w:bottom w:val="none" w:sz="0" w:space="0" w:color="auto"/>
        <w:right w:val="none" w:sz="0" w:space="0" w:color="auto"/>
      </w:divBdr>
    </w:div>
    <w:div w:id="652412862">
      <w:bodyDiv w:val="1"/>
      <w:marLeft w:val="0"/>
      <w:marRight w:val="0"/>
      <w:marTop w:val="0"/>
      <w:marBottom w:val="0"/>
      <w:divBdr>
        <w:top w:val="none" w:sz="0" w:space="0" w:color="auto"/>
        <w:left w:val="none" w:sz="0" w:space="0" w:color="auto"/>
        <w:bottom w:val="none" w:sz="0" w:space="0" w:color="auto"/>
        <w:right w:val="none" w:sz="0" w:space="0" w:color="auto"/>
      </w:divBdr>
    </w:div>
    <w:div w:id="866333559">
      <w:bodyDiv w:val="1"/>
      <w:marLeft w:val="0"/>
      <w:marRight w:val="0"/>
      <w:marTop w:val="0"/>
      <w:marBottom w:val="0"/>
      <w:divBdr>
        <w:top w:val="none" w:sz="0" w:space="0" w:color="auto"/>
        <w:left w:val="none" w:sz="0" w:space="0" w:color="auto"/>
        <w:bottom w:val="none" w:sz="0" w:space="0" w:color="auto"/>
        <w:right w:val="none" w:sz="0" w:space="0" w:color="auto"/>
      </w:divBdr>
    </w:div>
    <w:div w:id="1716736575">
      <w:bodyDiv w:val="1"/>
      <w:marLeft w:val="0"/>
      <w:marRight w:val="0"/>
      <w:marTop w:val="0"/>
      <w:marBottom w:val="0"/>
      <w:divBdr>
        <w:top w:val="none" w:sz="0" w:space="0" w:color="auto"/>
        <w:left w:val="none" w:sz="0" w:space="0" w:color="auto"/>
        <w:bottom w:val="none" w:sz="0" w:space="0" w:color="auto"/>
        <w:right w:val="none" w:sz="0" w:space="0" w:color="auto"/>
      </w:divBdr>
    </w:div>
    <w:div w:id="203955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ifrance.gouv.fr/jorf/id/JORFTEXT000041553759/"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GROW-B2@ec.europa.eu" TargetMode="External"/><Relationship Id="rId12" Type="http://schemas.openxmlformats.org/officeDocument/2006/relationships/hyperlink" Target="https://eur-lex.europa.eu/legal-content/EN/TXT/HTML/?uri=CELEX:02017R0745-20200424&amp;from=EN"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cha.europa.eu/fr/substance-information/-/substanceinfo/100.001.598"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cha.europa.eu/fr/proposals-to-identify-substances-of-very-high-concern-previous-consultation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nses.fr/fr/content/note-ast-relative-%C3%A0-la-mise-en-%C5%93uvre-des-dispositions-relatives-%C3%A0-linformation-des" TargetMode="External"/><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Y:\IDENTITE%20VISUELLE\MODELES\Notes%20-%20Courriers%20-%20Position%20Paper\Note%20d'information.dotx" TargetMode="External"/></Relationships>
</file>

<file path=word/theme/theme1.xml><?xml version="1.0" encoding="utf-8"?>
<a:theme xmlns:a="http://schemas.openxmlformats.org/drawingml/2006/main" name="Thème Office nouvelle charte">
  <a:themeElements>
    <a:clrScheme name="Snitem">
      <a:dk1>
        <a:srgbClr val="000000"/>
      </a:dk1>
      <a:lt1>
        <a:srgbClr val="FFFFFF"/>
      </a:lt1>
      <a:dk2>
        <a:srgbClr val="3965AE"/>
      </a:dk2>
      <a:lt2>
        <a:srgbClr val="6EC6D8"/>
      </a:lt2>
      <a:accent1>
        <a:srgbClr val="A7BE2F"/>
      </a:accent1>
      <a:accent2>
        <a:srgbClr val="CA428C"/>
      </a:accent2>
      <a:accent3>
        <a:srgbClr val="9EB5CB"/>
      </a:accent3>
      <a:accent4>
        <a:srgbClr val="C32033"/>
      </a:accent4>
      <a:accent5>
        <a:srgbClr val="F9AE33"/>
      </a:accent5>
      <a:accent6>
        <a:srgbClr val="E94F2D"/>
      </a:accent6>
      <a:hlink>
        <a:srgbClr val="505050"/>
      </a:hlink>
      <a:folHlink>
        <a:srgbClr val="A0A0A0"/>
      </a:folHlink>
    </a:clrScheme>
    <a:fontScheme name="SNITEM">
      <a:majorFont>
        <a:latin typeface="Calibri"/>
        <a:ea typeface=""/>
        <a:cs typeface=""/>
        <a:font script="Jpan" typeface="ＭＳ ゴシック"/>
        <a:font script="Hans" typeface="宋体"/>
        <a:font script="Hant" typeface="新細明體"/>
      </a:majorFont>
      <a:minorFont>
        <a:latin typeface="Calibri"/>
        <a:ea typeface=""/>
        <a:cs typeface=""/>
        <a:font script="Jpan" typeface="ＭＳ ゴシック"/>
        <a:font script="Hans" typeface="宋体"/>
        <a:font script="Hant" typeface="新細明體"/>
      </a:minorFont>
    </a:fontScheme>
    <a:fmtScheme name="Thème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ème Office nouvelle charte" id="{2EDCDB72-CACA-4819-AAF2-923A3EB59FB9}" vid="{CFF45122-8B33-490A-81DA-A6103160DF9C}"/>
    </a:ext>
  </a:extLst>
</a:theme>
</file>

<file path=docProps/app.xml><?xml version="1.0" encoding="utf-8"?>
<Properties xmlns="http://schemas.openxmlformats.org/officeDocument/2006/extended-properties" xmlns:vt="http://schemas.openxmlformats.org/officeDocument/2006/docPropsVTypes">
  <Template>Note d'information</Template>
  <TotalTime>8</TotalTime>
  <Pages>6</Pages>
  <Words>2649</Words>
  <Characters>14572</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Vaugelade</dc:creator>
  <cp:keywords/>
  <dc:description/>
  <cp:lastModifiedBy>Marie Tourret</cp:lastModifiedBy>
  <cp:revision>2</cp:revision>
  <cp:lastPrinted>2021-02-17T14:58:00Z</cp:lastPrinted>
  <dcterms:created xsi:type="dcterms:W3CDTF">2021-02-24T09:16:00Z</dcterms:created>
  <dcterms:modified xsi:type="dcterms:W3CDTF">2021-02-24T09:16:00Z</dcterms:modified>
</cp:coreProperties>
</file>