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b/>
          <w:i w:val="0"/>
          <w:sz w:val="26"/>
        </w:rPr>
        <w:t>Sultanate of Oman</w:t>
      </w:r>
    </w:p>
    <w:p>
      <w:pPr>
        <w:jc w:val="center"/>
      </w:pPr>
      <w:r>
        <w:rPr>
          <w:b/>
          <w:i w:val="0"/>
          <w:sz w:val="24"/>
        </w:rPr>
        <w:t>Nama Water Services Company SAOC</w:t>
      </w:r>
    </w:p>
    <w:p>
      <w:pPr>
        <w:spacing w:after="720"/>
      </w:pPr>
    </w:p>
    <w:p>
      <w:pPr>
        <w:jc w:val="center"/>
      </w:pPr>
      <w:r>
        <w:rPr>
          <w:b/>
          <w:i w:val="0"/>
          <w:color w:val="5A5A5A"/>
          <w:sz w:val="28"/>
        </w:rPr>
        <w:t>Consultancy Services for Design and Supervision for STP, Sewer and TE Networks Systems in Ibri</w:t>
      </w:r>
    </w:p>
    <w:p>
      <w:pPr>
        <w:jc w:val="center"/>
      </w:pPr>
      <w:r>
        <w:rPr>
          <w:b w:val="0"/>
          <w:i w:val="0"/>
          <w:color w:val="5A5A5A"/>
          <w:sz w:val="22"/>
        </w:rPr>
        <w:t>Tender No. T/2719110/2025</w:t>
      </w:r>
    </w:p>
    <w:p>
      <w:pPr>
        <w:spacing w:after="600"/>
      </w:pPr>
    </w:p>
    <w:p>
      <w:pPr>
        <w:jc w:val="center"/>
      </w:pPr>
      <w:r>
        <w:rPr>
          <w:b/>
          <w:i w:val="0"/>
          <w:color w:val="1F3B63"/>
          <w:sz w:val="44"/>
        </w:rPr>
        <w:t>Concept Design — Methodology, Equations and Workflows</w:t>
      </w:r>
    </w:p>
    <w:p>
      <w:pPr>
        <w:jc w:val="center"/>
      </w:pPr>
      <w:r>
        <w:rPr>
          <w:b/>
          <w:i w:val="0"/>
          <w:color w:val="2E629E"/>
          <w:sz w:val="26"/>
        </w:rPr>
        <w:t>Tutorial T03</w:t>
      </w:r>
    </w:p>
    <w:p>
      <w:pPr>
        <w:spacing w:after="600"/>
      </w:pPr>
    </w:p>
    <w:p>
      <w:pPr>
        <w:jc w:val="center"/>
      </w:pPr>
      <w:r>
        <w:rPr>
          <w:b w:val="0"/>
          <w:i/>
          <w:sz w:val="21"/>
        </w:rPr>
        <w:t>A working reference for every calculation the Concept Design Report requires: what each step is for, how it is done, which equation applies, what every symbol means, and which page of which guideline it comes from.</w:t>
      </w:r>
    </w:p>
    <w:p>
      <w:pPr>
        <w:spacing w:after="1200"/>
      </w:pPr>
    </w:p>
    <w:p>
      <w:pPr>
        <w:jc w:val="center"/>
      </w:pPr>
      <w:r>
        <w:rPr>
          <w:b/>
          <w:i w:val="0"/>
          <w:sz w:val="22"/>
        </w:rPr>
        <w:t>Renardet S.A. &amp; Partners</w:t>
      </w:r>
    </w:p>
    <w:p>
      <w:pPr>
        <w:jc w:val="center"/>
      </w:pPr>
      <w:r>
        <w:rPr>
          <w:b w:val="0"/>
          <w:i w:val="0"/>
          <w:color w:val="5A5A5A"/>
          <w:sz w:val="20"/>
        </w:rPr>
        <w:t>Project 2621   ·   Revision 0   ·   August 2026</w:t>
      </w:r>
    </w:p>
    <w:p>
      <w:r>
        <w:br w:type="page"/>
      </w:r>
    </w:p>
    <w:p>
      <w:pPr>
        <w:pStyle w:val="Heading1"/>
      </w:pPr>
      <w:r>
        <w:t>Contents</w:t>
      </w:r>
    </w:p>
    <w:p>
      <w:fldSimple w:instr="TOC \o &quot;1-3&quot; \h \z \u">
        <w:r>
          <w:t>Right-click and choose Update Field to build the contents.</w:t>
        </w:r>
      </w:fldSimple>
    </w:p>
    <w:p>
      <w:r>
        <w:br w:type="page"/>
      </w:r>
    </w:p>
    <w:p>
      <w:pPr>
        <w:pStyle w:val="Heading1"/>
      </w:pPr>
      <w:r>
        <w:t>How to use this document</w:t>
      </w:r>
    </w:p>
    <w:p>
      <w:r>
        <w:rPr>
          <w:b w:val="0"/>
          <w:i w:val="0"/>
        </w:rPr>
        <w:t>This is a reference, not a report. It is written to be opened at the point of need: when a step of the concept design has to be carried out and the question is what exactly to calculate, with what, and on whose authority.</w:t>
      </w:r>
    </w:p>
    <w:p>
      <w:pPr>
        <w:pStyle w:val="Heading2"/>
      </w:pPr>
      <w:r>
        <w:t>Reading paths</w:t>
      </w:r>
    </w:p>
    <w:tbl>
      <w:tblPr>
        <w:tblStyle w:val="TableGrid"/>
        <w:tblW w:type="auto" w:w="0"/>
        <w:jc w:val="center"/>
        <w:tblLook w:firstColumn="1" w:firstRow="1" w:lastColumn="0" w:lastRow="0" w:noHBand="0" w:noVBand="1" w:val="04A0"/>
      </w:tblPr>
      <w:tblGrid>
        <w:gridCol w:w="4706"/>
        <w:gridCol w:w="4706"/>
      </w:tblGrid>
      <w:tr>
        <w:tc>
          <w:tcPr>
            <w:tcW w:type="dxa" w:w="4252"/>
            <w:shd w:val="clear" w:color="auto" w:fill="1F3B63"/>
          </w:tcPr>
          <w:p>
            <w:pPr>
              <w:spacing w:after="40"/>
            </w:pPr>
            <w:r/>
            <w:r>
              <w:rPr>
                <w:b/>
                <w:color w:val="FFFFFF"/>
                <w:sz w:val="19"/>
              </w:rPr>
              <w:t>If you want to…</w:t>
            </w:r>
          </w:p>
        </w:tc>
        <w:tc>
          <w:tcPr>
            <w:tcW w:type="dxa" w:w="5102"/>
            <w:shd w:val="clear" w:color="auto" w:fill="1F3B63"/>
          </w:tcPr>
          <w:p>
            <w:pPr>
              <w:spacing w:after="40"/>
            </w:pPr>
            <w:r/>
            <w:r>
              <w:rPr>
                <w:b/>
                <w:color w:val="FFFFFF"/>
                <w:sz w:val="19"/>
              </w:rPr>
              <w:t>Read</w:t>
            </w:r>
          </w:p>
        </w:tc>
      </w:tr>
      <w:tr>
        <w:tc>
          <w:tcPr>
            <w:tcW w:type="dxa" w:w="4252"/>
          </w:tcPr>
          <w:p>
            <w:pPr>
              <w:spacing w:after="40"/>
            </w:pPr>
            <w:r/>
            <w:r>
              <w:rPr>
                <w:b w:val="0"/>
                <w:sz w:val="19"/>
              </w:rPr>
              <w:t>Understand the whole chain in twenty minutes</w:t>
            </w:r>
          </w:p>
        </w:tc>
        <w:tc>
          <w:tcPr>
            <w:tcW w:type="dxa" w:w="5102"/>
          </w:tcPr>
          <w:p>
            <w:pPr>
              <w:spacing w:after="40"/>
            </w:pPr>
            <w:r/>
            <w:r>
              <w:rPr>
                <w:b w:val="0"/>
                <w:sz w:val="19"/>
              </w:rPr>
              <w:t>The executive summary that follows, and nothing else</w:t>
            </w:r>
          </w:p>
        </w:tc>
      </w:tr>
      <w:tr>
        <w:tc>
          <w:tcPr>
            <w:tcW w:type="dxa" w:w="4252"/>
          </w:tcPr>
          <w:p>
            <w:pPr>
              <w:spacing w:after="40"/>
            </w:pPr>
            <w:r/>
            <w:r>
              <w:rPr>
                <w:b w:val="0"/>
                <w:sz w:val="19"/>
              </w:rPr>
              <w:t>Carry out one calculation correctly</w:t>
            </w:r>
          </w:p>
        </w:tc>
        <w:tc>
          <w:tcPr>
            <w:tcW w:type="dxa" w:w="5102"/>
          </w:tcPr>
          <w:p>
            <w:pPr>
              <w:spacing w:after="40"/>
            </w:pPr>
            <w:r/>
            <w:r>
              <w:rPr>
                <w:b w:val="0"/>
                <w:sz w:val="19"/>
              </w:rPr>
              <w:t>The section for that step. Each is self-contained</w:t>
            </w:r>
          </w:p>
        </w:tc>
      </w:tr>
      <w:tr>
        <w:tc>
          <w:tcPr>
            <w:tcW w:type="dxa" w:w="4252"/>
          </w:tcPr>
          <w:p>
            <w:pPr>
              <w:spacing w:after="40"/>
            </w:pPr>
            <w:r/>
            <w:r>
              <w:rPr>
                <w:b w:val="0"/>
                <w:sz w:val="19"/>
              </w:rPr>
              <w:t>Check a number before it goes to the client</w:t>
            </w:r>
          </w:p>
        </w:tc>
        <w:tc>
          <w:tcPr>
            <w:tcW w:type="dxa" w:w="5102"/>
          </w:tcPr>
          <w:p>
            <w:pPr>
              <w:spacing w:after="40"/>
            </w:pPr>
            <w:r/>
            <w:r>
              <w:rPr>
                <w:b w:val="0"/>
                <w:sz w:val="19"/>
              </w:rPr>
              <w:t>The equation, then its source page in the guideline itself</w:t>
            </w:r>
          </w:p>
        </w:tc>
      </w:tr>
      <w:tr>
        <w:tc>
          <w:tcPr>
            <w:tcW w:type="dxa" w:w="4252"/>
          </w:tcPr>
          <w:p>
            <w:pPr>
              <w:spacing w:after="40"/>
            </w:pPr>
            <w:r/>
            <w:r>
              <w:rPr>
                <w:b w:val="0"/>
                <w:sz w:val="19"/>
              </w:rPr>
              <w:t>Know where the guidelines are wrong or silent</w:t>
            </w:r>
          </w:p>
        </w:tc>
        <w:tc>
          <w:tcPr>
            <w:tcW w:type="dxa" w:w="5102"/>
          </w:tcPr>
          <w:p>
            <w:pPr>
              <w:spacing w:after="40"/>
            </w:pPr>
            <w:r/>
            <w:r>
              <w:rPr>
                <w:b w:val="0"/>
                <w:sz w:val="19"/>
              </w:rPr>
              <w:t>Section 15, and the caution boxes throughout</w:t>
            </w:r>
          </w:p>
        </w:tc>
      </w:tr>
    </w:tbl>
    <w:p>
      <w:pPr>
        <w:pStyle w:val="Heading2"/>
      </w:pPr>
      <w:r>
        <w:t>How each section is built</w:t>
      </w:r>
    </w:p>
    <w:p>
      <w:r>
        <w:rPr>
          <w:b w:val="0"/>
          <w:i w:val="0"/>
        </w:rPr>
        <w:t>Every calculation section follows the same five parts, so the document can be navigated by shape rather than by memory.</w:t>
      </w:r>
    </w:p>
    <w:p>
      <w:pPr>
        <w:pStyle w:val="ListBullet"/>
        <w:spacing w:after="60"/>
        <w:ind w:left="340"/>
      </w:pPr>
      <w:r>
        <w:rPr>
          <w:b/>
        </w:rPr>
        <w:t xml:space="preserve">Purpose — </w:t>
      </w:r>
      <w:r>
        <w:t>why the step exists and what it feeds</w:t>
      </w:r>
    </w:p>
    <w:p>
      <w:pPr>
        <w:pStyle w:val="ListBullet"/>
        <w:spacing w:after="60"/>
        <w:ind w:left="340"/>
      </w:pPr>
      <w:r>
        <w:rPr>
          <w:b/>
        </w:rPr>
        <w:t xml:space="preserve">Method — </w:t>
      </w:r>
      <w:r>
        <w:t>how it is done, in order</w:t>
      </w:r>
    </w:p>
    <w:p>
      <w:pPr>
        <w:pStyle w:val="ListBullet"/>
        <w:spacing w:after="60"/>
        <w:ind w:left="340"/>
      </w:pPr>
      <w:r>
        <w:rPr>
          <w:b/>
        </w:rPr>
        <w:t xml:space="preserve">Equation — </w:t>
      </w:r>
      <w:r>
        <w:t>as a native Word equation, numbered</w:t>
      </w:r>
    </w:p>
    <w:p>
      <w:pPr>
        <w:pStyle w:val="ListBullet"/>
        <w:spacing w:after="60"/>
        <w:ind w:left="340"/>
      </w:pPr>
      <w:r>
        <w:rPr>
          <w:b/>
        </w:rPr>
        <w:t xml:space="preserve">Parameters — </w:t>
      </w:r>
      <w:r>
        <w:t>every symbol, its meaning and its unit</w:t>
      </w:r>
    </w:p>
    <w:p>
      <w:pPr>
        <w:pStyle w:val="ListBullet"/>
        <w:spacing w:after="60"/>
        <w:ind w:left="340"/>
      </w:pPr>
      <w:r>
        <w:rPr>
          <w:b/>
        </w:rPr>
        <w:t xml:space="preserve">Source — </w:t>
      </w:r>
      <w:r>
        <w:t>guideline and page, so any figure can be checked at source</w:t>
      </w:r>
    </w:p>
    <w:p>
      <w:pPr>
        <w:pStyle w:val="Heading2"/>
      </w:pPr>
      <w:r>
        <w:t>Three conventions worth knowing before you start</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Nothing here is quoted from memory.  </w:t>
      </w:r>
      <w:r>
        <w:rPr>
          <w:sz w:val="20"/>
        </w:rPr>
        <w:t>Every equation in this document was read from the guideline page itself, rendered as an image, because the text layer of the PDFs mangles fraction bars, roots and exponents. Three equations exist in the guidelines only as pictures and cannot be found by searching the text at all.</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Where a formula is not NWS's, it says so.  </w:t>
      </w:r>
      <w:r>
        <w:rPr>
          <w:sz w:val="20"/>
        </w:rPr>
        <w:t>Several formulae every engineer expects to find — net present value, life cycle cost, total dynamic head, pump power, Darcy-Weisbach and Hazen-Williams in written form — do not appear anywhere in the three guidelines. Each is attributed here to its actual source. Citing NWS for them would be a fabricated reference.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Where the guideline is wrong, it is reproduced and flagged.  </w:t>
      </w:r>
      <w:r>
        <w:rPr>
          <w:sz w:val="20"/>
        </w:rPr>
        <w:t>The guidelines contain errors — a dimensionally impossible flow equation, a peak-factor formula that differs from the published original, a tanker ratio that cannot be arithmetically true. This document prints what the guideline prints, then says plainly what is wrong with it. It does not silently correct the client's own standard.</w:t>
      </w:r>
    </w:p>
    <w:p/>
    <w:p>
      <w:pPr>
        <w:pStyle w:val="Heading2"/>
      </w:pPr>
      <w:r>
        <w:t>Abbreviations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B63"/>
          </w:tcPr>
          <w:p>
            <w:pPr>
              <w:spacing w:after="40"/>
            </w:pPr>
            <w:r/>
            <w:r>
              <w:rPr>
                <w:b/>
                <w:color w:val="FFFFFF"/>
                <w:sz w:val="18"/>
              </w:rPr>
              <w:t>Term</w:t>
            </w:r>
          </w:p>
        </w:tc>
        <w:tc>
          <w:tcPr>
            <w:tcW w:type="dxa" w:w="7654"/>
            <w:shd w:val="clear" w:color="auto" w:fill="1F3B63"/>
          </w:tcPr>
          <w:p>
            <w:pPr>
              <w:spacing w:after="40"/>
            </w:pPr>
            <w:r/>
            <w:r>
              <w:rPr>
                <w:b/>
                <w:color w:val="FFFFFF"/>
                <w:sz w:val="18"/>
              </w:rPr>
              <w:t>Meaning</w:t>
            </w:r>
          </w:p>
        </w:tc>
      </w:tr>
      <w:tr>
        <w:tc>
          <w:tcPr>
            <w:tcW w:type="dxa" w:w="1701"/>
          </w:tcPr>
          <w:p>
            <w:pPr>
              <w:spacing w:after="40"/>
            </w:pPr>
            <w:r/>
            <w:r>
              <w:rPr>
                <w:b w:val="0"/>
                <w:sz w:val="18"/>
              </w:rPr>
              <w:t>AAF</w:t>
            </w:r>
          </w:p>
        </w:tc>
        <w:tc>
          <w:tcPr>
            <w:tcW w:type="dxa" w:w="7654"/>
          </w:tcPr>
          <w:p>
            <w:pPr>
              <w:spacing w:after="40"/>
            </w:pPr>
            <w:r/>
            <w:r>
              <w:rPr>
                <w:b w:val="0"/>
                <w:sz w:val="18"/>
              </w:rPr>
              <w:t>Average Annual Flow, the daily volume averaged over a year</w:t>
            </w:r>
          </w:p>
        </w:tc>
      </w:tr>
      <w:tr>
        <w:tc>
          <w:tcPr>
            <w:tcW w:type="dxa" w:w="1701"/>
          </w:tcPr>
          <w:p>
            <w:pPr>
              <w:spacing w:after="40"/>
            </w:pPr>
            <w:r/>
            <w:r>
              <w:rPr>
                <w:b w:val="0"/>
                <w:sz w:val="18"/>
              </w:rPr>
              <w:t>Qadf</w:t>
            </w:r>
          </w:p>
        </w:tc>
        <w:tc>
          <w:tcPr>
            <w:tcW w:type="dxa" w:w="7654"/>
          </w:tcPr>
          <w:p>
            <w:pPr>
              <w:spacing w:after="40"/>
            </w:pPr>
            <w:r/>
            <w:r>
              <w:rPr>
                <w:b w:val="0"/>
                <w:sz w:val="18"/>
              </w:rPr>
              <w:t>Average daily flow — the same quantity, the guideline's symbol</w:t>
            </w:r>
          </w:p>
        </w:tc>
      </w:tr>
      <w:tr>
        <w:tc>
          <w:tcPr>
            <w:tcW w:type="dxa" w:w="1701"/>
          </w:tcPr>
          <w:p>
            <w:pPr>
              <w:spacing w:after="40"/>
            </w:pPr>
            <w:r/>
            <w:r>
              <w:rPr>
                <w:b w:val="0"/>
                <w:sz w:val="18"/>
              </w:rPr>
              <w:t>MDF</w:t>
            </w:r>
          </w:p>
        </w:tc>
        <w:tc>
          <w:tcPr>
            <w:tcW w:type="dxa" w:w="7654"/>
          </w:tcPr>
          <w:p>
            <w:pPr>
              <w:spacing w:after="40"/>
            </w:pPr>
            <w:r/>
            <w:r>
              <w:rPr>
                <w:b w:val="0"/>
                <w:sz w:val="18"/>
              </w:rPr>
              <w:t>Maximum Day Flow</w:t>
            </w:r>
          </w:p>
        </w:tc>
      </w:tr>
      <w:tr>
        <w:tc>
          <w:tcPr>
            <w:tcW w:type="dxa" w:w="1701"/>
          </w:tcPr>
          <w:p>
            <w:pPr>
              <w:spacing w:after="40"/>
            </w:pPr>
            <w:r/>
            <w:r>
              <w:rPr>
                <w:b w:val="0"/>
                <w:sz w:val="18"/>
              </w:rPr>
              <w:t>PHF / Qpdf</w:t>
            </w:r>
          </w:p>
        </w:tc>
        <w:tc>
          <w:tcPr>
            <w:tcW w:type="dxa" w:w="7654"/>
          </w:tcPr>
          <w:p>
            <w:pPr>
              <w:spacing w:after="40"/>
            </w:pPr>
            <w:r/>
            <w:r>
              <w:rPr>
                <w:b w:val="0"/>
                <w:sz w:val="18"/>
              </w:rPr>
              <w:t>Peak Hour Flow, and peak daily flow</w:t>
            </w:r>
          </w:p>
        </w:tc>
      </w:tr>
      <w:tr>
        <w:tc>
          <w:tcPr>
            <w:tcW w:type="dxa" w:w="1701"/>
          </w:tcPr>
          <w:p>
            <w:pPr>
              <w:spacing w:after="40"/>
            </w:pPr>
            <w:r/>
            <w:r>
              <w:rPr>
                <w:b w:val="0"/>
                <w:sz w:val="18"/>
              </w:rPr>
              <w:t>Pf</w:t>
            </w:r>
          </w:p>
        </w:tc>
        <w:tc>
          <w:tcPr>
            <w:tcW w:type="dxa" w:w="7654"/>
          </w:tcPr>
          <w:p>
            <w:pPr>
              <w:spacing w:after="40"/>
            </w:pPr>
            <w:r/>
            <w:r>
              <w:rPr>
                <w:b w:val="0"/>
                <w:sz w:val="18"/>
              </w:rPr>
              <w:t>Peak factor, the ratio converting an average flow to a peak flow</w:t>
            </w:r>
          </w:p>
        </w:tc>
      </w:tr>
      <w:tr>
        <w:tc>
          <w:tcPr>
            <w:tcW w:type="dxa" w:w="1701"/>
          </w:tcPr>
          <w:p>
            <w:pPr>
              <w:spacing w:after="40"/>
            </w:pPr>
            <w:r/>
            <w:r>
              <w:rPr>
                <w:b w:val="0"/>
                <w:sz w:val="18"/>
              </w:rPr>
              <w:t>LPCD</w:t>
            </w:r>
          </w:p>
        </w:tc>
        <w:tc>
          <w:tcPr>
            <w:tcW w:type="dxa" w:w="7654"/>
          </w:tcPr>
          <w:p>
            <w:pPr>
              <w:spacing w:after="40"/>
            </w:pPr>
            <w:r/>
            <w:r>
              <w:rPr>
                <w:b w:val="0"/>
                <w:sz w:val="18"/>
              </w:rPr>
              <w:t>Litres per capita per day</w:t>
            </w:r>
          </w:p>
        </w:tc>
      </w:tr>
      <w:tr>
        <w:tc>
          <w:tcPr>
            <w:tcW w:type="dxa" w:w="1701"/>
          </w:tcPr>
          <w:p>
            <w:pPr>
              <w:spacing w:after="40"/>
            </w:pPr>
            <w:r/>
            <w:r>
              <w:rPr>
                <w:b w:val="0"/>
                <w:sz w:val="18"/>
              </w:rPr>
              <w:t>OR</w:t>
            </w:r>
          </w:p>
        </w:tc>
        <w:tc>
          <w:tcPr>
            <w:tcW w:type="dxa" w:w="7654"/>
          </w:tcPr>
          <w:p>
            <w:pPr>
              <w:spacing w:after="40"/>
            </w:pPr>
            <w:r/>
            <w:r>
              <w:rPr>
                <w:b w:val="0"/>
                <w:sz w:val="18"/>
              </w:rPr>
              <w:t>Occupancy rate, persons per housing unit</w:t>
            </w:r>
          </w:p>
        </w:tc>
      </w:tr>
      <w:tr>
        <w:tc>
          <w:tcPr>
            <w:tcW w:type="dxa" w:w="1701"/>
          </w:tcPr>
          <w:p>
            <w:pPr>
              <w:spacing w:after="40"/>
            </w:pPr>
            <w:r/>
            <w:r>
              <w:rPr>
                <w:b w:val="0"/>
                <w:sz w:val="18"/>
              </w:rPr>
              <w:t>d/D</w:t>
            </w:r>
          </w:p>
        </w:tc>
        <w:tc>
          <w:tcPr>
            <w:tcW w:type="dxa" w:w="7654"/>
          </w:tcPr>
          <w:p>
            <w:pPr>
              <w:spacing w:after="40"/>
            </w:pPr>
            <w:r/>
            <w:r>
              <w:rPr>
                <w:b w:val="0"/>
                <w:sz w:val="18"/>
              </w:rPr>
              <w:t>Proportional depth — flow depth divided by pipe diameter</w:t>
            </w:r>
          </w:p>
        </w:tc>
      </w:tr>
      <w:tr>
        <w:tc>
          <w:tcPr>
            <w:tcW w:type="dxa" w:w="1701"/>
          </w:tcPr>
          <w:p>
            <w:pPr>
              <w:spacing w:after="40"/>
            </w:pPr>
            <w:r/>
            <w:r>
              <w:rPr>
                <w:b w:val="0"/>
                <w:sz w:val="18"/>
              </w:rPr>
              <w:t>SRT</w:t>
            </w:r>
          </w:p>
        </w:tc>
        <w:tc>
          <w:tcPr>
            <w:tcW w:type="dxa" w:w="7654"/>
          </w:tcPr>
          <w:p>
            <w:pPr>
              <w:spacing w:after="40"/>
            </w:pPr>
            <w:r/>
            <w:r>
              <w:rPr>
                <w:b w:val="0"/>
                <w:sz w:val="18"/>
              </w:rPr>
              <w:t>Solids retention time, also called sludge age</w:t>
            </w:r>
          </w:p>
        </w:tc>
      </w:tr>
      <w:tr>
        <w:tc>
          <w:tcPr>
            <w:tcW w:type="dxa" w:w="1701"/>
          </w:tcPr>
          <w:p>
            <w:pPr>
              <w:spacing w:after="40"/>
            </w:pPr>
            <w:r/>
            <w:r>
              <w:rPr>
                <w:b w:val="0"/>
                <w:sz w:val="18"/>
              </w:rPr>
              <w:t>TN</w:t>
            </w:r>
          </w:p>
        </w:tc>
        <w:tc>
          <w:tcPr>
            <w:tcW w:type="dxa" w:w="7654"/>
          </w:tcPr>
          <w:p>
            <w:pPr>
              <w:spacing w:after="40"/>
            </w:pPr>
            <w:r/>
            <w:r>
              <w:rPr>
                <w:b w:val="0"/>
                <w:sz w:val="18"/>
              </w:rPr>
              <w:t>Total nitrogen</w:t>
            </w:r>
          </w:p>
        </w:tc>
      </w:tr>
      <w:tr>
        <w:tc>
          <w:tcPr>
            <w:tcW w:type="dxa" w:w="1701"/>
          </w:tcPr>
          <w:p>
            <w:pPr>
              <w:spacing w:after="40"/>
            </w:pPr>
            <w:r/>
            <w:r>
              <w:rPr>
                <w:b w:val="0"/>
                <w:sz w:val="18"/>
              </w:rPr>
              <w:t>OU</w:t>
            </w:r>
          </w:p>
        </w:tc>
        <w:tc>
          <w:tcPr>
            <w:tcW w:type="dxa" w:w="7654"/>
          </w:tcPr>
          <w:p>
            <w:pPr>
              <w:spacing w:after="40"/>
            </w:pPr>
            <w:r/>
            <w:r>
              <w:rPr>
                <w:b w:val="0"/>
                <w:sz w:val="18"/>
              </w:rPr>
              <w:t>Odour unit; 1 OU/m³ is the concentration half a panel can detect</w:t>
            </w:r>
          </w:p>
        </w:tc>
      </w:tr>
      <w:tr>
        <w:tc>
          <w:tcPr>
            <w:tcW w:type="dxa" w:w="1701"/>
          </w:tcPr>
          <w:p>
            <w:pPr>
              <w:spacing w:after="40"/>
            </w:pPr>
            <w:r/>
            <w:r>
              <w:rPr>
                <w:b w:val="0"/>
                <w:sz w:val="18"/>
              </w:rPr>
              <w:t>DS</w:t>
            </w:r>
          </w:p>
        </w:tc>
        <w:tc>
          <w:tcPr>
            <w:tcW w:type="dxa" w:w="7654"/>
          </w:tcPr>
          <w:p>
            <w:pPr>
              <w:spacing w:after="40"/>
            </w:pPr>
            <w:r/>
            <w:r>
              <w:rPr>
                <w:b w:val="0"/>
                <w:sz w:val="18"/>
              </w:rPr>
              <w:t>Dry solids</w:t>
            </w:r>
          </w:p>
        </w:tc>
      </w:tr>
      <w:tr>
        <w:tc>
          <w:tcPr>
            <w:tcW w:type="dxa" w:w="1701"/>
          </w:tcPr>
          <w:p>
            <w:pPr>
              <w:spacing w:after="40"/>
            </w:pPr>
            <w:r/>
            <w:r>
              <w:rPr>
                <w:b w:val="0"/>
                <w:sz w:val="18"/>
              </w:rPr>
              <w:t>NCSI</w:t>
            </w:r>
          </w:p>
        </w:tc>
        <w:tc>
          <w:tcPr>
            <w:tcW w:type="dxa" w:w="7654"/>
          </w:tcPr>
          <w:p>
            <w:pPr>
              <w:spacing w:after="40"/>
            </w:pPr>
            <w:r/>
            <w:r>
              <w:rPr>
                <w:b w:val="0"/>
                <w:sz w:val="18"/>
              </w:rPr>
              <w:t>National Centre for Statistics and Information</w:t>
            </w:r>
          </w:p>
        </w:tc>
      </w:tr>
      <w:tr>
        <w:tc>
          <w:tcPr>
            <w:tcW w:type="dxa" w:w="1701"/>
          </w:tcPr>
          <w:p>
            <w:pPr>
              <w:spacing w:after="40"/>
            </w:pPr>
            <w:r/>
            <w:r>
              <w:rPr>
                <w:b w:val="0"/>
                <w:sz w:val="18"/>
              </w:rPr>
              <w:t>MoHUP</w:t>
            </w:r>
          </w:p>
        </w:tc>
        <w:tc>
          <w:tcPr>
            <w:tcW w:type="dxa" w:w="7654"/>
          </w:tcPr>
          <w:p>
            <w:pPr>
              <w:spacing w:after="40"/>
            </w:pPr>
            <w:r/>
            <w:r>
              <w:rPr>
                <w:b w:val="0"/>
                <w:sz w:val="18"/>
              </w:rPr>
              <w:t>Ministry of Housing and Urban Planning</w:t>
            </w:r>
          </w:p>
        </w:tc>
      </w:tr>
      <w:tr>
        <w:tc>
          <w:tcPr>
            <w:tcW w:type="dxa" w:w="1701"/>
          </w:tcPr>
          <w:p>
            <w:pPr>
              <w:spacing w:after="40"/>
            </w:pPr>
            <w:r/>
            <w:r>
              <w:rPr>
                <w:b w:val="0"/>
                <w:sz w:val="18"/>
              </w:rPr>
              <w:t>APSR</w:t>
            </w:r>
          </w:p>
        </w:tc>
        <w:tc>
          <w:tcPr>
            <w:tcW w:type="dxa" w:w="7654"/>
          </w:tcPr>
          <w:p>
            <w:pPr>
              <w:spacing w:after="40"/>
            </w:pPr>
            <w:r/>
            <w:r>
              <w:rPr>
                <w:b w:val="0"/>
                <w:sz w:val="18"/>
              </w:rPr>
              <w:t>Authority for Public Services Regulation</w:t>
            </w:r>
          </w:p>
        </w:tc>
      </w:tr>
      <w:tr>
        <w:tc>
          <w:tcPr>
            <w:tcW w:type="dxa" w:w="1701"/>
          </w:tcPr>
          <w:p>
            <w:pPr>
              <w:spacing w:after="40"/>
            </w:pPr>
            <w:r/>
            <w:r>
              <w:rPr>
                <w:b w:val="0"/>
                <w:sz w:val="18"/>
              </w:rPr>
              <w:t>G201 / G202 / G203</w:t>
            </w:r>
          </w:p>
        </w:tc>
        <w:tc>
          <w:tcPr>
            <w:tcW w:type="dxa" w:w="7654"/>
          </w:tcPr>
          <w:p>
            <w:pPr>
              <w:spacing w:after="40"/>
            </w:pPr>
            <w:r/>
            <w:r>
              <w:rPr>
                <w:b w:val="0"/>
                <w:sz w:val="18"/>
              </w:rPr>
              <w:t>PAM-GUD-201 General Design, -202 Water and TSE, -203 Wastewater, all Revision 01 of March 2026</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One term to be careful with.  </w:t>
      </w:r>
      <w:r>
        <w:rPr>
          <w:sz w:val="20"/>
        </w:rPr>
        <w:t>In G201 and G203, TE means Trade Effluent and TSE means Treated Sewage Effluent. This project, the TOR and the tender all use TE to mean treated effluent. Wherever this document says TSE it means the treated product of the STP. Say so explicitly in anything sent to NWS, or a guideline-literate reviewer will read a trade effluent network into the report.</w:t>
      </w:r>
    </w:p>
    <w:p>
      <w:r>
        <w:br w:type="page"/>
      </w:r>
    </w:p>
    <w:p>
      <w:pPr>
        <w:pStyle w:val="Heading1"/>
      </w:pPr>
      <w:r>
        <w:t>Executive summary</w:t>
      </w:r>
    </w:p>
    <w:p>
      <w:r>
        <w:rPr>
          <w:b w:val="0"/>
          <w:i w:val="0"/>
        </w:rPr>
        <w:t>The concept design turns a population into a set of pipe diameters, a plant capacity and a phasing plan. This document sets out how, in twelve steps, and fixes every number to a page of a guideline. What follows is the whole chain in short form. Anyone who reads only these few pages should be able to do the work and know where to look when a detail is needed.</w:t>
      </w:r>
    </w:p>
    <w:p>
      <w:pPr>
        <w:pStyle w:val="Heading2"/>
      </w:pPr>
      <w:r>
        <w:t>The chain, in twelve steps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567"/>
            <w:shd w:val="clear" w:color="auto" w:fill="1F3B63"/>
          </w:tcPr>
          <w:p>
            <w:pPr>
              <w:spacing w:after="40"/>
            </w:pPr>
            <w:r/>
            <w:r>
              <w:rPr>
                <w:b/>
                <w:color w:val="FFFFFF"/>
                <w:sz w:val="18"/>
              </w:rPr>
              <w:t>#</w:t>
            </w:r>
          </w:p>
        </w:tc>
        <w:tc>
          <w:tcPr>
            <w:tcW w:type="dxa" w:w="2381"/>
            <w:shd w:val="clear" w:color="auto" w:fill="1F3B63"/>
          </w:tcPr>
          <w:p>
            <w:pPr>
              <w:spacing w:after="40"/>
            </w:pPr>
            <w:r/>
            <w:r>
              <w:rPr>
                <w:b/>
                <w:color w:val="FFFFFF"/>
                <w:sz w:val="18"/>
              </w:rPr>
              <w:t>Step</w:t>
            </w:r>
          </w:p>
        </w:tc>
        <w:tc>
          <w:tcPr>
            <w:tcW w:type="dxa" w:w="4706"/>
            <w:shd w:val="clear" w:color="auto" w:fill="1F3B63"/>
          </w:tcPr>
          <w:p>
            <w:pPr>
              <w:spacing w:after="40"/>
            </w:pPr>
            <w:r/>
            <w:r>
              <w:rPr>
                <w:b/>
                <w:color w:val="FFFFFF"/>
                <w:sz w:val="18"/>
              </w:rPr>
              <w:t>What comes out</w:t>
            </w:r>
          </w:p>
        </w:tc>
        <w:tc>
          <w:tcPr>
            <w:tcW w:type="dxa" w:w="1134"/>
            <w:shd w:val="clear" w:color="auto" w:fill="1F3B63"/>
          </w:tcPr>
          <w:p>
            <w:pPr>
              <w:spacing w:after="40"/>
            </w:pPr>
            <w:r/>
            <w:r>
              <w:rPr>
                <w:b/>
                <w:color w:val="FFFFFF"/>
                <w:sz w:val="18"/>
              </w:rPr>
              <w:t>Section</w:t>
            </w:r>
          </w:p>
        </w:tc>
      </w:tr>
      <w:tr>
        <w:tc>
          <w:tcPr>
            <w:tcW w:type="dxa" w:w="567"/>
          </w:tcPr>
          <w:p>
            <w:pPr>
              <w:spacing w:after="40"/>
            </w:pPr>
            <w:r/>
            <w:r>
              <w:rPr>
                <w:b w:val="0"/>
                <w:sz w:val="18"/>
              </w:rPr>
              <w:t>1</w:t>
            </w:r>
          </w:p>
        </w:tc>
        <w:tc>
          <w:tcPr>
            <w:tcW w:type="dxa" w:w="2381"/>
          </w:tcPr>
          <w:p>
            <w:pPr>
              <w:spacing w:after="40"/>
            </w:pPr>
            <w:r/>
            <w:r>
              <w:rPr>
                <w:b w:val="0"/>
                <w:sz w:val="18"/>
              </w:rPr>
              <w:t>Prepare the data</w:t>
            </w:r>
          </w:p>
        </w:tc>
        <w:tc>
          <w:tcPr>
            <w:tcW w:type="dxa" w:w="4706"/>
          </w:tcPr>
          <w:p>
            <w:pPr>
              <w:spacing w:after="40"/>
            </w:pPr>
            <w:r/>
            <w:r>
              <w:rPr>
                <w:b w:val="0"/>
                <w:sz w:val="18"/>
              </w:rPr>
              <w:t>A clean plot layer with counted properties and a land use for each</w:t>
            </w:r>
          </w:p>
        </w:tc>
        <w:tc>
          <w:tcPr>
            <w:tcW w:type="dxa" w:w="1134"/>
          </w:tcPr>
          <w:p>
            <w:pPr>
              <w:spacing w:after="40"/>
            </w:pPr>
            <w:r/>
            <w:r>
              <w:rPr>
                <w:b w:val="0"/>
                <w:sz w:val="18"/>
              </w:rPr>
              <w:t>3</w:t>
            </w:r>
          </w:p>
        </w:tc>
      </w:tr>
      <w:tr>
        <w:tc>
          <w:tcPr>
            <w:tcW w:type="dxa" w:w="567"/>
          </w:tcPr>
          <w:p>
            <w:pPr>
              <w:spacing w:after="40"/>
            </w:pPr>
            <w:r/>
            <w:r>
              <w:rPr>
                <w:b w:val="0"/>
                <w:sz w:val="18"/>
              </w:rPr>
              <w:t>2</w:t>
            </w:r>
          </w:p>
        </w:tc>
        <w:tc>
          <w:tcPr>
            <w:tcW w:type="dxa" w:w="2381"/>
          </w:tcPr>
          <w:p>
            <w:pPr>
              <w:spacing w:after="40"/>
            </w:pPr>
            <w:r/>
            <w:r>
              <w:rPr>
                <w:b w:val="0"/>
                <w:sz w:val="18"/>
              </w:rPr>
              <w:t>Population</w:t>
            </w:r>
          </w:p>
        </w:tc>
        <w:tc>
          <w:tcPr>
            <w:tcW w:type="dxa" w:w="4706"/>
          </w:tcPr>
          <w:p>
            <w:pPr>
              <w:spacing w:after="40"/>
            </w:pPr>
            <w:r/>
            <w:r>
              <w:rPr>
                <w:b w:val="0"/>
                <w:sz w:val="18"/>
              </w:rPr>
              <w:t>People, per settlement, per year</w:t>
            </w:r>
          </w:p>
        </w:tc>
        <w:tc>
          <w:tcPr>
            <w:tcW w:type="dxa" w:w="1134"/>
          </w:tcPr>
          <w:p>
            <w:pPr>
              <w:spacing w:after="40"/>
            </w:pPr>
            <w:r/>
            <w:r>
              <w:rPr>
                <w:b w:val="0"/>
                <w:sz w:val="18"/>
              </w:rPr>
              <w:t>4</w:t>
            </w:r>
          </w:p>
        </w:tc>
      </w:tr>
      <w:tr>
        <w:tc>
          <w:tcPr>
            <w:tcW w:type="dxa" w:w="567"/>
          </w:tcPr>
          <w:p>
            <w:pPr>
              <w:spacing w:after="40"/>
            </w:pPr>
            <w:r/>
            <w:r>
              <w:rPr>
                <w:b w:val="0"/>
                <w:sz w:val="18"/>
              </w:rPr>
              <w:t>3</w:t>
            </w:r>
          </w:p>
        </w:tc>
        <w:tc>
          <w:tcPr>
            <w:tcW w:type="dxa" w:w="2381"/>
          </w:tcPr>
          <w:p>
            <w:pPr>
              <w:spacing w:after="40"/>
            </w:pPr>
            <w:r/>
            <w:r>
              <w:rPr>
                <w:b w:val="0"/>
                <w:sz w:val="18"/>
              </w:rPr>
              <w:t>Water demand</w:t>
            </w:r>
          </w:p>
        </w:tc>
        <w:tc>
          <w:tcPr>
            <w:tcW w:type="dxa" w:w="4706"/>
          </w:tcPr>
          <w:p>
            <w:pPr>
              <w:spacing w:after="40"/>
            </w:pPr>
            <w:r/>
            <w:r>
              <w:rPr>
                <w:b w:val="0"/>
                <w:sz w:val="18"/>
              </w:rPr>
              <w:t>Litres per day, by consumption category</w:t>
            </w:r>
          </w:p>
        </w:tc>
        <w:tc>
          <w:tcPr>
            <w:tcW w:type="dxa" w:w="1134"/>
          </w:tcPr>
          <w:p>
            <w:pPr>
              <w:spacing w:after="40"/>
            </w:pPr>
            <w:r/>
            <w:r>
              <w:rPr>
                <w:b w:val="0"/>
                <w:sz w:val="18"/>
              </w:rPr>
              <w:t>5</w:t>
            </w:r>
          </w:p>
        </w:tc>
      </w:tr>
      <w:tr>
        <w:tc>
          <w:tcPr>
            <w:tcW w:type="dxa" w:w="567"/>
          </w:tcPr>
          <w:p>
            <w:pPr>
              <w:spacing w:after="40"/>
            </w:pPr>
            <w:r/>
            <w:r>
              <w:rPr>
                <w:b w:val="0"/>
                <w:sz w:val="18"/>
              </w:rPr>
              <w:t>4</w:t>
            </w:r>
          </w:p>
        </w:tc>
        <w:tc>
          <w:tcPr>
            <w:tcW w:type="dxa" w:w="2381"/>
          </w:tcPr>
          <w:p>
            <w:pPr>
              <w:spacing w:after="40"/>
            </w:pPr>
            <w:r/>
            <w:r>
              <w:rPr>
                <w:b w:val="0"/>
                <w:sz w:val="18"/>
              </w:rPr>
              <w:t>Wastewater generation</w:t>
            </w:r>
          </w:p>
        </w:tc>
        <w:tc>
          <w:tcPr>
            <w:tcW w:type="dxa" w:w="4706"/>
          </w:tcPr>
          <w:p>
            <w:pPr>
              <w:spacing w:after="40"/>
            </w:pPr>
            <w:r/>
            <w:r>
              <w:rPr>
                <w:b w:val="0"/>
                <w:sz w:val="18"/>
              </w:rPr>
              <w:t>The flow that reaches the sewer</w:t>
            </w:r>
          </w:p>
        </w:tc>
        <w:tc>
          <w:tcPr>
            <w:tcW w:type="dxa" w:w="1134"/>
          </w:tcPr>
          <w:p>
            <w:pPr>
              <w:spacing w:after="40"/>
            </w:pPr>
            <w:r/>
            <w:r>
              <w:rPr>
                <w:b w:val="0"/>
                <w:sz w:val="18"/>
              </w:rPr>
              <w:t>6</w:t>
            </w:r>
          </w:p>
        </w:tc>
      </w:tr>
      <w:tr>
        <w:tc>
          <w:tcPr>
            <w:tcW w:type="dxa" w:w="567"/>
          </w:tcPr>
          <w:p>
            <w:pPr>
              <w:spacing w:after="40"/>
            </w:pPr>
            <w:r/>
            <w:r>
              <w:rPr>
                <w:b w:val="0"/>
                <w:sz w:val="18"/>
              </w:rPr>
              <w:t>5</w:t>
            </w:r>
          </w:p>
        </w:tc>
        <w:tc>
          <w:tcPr>
            <w:tcW w:type="dxa" w:w="2381"/>
          </w:tcPr>
          <w:p>
            <w:pPr>
              <w:spacing w:after="40"/>
            </w:pPr>
            <w:r/>
            <w:r>
              <w:rPr>
                <w:b w:val="0"/>
                <w:sz w:val="18"/>
              </w:rPr>
              <w:t>Project through time</w:t>
            </w:r>
          </w:p>
        </w:tc>
        <w:tc>
          <w:tcPr>
            <w:tcW w:type="dxa" w:w="4706"/>
          </w:tcPr>
          <w:p>
            <w:pPr>
              <w:spacing w:after="40"/>
            </w:pPr>
            <w:r/>
            <w:r>
              <w:rPr>
                <w:b w:val="0"/>
                <w:sz w:val="18"/>
              </w:rPr>
              <w:t>A flow for every year to saturation</w:t>
            </w:r>
          </w:p>
        </w:tc>
        <w:tc>
          <w:tcPr>
            <w:tcW w:type="dxa" w:w="1134"/>
          </w:tcPr>
          <w:p>
            <w:pPr>
              <w:spacing w:after="40"/>
            </w:pPr>
            <w:r/>
            <w:r>
              <w:rPr>
                <w:b w:val="0"/>
                <w:sz w:val="18"/>
              </w:rPr>
              <w:t>7</w:t>
            </w:r>
          </w:p>
        </w:tc>
      </w:tr>
      <w:tr>
        <w:tc>
          <w:tcPr>
            <w:tcW w:type="dxa" w:w="567"/>
          </w:tcPr>
          <w:p>
            <w:pPr>
              <w:spacing w:after="40"/>
            </w:pPr>
            <w:r/>
            <w:r>
              <w:rPr>
                <w:b w:val="0"/>
                <w:sz w:val="18"/>
              </w:rPr>
              <w:t>6</w:t>
            </w:r>
          </w:p>
        </w:tc>
        <w:tc>
          <w:tcPr>
            <w:tcW w:type="dxa" w:w="2381"/>
          </w:tcPr>
          <w:p>
            <w:pPr>
              <w:spacing w:after="40"/>
            </w:pPr>
            <w:r/>
            <w:r>
              <w:rPr>
                <w:b w:val="0"/>
                <w:sz w:val="18"/>
              </w:rPr>
              <w:t>Peak and infiltration</w:t>
            </w:r>
          </w:p>
        </w:tc>
        <w:tc>
          <w:tcPr>
            <w:tcW w:type="dxa" w:w="4706"/>
          </w:tcPr>
          <w:p>
            <w:pPr>
              <w:spacing w:after="40"/>
            </w:pPr>
            <w:r/>
            <w:r>
              <w:rPr>
                <w:b w:val="0"/>
                <w:sz w:val="18"/>
              </w:rPr>
              <w:t>The flow the pipe is actually sized on</w:t>
            </w:r>
          </w:p>
        </w:tc>
        <w:tc>
          <w:tcPr>
            <w:tcW w:type="dxa" w:w="1134"/>
          </w:tcPr>
          <w:p>
            <w:pPr>
              <w:spacing w:after="40"/>
            </w:pPr>
            <w:r/>
            <w:r>
              <w:rPr>
                <w:b w:val="0"/>
                <w:sz w:val="18"/>
              </w:rPr>
              <w:t>8</w:t>
            </w:r>
          </w:p>
        </w:tc>
      </w:tr>
      <w:tr>
        <w:tc>
          <w:tcPr>
            <w:tcW w:type="dxa" w:w="567"/>
          </w:tcPr>
          <w:p>
            <w:pPr>
              <w:spacing w:after="40"/>
            </w:pPr>
            <w:r/>
            <w:r>
              <w:rPr>
                <w:b w:val="0"/>
                <w:sz w:val="18"/>
              </w:rPr>
              <w:t>7</w:t>
            </w:r>
          </w:p>
        </w:tc>
        <w:tc>
          <w:tcPr>
            <w:tcW w:type="dxa" w:w="2381"/>
          </w:tcPr>
          <w:p>
            <w:pPr>
              <w:spacing w:after="40"/>
            </w:pPr>
            <w:r/>
            <w:r>
              <w:rPr>
                <w:b w:val="0"/>
                <w:sz w:val="18"/>
              </w:rPr>
              <w:t>Gravity network</w:t>
            </w:r>
          </w:p>
        </w:tc>
        <w:tc>
          <w:tcPr>
            <w:tcW w:type="dxa" w:w="4706"/>
          </w:tcPr>
          <w:p>
            <w:pPr>
              <w:spacing w:after="40"/>
            </w:pPr>
            <w:r/>
            <w:r>
              <w:rPr>
                <w:b w:val="0"/>
                <w:sz w:val="18"/>
              </w:rPr>
              <w:t>Diameters, gradients, depths, manholes</w:t>
            </w:r>
          </w:p>
        </w:tc>
        <w:tc>
          <w:tcPr>
            <w:tcW w:type="dxa" w:w="1134"/>
          </w:tcPr>
          <w:p>
            <w:pPr>
              <w:spacing w:after="40"/>
            </w:pPr>
            <w:r/>
            <w:r>
              <w:rPr>
                <w:b w:val="0"/>
                <w:sz w:val="18"/>
              </w:rPr>
              <w:t>9</w:t>
            </w:r>
          </w:p>
        </w:tc>
      </w:tr>
      <w:tr>
        <w:tc>
          <w:tcPr>
            <w:tcW w:type="dxa" w:w="567"/>
          </w:tcPr>
          <w:p>
            <w:pPr>
              <w:spacing w:after="40"/>
            </w:pPr>
            <w:r/>
            <w:r>
              <w:rPr>
                <w:b w:val="0"/>
                <w:sz w:val="18"/>
              </w:rPr>
              <w:t>8</w:t>
            </w:r>
          </w:p>
        </w:tc>
        <w:tc>
          <w:tcPr>
            <w:tcW w:type="dxa" w:w="2381"/>
          </w:tcPr>
          <w:p>
            <w:pPr>
              <w:spacing w:after="40"/>
            </w:pPr>
            <w:r/>
            <w:r>
              <w:rPr>
                <w:b w:val="0"/>
                <w:sz w:val="18"/>
              </w:rPr>
              <w:t>Lifting stations</w:t>
            </w:r>
          </w:p>
        </w:tc>
        <w:tc>
          <w:tcPr>
            <w:tcW w:type="dxa" w:w="4706"/>
          </w:tcPr>
          <w:p>
            <w:pPr>
              <w:spacing w:after="40"/>
            </w:pPr>
            <w:r/>
            <w:r>
              <w:rPr>
                <w:b w:val="0"/>
                <w:sz w:val="18"/>
              </w:rPr>
              <w:t>Where gravity fails, and what pumps it</w:t>
            </w:r>
          </w:p>
        </w:tc>
        <w:tc>
          <w:tcPr>
            <w:tcW w:type="dxa" w:w="1134"/>
          </w:tcPr>
          <w:p>
            <w:pPr>
              <w:spacing w:after="40"/>
            </w:pPr>
            <w:r/>
            <w:r>
              <w:rPr>
                <w:b w:val="0"/>
                <w:sz w:val="18"/>
              </w:rPr>
              <w:t>10</w:t>
            </w:r>
          </w:p>
        </w:tc>
      </w:tr>
      <w:tr>
        <w:tc>
          <w:tcPr>
            <w:tcW w:type="dxa" w:w="567"/>
          </w:tcPr>
          <w:p>
            <w:pPr>
              <w:spacing w:after="40"/>
            </w:pPr>
            <w:r/>
            <w:r>
              <w:rPr>
                <w:b w:val="0"/>
                <w:sz w:val="18"/>
              </w:rPr>
              <w:t>9</w:t>
            </w:r>
          </w:p>
        </w:tc>
        <w:tc>
          <w:tcPr>
            <w:tcW w:type="dxa" w:w="2381"/>
          </w:tcPr>
          <w:p>
            <w:pPr>
              <w:spacing w:after="40"/>
            </w:pPr>
            <w:r/>
            <w:r>
              <w:rPr>
                <w:b w:val="0"/>
                <w:sz w:val="18"/>
              </w:rPr>
              <w:t>STP sizing and phasing</w:t>
            </w:r>
          </w:p>
        </w:tc>
        <w:tc>
          <w:tcPr>
            <w:tcW w:type="dxa" w:w="4706"/>
          </w:tcPr>
          <w:p>
            <w:pPr>
              <w:spacing w:after="40"/>
            </w:pPr>
            <w:r/>
            <w:r>
              <w:rPr>
                <w:b w:val="0"/>
                <w:sz w:val="18"/>
              </w:rPr>
              <w:t>Plant capacity, by phase</w:t>
            </w:r>
          </w:p>
        </w:tc>
        <w:tc>
          <w:tcPr>
            <w:tcW w:type="dxa" w:w="1134"/>
          </w:tcPr>
          <w:p>
            <w:pPr>
              <w:spacing w:after="40"/>
            </w:pPr>
            <w:r/>
            <w:r>
              <w:rPr>
                <w:b w:val="0"/>
                <w:sz w:val="18"/>
              </w:rPr>
              <w:t>11</w:t>
            </w:r>
          </w:p>
        </w:tc>
      </w:tr>
      <w:tr>
        <w:tc>
          <w:tcPr>
            <w:tcW w:type="dxa" w:w="567"/>
          </w:tcPr>
          <w:p>
            <w:pPr>
              <w:spacing w:after="40"/>
            </w:pPr>
            <w:r/>
            <w:r>
              <w:rPr>
                <w:b w:val="0"/>
                <w:sz w:val="18"/>
              </w:rPr>
              <w:t>10</w:t>
            </w:r>
          </w:p>
        </w:tc>
        <w:tc>
          <w:tcPr>
            <w:tcW w:type="dxa" w:w="2381"/>
          </w:tcPr>
          <w:p>
            <w:pPr>
              <w:spacing w:after="40"/>
            </w:pPr>
            <w:r/>
            <w:r>
              <w:rPr>
                <w:b w:val="0"/>
                <w:sz w:val="18"/>
              </w:rPr>
              <w:t>Treated effluent</w:t>
            </w:r>
          </w:p>
        </w:tc>
        <w:tc>
          <w:tcPr>
            <w:tcW w:type="dxa" w:w="4706"/>
          </w:tcPr>
          <w:p>
            <w:pPr>
              <w:spacing w:after="40"/>
            </w:pPr>
            <w:r/>
            <w:r>
              <w:rPr>
                <w:b w:val="0"/>
                <w:sz w:val="18"/>
              </w:rPr>
              <w:t>How much is produced, and who takes it</w:t>
            </w:r>
          </w:p>
        </w:tc>
        <w:tc>
          <w:tcPr>
            <w:tcW w:type="dxa" w:w="1134"/>
          </w:tcPr>
          <w:p>
            <w:pPr>
              <w:spacing w:after="40"/>
            </w:pPr>
            <w:r/>
            <w:r>
              <w:rPr>
                <w:b w:val="0"/>
                <w:sz w:val="18"/>
              </w:rPr>
              <w:t>12</w:t>
            </w:r>
          </w:p>
        </w:tc>
      </w:tr>
      <w:tr>
        <w:tc>
          <w:tcPr>
            <w:tcW w:type="dxa" w:w="567"/>
          </w:tcPr>
          <w:p>
            <w:pPr>
              <w:spacing w:after="40"/>
            </w:pPr>
            <w:r/>
            <w:r>
              <w:rPr>
                <w:b w:val="0"/>
                <w:sz w:val="18"/>
              </w:rPr>
              <w:t>11</w:t>
            </w:r>
          </w:p>
        </w:tc>
        <w:tc>
          <w:tcPr>
            <w:tcW w:type="dxa" w:w="2381"/>
          </w:tcPr>
          <w:p>
            <w:pPr>
              <w:spacing w:after="40"/>
            </w:pPr>
            <w:r/>
            <w:r>
              <w:rPr>
                <w:b w:val="0"/>
                <w:sz w:val="18"/>
              </w:rPr>
              <w:t>Sludge</w:t>
            </w:r>
          </w:p>
        </w:tc>
        <w:tc>
          <w:tcPr>
            <w:tcW w:type="dxa" w:w="4706"/>
          </w:tcPr>
          <w:p>
            <w:pPr>
              <w:spacing w:after="40"/>
            </w:pPr>
            <w:r/>
            <w:r>
              <w:rPr>
                <w:b w:val="0"/>
                <w:sz w:val="18"/>
              </w:rPr>
              <w:t>How much, and where it goes</w:t>
            </w:r>
          </w:p>
        </w:tc>
        <w:tc>
          <w:tcPr>
            <w:tcW w:type="dxa" w:w="1134"/>
          </w:tcPr>
          <w:p>
            <w:pPr>
              <w:spacing w:after="40"/>
            </w:pPr>
            <w:r/>
            <w:r>
              <w:rPr>
                <w:b w:val="0"/>
                <w:sz w:val="18"/>
              </w:rPr>
              <w:t>13</w:t>
            </w:r>
          </w:p>
        </w:tc>
      </w:tr>
      <w:tr>
        <w:tc>
          <w:tcPr>
            <w:tcW w:type="dxa" w:w="567"/>
          </w:tcPr>
          <w:p>
            <w:pPr>
              <w:spacing w:after="40"/>
            </w:pPr>
            <w:r/>
            <w:r>
              <w:rPr>
                <w:b w:val="0"/>
                <w:sz w:val="18"/>
              </w:rPr>
              <w:t>12</w:t>
            </w:r>
          </w:p>
        </w:tc>
        <w:tc>
          <w:tcPr>
            <w:tcW w:type="dxa" w:w="2381"/>
          </w:tcPr>
          <w:p>
            <w:pPr>
              <w:spacing w:after="40"/>
            </w:pPr>
            <w:r/>
            <w:r>
              <w:rPr>
                <w:b w:val="0"/>
                <w:sz w:val="18"/>
              </w:rPr>
              <w:t>Options and appraisal</w:t>
            </w:r>
          </w:p>
        </w:tc>
        <w:tc>
          <w:tcPr>
            <w:tcW w:type="dxa" w:w="4706"/>
          </w:tcPr>
          <w:p>
            <w:pPr>
              <w:spacing w:after="40"/>
            </w:pPr>
            <w:r/>
            <w:r>
              <w:rPr>
                <w:b w:val="0"/>
                <w:sz w:val="18"/>
              </w:rPr>
              <w:t>Three options, costed, and a recommendation</w:t>
            </w:r>
          </w:p>
        </w:tc>
        <w:tc>
          <w:tcPr>
            <w:tcW w:type="dxa" w:w="1134"/>
          </w:tcPr>
          <w:p>
            <w:pPr>
              <w:spacing w:after="40"/>
            </w:pPr>
            <w:r/>
            <w:r>
              <w:rPr>
                <w:b w:val="0"/>
                <w:sz w:val="18"/>
              </w:rPr>
              <w:t>14</w:t>
            </w:r>
          </w:p>
        </w:tc>
      </w:tr>
    </w:tbl>
    <w:p/>
    <w:p>
      <w:r>
        <w:rPr>
          <w:b w:val="0"/>
          <w:i w:val="0"/>
        </w:rPr>
        <w:t>Steps 1 to 6 are one continuous calculation: each is the input to the next, and an error early on propagates the whole way. Steps 7 to 11 consume that flow independently of one another. Step 12 sits across all of them.</w:t>
      </w:r>
    </w:p>
    <w:p>
      <w:pPr>
        <w:pStyle w:val="Heading2"/>
      </w:pPr>
      <w:r>
        <w:t>The spine of the calculation</w:t>
      </w:r>
    </w:p>
    <w:p>
      <w:r>
        <w:rPr>
          <w:b w:val="0"/>
          <w:i w:val="0"/>
        </w:rPr>
        <w:t>Stripped of detail, the flow chain is four multiplications and two additions. Everything else is refinement.</w:t>
      </w:r>
    </w:p>
    <w:p>
      <w:pPr>
        <w:tabs>
          <w:tab w:val="center" w:pos="4320"/>
          <w:tab w:val="right" w:pos="8640"/>
        </w:tabs>
        <w:spacing w:before="120" w:after="120"/>
      </w:pPr>
      <w:r>
        <w:tab/>
      </w:r>
      <m:oMath>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Plots</m:t>
        </m:r>
        <m:r>
          <w:rPr>
            <w:rFonts w:ascii="Cambria Math" w:hAnsi="Cambria Math"/>
          </w:rPr>
          <m:t xml:space="preserve"> × </m:t>
        </m:r>
        <m:r>
          <m:rPr>
            <m:sty m:val="p"/>
          </m:rPr>
          <w:rPr>
            <w:rFonts w:ascii="Cambria Math" w:hAnsi="Cambria Math"/>
          </w:rPr>
          <m:t xml:space="preserve">Properties per plot</m:t>
        </m:r>
        <m:r>
          <w:rPr>
            <w:rFonts w:ascii="Cambria Math" w:hAnsi="Cambria Math"/>
          </w:rPr>
          <m:t xml:space="preserve"> × </m:t>
        </m:r>
        <m:r>
          <m:rPr>
            <m:sty m:val="p"/>
          </m:rPr>
          <w:rPr>
            <w:rFonts w:ascii="Cambria Math" w:hAnsi="Cambria Math"/>
          </w:rPr>
          <m:t xml:space="preserve">OR</m:t>
        </m:r>
      </m:oMath>
      <w:r>
        <w:tab/>
        <w:t>(1)</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demand</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r>
          <w:rPr>
            <w:rFonts w:ascii="Cambria Math" w:hAnsi="Cambria Math"/>
          </w:rPr>
          <m:t xml:space="preserve"> × </m:t>
        </m:r>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0.22</m:t>
            </m:r>
            <m:r>
              <w:rPr>
                <w:rFonts w:ascii="Cambria Math" w:hAnsi="Cambria Math"/>
              </w:rPr>
              <m:t xml:space="preserve"> + </m:t>
            </m:r>
            <m:r>
              <w:rPr>
                <w:rFonts w:ascii="Cambria Math" w:hAnsi="Cambria Math"/>
              </w:rPr>
              <m:t xml:space="preserve">0.14</m:t>
            </m:r>
          </m:e>
        </m:d>
      </m:oMath>
      <w:r>
        <w:tab/>
        <w:t>(2)</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adf</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0.85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r>
          <w:rPr>
            <w:rFonts w:ascii="Cambria Math" w:hAnsi="Cambria Math"/>
          </w:rPr>
          <m:t xml:space="preserve">0.54</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oMath>
      <w:r>
        <w:tab/>
        <w:t>(3)</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design</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adf</m:t>
            </m:r>
          </m:sub>
        </m:sSub>
        <m:r>
          <w:rPr>
            <w:rFonts w:ascii="Cambria Math" w:hAnsi="Cambria Math"/>
          </w:rPr>
          <m:t xml:space="preserve"> × </m:t>
        </m:r>
        <m:r>
          <m:rPr>
            <m:sty m:val="p"/>
          </m:rPr>
          <w:rPr>
            <w:rFonts w:ascii="Cambria Math" w:hAnsi="Cambria Math"/>
          </w:rPr>
          <m:t xml:space="preserve">Pf</m:t>
        </m:r>
      </m:oMath>
      <w:r>
        <w:tab/>
        <w:t>(4)</w:t>
      </w:r>
    </w:p>
    <w:p>
      <w:r>
        <w:rPr>
          <w:b w:val="0"/>
          <w:i w:val="0"/>
        </w:rPr>
        <w:t>The 22 % and 14 % are the non-domestic and governmental uplifts for Adh Dhahirah. The 85 % and 54 % are the proportions of supplied water that come back as sewage. The peak factor comes from Merrimack. Each is traced to its page in the sections that follow.</w:t>
      </w:r>
    </w:p>
    <w:p>
      <w:pPr>
        <w:pStyle w:val="Heading2"/>
      </w:pPr>
      <w:r>
        <w:t>The numbers that govern Ibri</w:t>
      </w:r>
    </w:p>
    <w:tbl>
      <w:tblPr>
        <w:tblStyle w:val="TableGrid"/>
        <w:tblW w:type="auto" w:w="0"/>
        <w:jc w:val="center"/>
        <w:tblLook w:firstColumn="1" w:firstRow="1" w:lastColumn="0" w:lastRow="0" w:noHBand="0" w:noVBand="1" w:val="04A0"/>
      </w:tblPr>
      <w:tblGrid>
        <w:gridCol w:w="3137"/>
        <w:gridCol w:w="3137"/>
        <w:gridCol w:w="3137"/>
      </w:tblGrid>
      <w:tr>
        <w:tc>
          <w:tcPr>
            <w:tcW w:type="dxa" w:w="3175"/>
            <w:shd w:val="clear" w:color="auto" w:fill="1F3B63"/>
          </w:tcPr>
          <w:p>
            <w:pPr>
              <w:spacing w:after="40"/>
            </w:pPr>
            <w:r/>
            <w:r>
              <w:rPr>
                <w:b/>
                <w:color w:val="FFFFFF"/>
                <w:sz w:val="18"/>
              </w:rPr>
              <w:t>Quantity</w:t>
            </w:r>
          </w:p>
        </w:tc>
        <w:tc>
          <w:tcPr>
            <w:tcW w:type="dxa" w:w="2608"/>
            <w:shd w:val="clear" w:color="auto" w:fill="1F3B63"/>
          </w:tcPr>
          <w:p>
            <w:pPr>
              <w:spacing w:after="40"/>
            </w:pPr>
            <w:r/>
            <w:r>
              <w:rPr>
                <w:b/>
                <w:color w:val="FFFFFF"/>
                <w:sz w:val="18"/>
              </w:rPr>
              <w:t>Value</w:t>
            </w:r>
          </w:p>
        </w:tc>
        <w:tc>
          <w:tcPr>
            <w:tcW w:type="dxa" w:w="3572"/>
            <w:shd w:val="clear" w:color="auto" w:fill="1F3B63"/>
          </w:tcPr>
          <w:p>
            <w:pPr>
              <w:spacing w:after="40"/>
            </w:pPr>
            <w:r/>
            <w:r>
              <w:rPr>
                <w:b/>
                <w:color w:val="FFFFFF"/>
                <w:sz w:val="18"/>
              </w:rPr>
              <w:t>Where it comes from</w:t>
            </w:r>
          </w:p>
        </w:tc>
      </w:tr>
      <w:tr>
        <w:tc>
          <w:tcPr>
            <w:tcW w:type="dxa" w:w="3175"/>
          </w:tcPr>
          <w:p>
            <w:pPr>
              <w:spacing w:after="40"/>
            </w:pPr>
            <w:r/>
            <w:r>
              <w:rPr>
                <w:b w:val="0"/>
                <w:sz w:val="18"/>
              </w:rPr>
              <w:t>Domestic consumption</w:t>
            </w:r>
          </w:p>
        </w:tc>
        <w:tc>
          <w:tcPr>
            <w:tcW w:type="dxa" w:w="2608"/>
          </w:tcPr>
          <w:p>
            <w:pPr>
              <w:spacing w:after="40"/>
            </w:pPr>
            <w:r/>
            <w:r>
              <w:rPr>
                <w:b w:val="0"/>
                <w:sz w:val="18"/>
              </w:rPr>
              <w:t>164 l/c/d</w:t>
            </w:r>
          </w:p>
        </w:tc>
        <w:tc>
          <w:tcPr>
            <w:tcW w:type="dxa" w:w="3572"/>
          </w:tcPr>
          <w:p>
            <w:pPr>
              <w:spacing w:after="40"/>
            </w:pPr>
            <w:r/>
            <w:r>
              <w:rPr>
                <w:b w:val="0"/>
                <w:sz w:val="18"/>
              </w:rPr>
              <w:t>G201 Table 11, Adh Dhahirah</w:t>
            </w:r>
          </w:p>
        </w:tc>
      </w:tr>
      <w:tr>
        <w:tc>
          <w:tcPr>
            <w:tcW w:type="dxa" w:w="3175"/>
          </w:tcPr>
          <w:p>
            <w:pPr>
              <w:spacing w:after="40"/>
            </w:pPr>
            <w:r/>
            <w:r>
              <w:rPr>
                <w:b w:val="0"/>
                <w:sz w:val="18"/>
              </w:rPr>
              <w:t>Non-domestic uplift</w:t>
            </w:r>
          </w:p>
        </w:tc>
        <w:tc>
          <w:tcPr>
            <w:tcW w:type="dxa" w:w="2608"/>
          </w:tcPr>
          <w:p>
            <w:pPr>
              <w:spacing w:after="40"/>
            </w:pPr>
            <w:r/>
            <w:r>
              <w:rPr>
                <w:b w:val="0"/>
                <w:sz w:val="18"/>
              </w:rPr>
              <w:t>22 % of domestic</w:t>
            </w:r>
          </w:p>
        </w:tc>
        <w:tc>
          <w:tcPr>
            <w:tcW w:type="dxa" w:w="3572"/>
          </w:tcPr>
          <w:p>
            <w:pPr>
              <w:spacing w:after="40"/>
            </w:pPr>
            <w:r/>
            <w:r>
              <w:rPr>
                <w:b w:val="0"/>
                <w:sz w:val="18"/>
              </w:rPr>
              <w:t>G201 Table 11</w:t>
            </w:r>
          </w:p>
        </w:tc>
      </w:tr>
      <w:tr>
        <w:tc>
          <w:tcPr>
            <w:tcW w:type="dxa" w:w="3175"/>
          </w:tcPr>
          <w:p>
            <w:pPr>
              <w:spacing w:after="40"/>
            </w:pPr>
            <w:r/>
            <w:r>
              <w:rPr>
                <w:b w:val="0"/>
                <w:sz w:val="18"/>
              </w:rPr>
              <w:t>Governmental uplift</w:t>
            </w:r>
          </w:p>
        </w:tc>
        <w:tc>
          <w:tcPr>
            <w:tcW w:type="dxa" w:w="2608"/>
          </w:tcPr>
          <w:p>
            <w:pPr>
              <w:spacing w:after="40"/>
            </w:pPr>
            <w:r/>
            <w:r>
              <w:rPr>
                <w:b w:val="0"/>
                <w:sz w:val="18"/>
              </w:rPr>
              <w:t>14 % of domestic</w:t>
            </w:r>
          </w:p>
        </w:tc>
        <w:tc>
          <w:tcPr>
            <w:tcW w:type="dxa" w:w="3572"/>
          </w:tcPr>
          <w:p>
            <w:pPr>
              <w:spacing w:after="40"/>
            </w:pPr>
            <w:r/>
            <w:r>
              <w:rPr>
                <w:b w:val="0"/>
                <w:sz w:val="18"/>
              </w:rPr>
              <w:t>G201 Table 11</w:t>
            </w:r>
          </w:p>
        </w:tc>
      </w:tr>
      <w:tr>
        <w:tc>
          <w:tcPr>
            <w:tcW w:type="dxa" w:w="3175"/>
          </w:tcPr>
          <w:p>
            <w:pPr>
              <w:spacing w:after="40"/>
            </w:pPr>
            <w:r/>
            <w:r>
              <w:rPr>
                <w:b w:val="0"/>
                <w:sz w:val="18"/>
              </w:rPr>
              <w:t>Return to sewer, domestic and tanker</w:t>
            </w:r>
          </w:p>
        </w:tc>
        <w:tc>
          <w:tcPr>
            <w:tcW w:type="dxa" w:w="2608"/>
          </w:tcPr>
          <w:p>
            <w:pPr>
              <w:spacing w:after="40"/>
            </w:pPr>
            <w:r/>
            <w:r>
              <w:rPr>
                <w:b w:val="0"/>
                <w:sz w:val="18"/>
              </w:rPr>
              <w:t>85 %</w:t>
            </w:r>
          </w:p>
        </w:tc>
        <w:tc>
          <w:tcPr>
            <w:tcW w:type="dxa" w:w="3572"/>
          </w:tcPr>
          <w:p>
            <w:pPr>
              <w:spacing w:after="40"/>
            </w:pPr>
            <w:r/>
            <w:r>
              <w:rPr>
                <w:b w:val="0"/>
                <w:sz w:val="18"/>
              </w:rPr>
              <w:t>G201 Table 19</w:t>
            </w:r>
          </w:p>
        </w:tc>
      </w:tr>
      <w:tr>
        <w:tc>
          <w:tcPr>
            <w:tcW w:type="dxa" w:w="3175"/>
          </w:tcPr>
          <w:p>
            <w:pPr>
              <w:spacing w:after="40"/>
            </w:pPr>
            <w:r/>
            <w:r>
              <w:rPr>
                <w:b w:val="0"/>
                <w:sz w:val="18"/>
              </w:rPr>
              <w:t>Return to sewer, non-domestic</w:t>
            </w:r>
          </w:p>
        </w:tc>
        <w:tc>
          <w:tcPr>
            <w:tcW w:type="dxa" w:w="2608"/>
          </w:tcPr>
          <w:p>
            <w:pPr>
              <w:spacing w:after="40"/>
            </w:pPr>
            <w:r/>
            <w:r>
              <w:rPr>
                <w:b w:val="0"/>
                <w:sz w:val="18"/>
              </w:rPr>
              <w:t>54 %</w:t>
            </w:r>
          </w:p>
        </w:tc>
        <w:tc>
          <w:tcPr>
            <w:tcW w:type="dxa" w:w="3572"/>
          </w:tcPr>
          <w:p>
            <w:pPr>
              <w:spacing w:after="40"/>
            </w:pPr>
            <w:r/>
            <w:r>
              <w:rPr>
                <w:b w:val="0"/>
                <w:sz w:val="18"/>
              </w:rPr>
              <w:t>G201 Table 19</w:t>
            </w:r>
          </w:p>
        </w:tc>
      </w:tr>
      <w:tr>
        <w:tc>
          <w:tcPr>
            <w:tcW w:type="dxa" w:w="3175"/>
          </w:tcPr>
          <w:p>
            <w:pPr>
              <w:spacing w:after="40"/>
            </w:pPr>
            <w:r/>
            <w:r>
              <w:rPr>
                <w:b w:val="0"/>
                <w:sz w:val="18"/>
              </w:rPr>
              <w:t>Infiltration, new networks</w:t>
            </w:r>
          </w:p>
        </w:tc>
        <w:tc>
          <w:tcPr>
            <w:tcW w:type="dxa" w:w="2608"/>
          </w:tcPr>
          <w:p>
            <w:pPr>
              <w:spacing w:after="40"/>
            </w:pPr>
            <w:r/>
            <w:r>
              <w:rPr>
                <w:b w:val="0"/>
                <w:sz w:val="18"/>
              </w:rPr>
              <w:t>720 l/d per km of sewer</w:t>
            </w:r>
          </w:p>
        </w:tc>
        <w:tc>
          <w:tcPr>
            <w:tcW w:type="dxa" w:w="3572"/>
          </w:tcPr>
          <w:p>
            <w:pPr>
              <w:spacing w:after="40"/>
            </w:pPr>
            <w:r/>
            <w:r>
              <w:rPr>
                <w:b w:val="0"/>
                <w:sz w:val="18"/>
              </w:rPr>
              <w:t>G201 p72</w:t>
            </w:r>
          </w:p>
        </w:tc>
      </w:tr>
      <w:tr>
        <w:tc>
          <w:tcPr>
            <w:tcW w:type="dxa" w:w="3175"/>
          </w:tcPr>
          <w:p>
            <w:pPr>
              <w:spacing w:after="40"/>
            </w:pPr>
            <w:r/>
            <w:r>
              <w:rPr>
                <w:b w:val="0"/>
                <w:sz w:val="18"/>
              </w:rPr>
              <w:t>Peak factor</w:t>
            </w:r>
          </w:p>
        </w:tc>
        <w:tc>
          <w:tcPr>
            <w:tcW w:type="dxa" w:w="2608"/>
          </w:tcPr>
          <w:p>
            <w:pPr>
              <w:spacing w:after="40"/>
            </w:pPr>
            <w:r/>
            <w:r>
              <w:rPr>
                <w:b w:val="0"/>
                <w:sz w:val="18"/>
              </w:rPr>
              <w:t>Merrimack, over 100 properties</w:t>
            </w:r>
          </w:p>
        </w:tc>
        <w:tc>
          <w:tcPr>
            <w:tcW w:type="dxa" w:w="3572"/>
          </w:tcPr>
          <w:p>
            <w:pPr>
              <w:spacing w:after="40"/>
            </w:pPr>
            <w:r/>
            <w:r>
              <w:rPr>
                <w:b w:val="0"/>
                <w:sz w:val="18"/>
              </w:rPr>
              <w:t>G201 p71</w:t>
            </w:r>
          </w:p>
        </w:tc>
      </w:tr>
      <w:tr>
        <w:tc>
          <w:tcPr>
            <w:tcW w:type="dxa" w:w="3175"/>
          </w:tcPr>
          <w:p>
            <w:pPr>
              <w:spacing w:after="40"/>
            </w:pPr>
            <w:r/>
            <w:r>
              <w:rPr>
                <w:b w:val="0"/>
                <w:sz w:val="18"/>
              </w:rPr>
              <w:t>Minimum self-cleansing velocity</w:t>
            </w:r>
          </w:p>
        </w:tc>
        <w:tc>
          <w:tcPr>
            <w:tcW w:type="dxa" w:w="2608"/>
          </w:tcPr>
          <w:p>
            <w:pPr>
              <w:spacing w:after="40"/>
            </w:pPr>
            <w:r/>
            <w:r>
              <w:rPr>
                <w:b w:val="0"/>
                <w:sz w:val="18"/>
              </w:rPr>
              <w:t>0.75 m/s at peak flow</w:t>
            </w:r>
          </w:p>
        </w:tc>
        <w:tc>
          <w:tcPr>
            <w:tcW w:type="dxa" w:w="3572"/>
          </w:tcPr>
          <w:p>
            <w:pPr>
              <w:spacing w:after="40"/>
            </w:pPr>
            <w:r/>
            <w:r>
              <w:rPr>
                <w:b w:val="0"/>
                <w:sz w:val="18"/>
              </w:rPr>
              <w:t>G203 p26</w:t>
            </w:r>
          </w:p>
        </w:tc>
      </w:tr>
      <w:tr>
        <w:tc>
          <w:tcPr>
            <w:tcW w:type="dxa" w:w="3175"/>
          </w:tcPr>
          <w:p>
            <w:pPr>
              <w:spacing w:after="40"/>
            </w:pPr>
            <w:r/>
            <w:r>
              <w:rPr>
                <w:b w:val="0"/>
                <w:sz w:val="18"/>
              </w:rPr>
              <w:t>Maximum velocity</w:t>
            </w:r>
          </w:p>
        </w:tc>
        <w:tc>
          <w:tcPr>
            <w:tcW w:type="dxa" w:w="2608"/>
          </w:tcPr>
          <w:p>
            <w:pPr>
              <w:spacing w:after="40"/>
            </w:pPr>
            <w:r/>
            <w:r>
              <w:rPr>
                <w:b w:val="0"/>
                <w:sz w:val="18"/>
              </w:rPr>
              <w:t>3 m/s</w:t>
            </w:r>
          </w:p>
        </w:tc>
        <w:tc>
          <w:tcPr>
            <w:tcW w:type="dxa" w:w="3572"/>
          </w:tcPr>
          <w:p>
            <w:pPr>
              <w:spacing w:after="40"/>
            </w:pPr>
            <w:r/>
            <w:r>
              <w:rPr>
                <w:b w:val="0"/>
                <w:sz w:val="18"/>
              </w:rPr>
              <w:t>G203 p27</w:t>
            </w:r>
          </w:p>
        </w:tc>
      </w:tr>
      <w:tr>
        <w:tc>
          <w:tcPr>
            <w:tcW w:type="dxa" w:w="3175"/>
          </w:tcPr>
          <w:p>
            <w:pPr>
              <w:spacing w:after="40"/>
            </w:pPr>
            <w:r/>
            <w:r>
              <w:rPr>
                <w:b w:val="0"/>
                <w:sz w:val="18"/>
              </w:rPr>
              <w:t>Flow depth at peak</w:t>
            </w:r>
          </w:p>
        </w:tc>
        <w:tc>
          <w:tcPr>
            <w:tcW w:type="dxa" w:w="2608"/>
          </w:tcPr>
          <w:p>
            <w:pPr>
              <w:spacing w:after="40"/>
            </w:pPr>
            <w:r/>
            <w:r>
              <w:rPr>
                <w:b w:val="0"/>
                <w:sz w:val="18"/>
              </w:rPr>
              <w:t>0.65 up to 350 mm, 0.50 above</w:t>
            </w:r>
          </w:p>
        </w:tc>
        <w:tc>
          <w:tcPr>
            <w:tcW w:type="dxa" w:w="3572"/>
          </w:tcPr>
          <w:p>
            <w:pPr>
              <w:spacing w:after="40"/>
            </w:pPr>
            <w:r/>
            <w:r>
              <w:rPr>
                <w:b w:val="0"/>
                <w:sz w:val="18"/>
              </w:rPr>
              <w:t>G203 Table 10</w:t>
            </w:r>
          </w:p>
        </w:tc>
      </w:tr>
      <w:tr>
        <w:tc>
          <w:tcPr>
            <w:tcW w:type="dxa" w:w="3175"/>
          </w:tcPr>
          <w:p>
            <w:pPr>
              <w:spacing w:after="40"/>
            </w:pPr>
            <w:r/>
            <w:r>
              <w:rPr>
                <w:b w:val="0"/>
                <w:sz w:val="18"/>
              </w:rPr>
              <w:t>Minimum cover</w:t>
            </w:r>
          </w:p>
        </w:tc>
        <w:tc>
          <w:tcPr>
            <w:tcW w:type="dxa" w:w="2608"/>
          </w:tcPr>
          <w:p>
            <w:pPr>
              <w:spacing w:after="40"/>
            </w:pPr>
            <w:r/>
            <w:r>
              <w:rPr>
                <w:b w:val="0"/>
                <w:sz w:val="18"/>
              </w:rPr>
              <w:t>1.3 m to pipe crown</w:t>
            </w:r>
          </w:p>
        </w:tc>
        <w:tc>
          <w:tcPr>
            <w:tcW w:type="dxa" w:w="3572"/>
          </w:tcPr>
          <w:p>
            <w:pPr>
              <w:spacing w:after="40"/>
            </w:pPr>
            <w:r/>
            <w:r>
              <w:rPr>
                <w:b w:val="0"/>
                <w:sz w:val="18"/>
              </w:rPr>
              <w:t>G203 p33</w:t>
            </w:r>
          </w:p>
        </w:tc>
      </w:tr>
      <w:tr>
        <w:tc>
          <w:tcPr>
            <w:tcW w:type="dxa" w:w="3175"/>
          </w:tcPr>
          <w:p>
            <w:pPr>
              <w:spacing w:after="40"/>
            </w:pPr>
            <w:r/>
            <w:r>
              <w:rPr>
                <w:b w:val="0"/>
                <w:sz w:val="18"/>
              </w:rPr>
              <w:t>Recommended maximum cover</w:t>
            </w:r>
          </w:p>
        </w:tc>
        <w:tc>
          <w:tcPr>
            <w:tcW w:type="dxa" w:w="2608"/>
          </w:tcPr>
          <w:p>
            <w:pPr>
              <w:spacing w:after="40"/>
            </w:pPr>
            <w:r/>
            <w:r>
              <w:rPr>
                <w:b w:val="0"/>
                <w:sz w:val="18"/>
              </w:rPr>
              <w:t>approximately 10–12 m</w:t>
            </w:r>
          </w:p>
        </w:tc>
        <w:tc>
          <w:tcPr>
            <w:tcW w:type="dxa" w:w="3572"/>
          </w:tcPr>
          <w:p>
            <w:pPr>
              <w:spacing w:after="40"/>
            </w:pPr>
            <w:r/>
            <w:r>
              <w:rPr>
                <w:b w:val="0"/>
                <w:sz w:val="18"/>
              </w:rPr>
              <w:t>G203 p33</w:t>
            </w:r>
          </w:p>
        </w:tc>
      </w:tr>
      <w:tr>
        <w:tc>
          <w:tcPr>
            <w:tcW w:type="dxa" w:w="3175"/>
          </w:tcPr>
          <w:p>
            <w:pPr>
              <w:spacing w:after="40"/>
            </w:pPr>
            <w:r/>
            <w:r>
              <w:rPr>
                <w:b w:val="0"/>
                <w:sz w:val="18"/>
              </w:rPr>
              <w:t>STP design margin</w:t>
            </w:r>
          </w:p>
        </w:tc>
        <w:tc>
          <w:tcPr>
            <w:tcW w:type="dxa" w:w="2608"/>
          </w:tcPr>
          <w:p>
            <w:pPr>
              <w:spacing w:after="40"/>
            </w:pPr>
            <w:r/>
            <w:r>
              <w:rPr>
                <w:b w:val="0"/>
                <w:sz w:val="18"/>
              </w:rPr>
              <w:t>10 %</w:t>
            </w:r>
          </w:p>
        </w:tc>
        <w:tc>
          <w:tcPr>
            <w:tcW w:type="dxa" w:w="3572"/>
          </w:tcPr>
          <w:p>
            <w:pPr>
              <w:spacing w:after="40"/>
            </w:pPr>
            <w:r/>
            <w:r>
              <w:rPr>
                <w:b w:val="0"/>
                <w:sz w:val="18"/>
              </w:rPr>
              <w:t>G201 p73</w:t>
            </w:r>
          </w:p>
        </w:tc>
      </w:tr>
      <w:tr>
        <w:tc>
          <w:tcPr>
            <w:tcW w:type="dxa" w:w="3175"/>
          </w:tcPr>
          <w:p>
            <w:pPr>
              <w:spacing w:after="40"/>
            </w:pPr>
            <w:r/>
            <w:r>
              <w:rPr>
                <w:b w:val="0"/>
                <w:sz w:val="18"/>
              </w:rPr>
              <w:t>TSE produced</w:t>
            </w:r>
          </w:p>
        </w:tc>
        <w:tc>
          <w:tcPr>
            <w:tcW w:type="dxa" w:w="2608"/>
          </w:tcPr>
          <w:p>
            <w:pPr>
              <w:spacing w:after="40"/>
            </w:pPr>
            <w:r/>
            <w:r>
              <w:rPr>
                <w:b w:val="0"/>
                <w:sz w:val="18"/>
              </w:rPr>
              <w:t>95 % of plant inflow</w:t>
            </w:r>
          </w:p>
        </w:tc>
        <w:tc>
          <w:tcPr>
            <w:tcW w:type="dxa" w:w="3572"/>
          </w:tcPr>
          <w:p>
            <w:pPr>
              <w:spacing w:after="40"/>
            </w:pPr>
            <w:r/>
            <w:r>
              <w:rPr>
                <w:b w:val="0"/>
                <w:sz w:val="18"/>
              </w:rPr>
              <w:t>G201 p73</w:t>
            </w:r>
          </w:p>
        </w:tc>
      </w:tr>
      <w:tr>
        <w:tc>
          <w:tcPr>
            <w:tcW w:type="dxa" w:w="3175"/>
          </w:tcPr>
          <w:p>
            <w:pPr>
              <w:spacing w:after="40"/>
            </w:pPr>
            <w:r/>
            <w:r>
              <w:rPr>
                <w:b w:val="0"/>
                <w:sz w:val="18"/>
              </w:rPr>
              <w:t>TSE network loss</w:t>
            </w:r>
          </w:p>
        </w:tc>
        <w:tc>
          <w:tcPr>
            <w:tcW w:type="dxa" w:w="2608"/>
          </w:tcPr>
          <w:p>
            <w:pPr>
              <w:spacing w:after="40"/>
            </w:pPr>
            <w:r/>
            <w:r>
              <w:rPr>
                <w:b w:val="0"/>
                <w:sz w:val="18"/>
              </w:rPr>
              <w:t>10 % of TSE produced</w:t>
            </w:r>
          </w:p>
        </w:tc>
        <w:tc>
          <w:tcPr>
            <w:tcW w:type="dxa" w:w="3572"/>
          </w:tcPr>
          <w:p>
            <w:pPr>
              <w:spacing w:after="40"/>
            </w:pPr>
            <w:r/>
            <w:r>
              <w:rPr>
                <w:b w:val="0"/>
                <w:sz w:val="18"/>
              </w:rPr>
              <w:t>G201 p76</w:t>
            </w:r>
          </w:p>
        </w:tc>
      </w:tr>
      <w:tr>
        <w:tc>
          <w:tcPr>
            <w:tcW w:type="dxa" w:w="3175"/>
          </w:tcPr>
          <w:p>
            <w:pPr>
              <w:spacing w:after="40"/>
            </w:pPr>
            <w:r/>
            <w:r>
              <w:rPr>
                <w:b w:val="0"/>
                <w:sz w:val="18"/>
              </w:rPr>
              <w:t>Sludge</w:t>
            </w:r>
          </w:p>
        </w:tc>
        <w:tc>
          <w:tcPr>
            <w:tcW w:type="dxa" w:w="2608"/>
          </w:tcPr>
          <w:p>
            <w:pPr>
              <w:spacing w:after="40"/>
            </w:pPr>
            <w:r/>
            <w:r>
              <w:rPr>
                <w:b w:val="0"/>
                <w:sz w:val="18"/>
              </w:rPr>
              <w:t>0.25 kg per m³ of inflow</w:t>
            </w:r>
          </w:p>
        </w:tc>
        <w:tc>
          <w:tcPr>
            <w:tcW w:type="dxa" w:w="3572"/>
          </w:tcPr>
          <w:p>
            <w:pPr>
              <w:spacing w:after="40"/>
            </w:pPr>
            <w:r/>
            <w:r>
              <w:rPr>
                <w:b w:val="0"/>
                <w:sz w:val="18"/>
              </w:rPr>
              <w:t>G201 p78</w:t>
            </w:r>
          </w:p>
        </w:tc>
      </w:tr>
      <w:tr>
        <w:tc>
          <w:tcPr>
            <w:tcW w:type="dxa" w:w="3175"/>
          </w:tcPr>
          <w:p>
            <w:pPr>
              <w:spacing w:after="40"/>
            </w:pPr>
            <w:r/>
            <w:r>
              <w:rPr>
                <w:b w:val="0"/>
                <w:sz w:val="18"/>
              </w:rPr>
              <w:t>Total nitrogen in the effluent</w:t>
            </w:r>
          </w:p>
        </w:tc>
        <w:tc>
          <w:tcPr>
            <w:tcW w:type="dxa" w:w="2608"/>
          </w:tcPr>
          <w:p>
            <w:pPr>
              <w:spacing w:after="40"/>
            </w:pPr>
            <w:r/>
            <w:r>
              <w:rPr>
                <w:b w:val="0"/>
                <w:sz w:val="18"/>
              </w:rPr>
              <w:t>below 15 mg/l as N</w:t>
            </w:r>
          </w:p>
        </w:tc>
        <w:tc>
          <w:tcPr>
            <w:tcW w:type="dxa" w:w="3572"/>
          </w:tcPr>
          <w:p>
            <w:pPr>
              <w:spacing w:after="40"/>
            </w:pPr>
            <w:r/>
            <w:r>
              <w:rPr>
                <w:b w:val="0"/>
                <w:sz w:val="18"/>
              </w:rPr>
              <w:t>G203 p71</w:t>
            </w:r>
          </w:p>
        </w:tc>
      </w:tr>
      <w:tr>
        <w:tc>
          <w:tcPr>
            <w:tcW w:type="dxa" w:w="3175"/>
          </w:tcPr>
          <w:p>
            <w:pPr>
              <w:spacing w:after="40"/>
            </w:pPr>
            <w:r/>
            <w:r>
              <w:rPr>
                <w:b w:val="0"/>
                <w:sz w:val="18"/>
              </w:rPr>
              <w:t>Design horizon</w:t>
            </w:r>
          </w:p>
        </w:tc>
        <w:tc>
          <w:tcPr>
            <w:tcW w:type="dxa" w:w="2608"/>
          </w:tcPr>
          <w:p>
            <w:pPr>
              <w:spacing w:after="40"/>
            </w:pPr>
            <w:r/>
            <w:r>
              <w:rPr>
                <w:b w:val="0"/>
                <w:sz w:val="18"/>
              </w:rPr>
              <w:t>at least 15 years for the STP; 25 years for appraisal</w:t>
            </w:r>
          </w:p>
        </w:tc>
        <w:tc>
          <w:tcPr>
            <w:tcW w:type="dxa" w:w="3572"/>
          </w:tcPr>
          <w:p>
            <w:pPr>
              <w:spacing w:after="40"/>
            </w:pPr>
            <w:r/>
            <w:r>
              <w:rPr>
                <w:b w:val="0"/>
                <w:sz w:val="18"/>
              </w:rPr>
              <w:t>G203 p65, G201 p57</w:t>
            </w:r>
          </w:p>
        </w:tc>
      </w:tr>
    </w:tbl>
    <w:p>
      <w:pPr>
        <w:pStyle w:val="Heading2"/>
      </w:pPr>
      <w:r>
        <w:t>Six things that are easy to get wrong</w:t>
      </w:r>
    </w:p>
    <w:p>
      <w:r>
        <w:rPr>
          <w:b w:val="0"/>
          <w:i w:val="0"/>
        </w:rPr>
        <w:t>These are the places where a correct-looking calculation gives a wrong answer. Each is explained where it arises.</w:t>
      </w:r>
    </w:p>
    <w:p>
      <w:r>
        <w:rPr>
          <w:b/>
          <w:i w:val="0"/>
        </w:rPr>
        <w:t xml:space="preserve">Merrimack runs in megalitres per day. </w:t>
      </w:r>
      <w:r>
        <w:rPr>
          <w:b w:val="0"/>
          <w:i w:val="0"/>
        </w:rPr>
        <w:t>The formula has an exponent of 0.879, so feeding it cubic metres instead of megalitres does not scale the answer — it produces a different number entirely. Peltier, on the facing page, wants litres per second. The general peak-factor equation between them is in cubic metres per day.</w:t>
      </w:r>
    </w:p>
    <w:p>
      <w:r>
        <w:rPr>
          <w:b/>
          <w:i w:val="0"/>
        </w:rPr>
        <w:t xml:space="preserve">The minimum gradient table is a full-bore table. </w:t>
      </w:r>
      <w:r>
        <w:rPr>
          <w:b w:val="0"/>
          <w:i w:val="0"/>
        </w:rPr>
        <w:t>Its gradients deliver 0.75 m/s when the pipe runs full. The guideline separately requires 0.75 m/s at peak flow. A pipe over 350 mm laid at the table minimum sits exactly on the limit at its design depth, and every pipe falls below it in the opening years.</w:t>
      </w:r>
    </w:p>
    <w:p>
      <w:r>
        <w:rPr>
          <w:b/>
          <w:i w:val="0"/>
        </w:rPr>
        <w:t xml:space="preserve">The depth rule is a recommendation about cover. </w:t>
      </w:r>
      <w:r>
        <w:rPr>
          <w:b w:val="0"/>
          <w:i w:val="0"/>
        </w:rPr>
        <w:t>Ten to twelve metres is not a limit and does not refer to invert depth. What triggers a pumping station is excavation cost becoming prohibitive, and the guideline attaches no depth figure to that.</w:t>
      </w:r>
    </w:p>
    <w:p>
      <w:r>
        <w:rPr>
          <w:b/>
          <w:i w:val="0"/>
        </w:rPr>
        <w:t xml:space="preserve">Tankered water still becomes sewage. </w:t>
      </w:r>
      <w:r>
        <w:rPr>
          <w:b w:val="0"/>
          <w:i w:val="0"/>
        </w:rPr>
        <w:t>Water delivered by truck returns to the sewer at the same 85 % as piped water. Leaving it out understates the load, and in this governorate the tankered volume is large.</w:t>
      </w:r>
    </w:p>
    <w:p>
      <w:r>
        <w:rPr>
          <w:b/>
          <w:i w:val="0"/>
        </w:rPr>
        <w:t xml:space="preserve">Accuracy points in opposite directions. </w:t>
      </w:r>
      <w:r>
        <w:rPr>
          <w:b w:val="0"/>
          <w:i w:val="0"/>
        </w:rPr>
        <w:t>For pipe and plant capacity, under-estimating is the danger. For the self-cleansing and washing schedule, over-estimating is the danger, because it declares the pipes self-scouring while they silt. One population figure cannot serve both.</w:t>
      </w:r>
    </w:p>
    <w:p>
      <w:r>
        <w:rPr>
          <w:b/>
          <w:i w:val="0"/>
        </w:rPr>
        <w:t xml:space="preserve">Table 12 and the percentage uplifts are alternatives. </w:t>
      </w:r>
      <w:r>
        <w:rPr>
          <w:b w:val="0"/>
          <w:i w:val="0"/>
        </w:rPr>
        <w:t>Applying unit rates to commercial plots and then adding the 22 % and 14 % counts the same water twice. Use one or the other.</w:t>
      </w:r>
    </w:p>
    <w:p>
      <w:pPr>
        <w:pStyle w:val="Heading2"/>
      </w:pPr>
      <w:r>
        <w:t>Where the guidelines cannot be relied on</w:t>
      </w:r>
    </w:p>
    <w:p>
      <w:r>
        <w:rPr>
          <w:b w:val="0"/>
          <w:i w:val="0"/>
        </w:rPr>
        <w:t>Three categories, each handled in full in Section 15.</w:t>
      </w:r>
    </w:p>
    <w:p>
      <w:r>
        <w:rPr>
          <w:b/>
          <w:i w:val="0"/>
        </w:rPr>
        <w:t xml:space="preserve">Formulae that are not there. </w:t>
      </w:r>
      <w:r>
        <w:rPr>
          <w:b w:val="0"/>
          <w:i w:val="0"/>
        </w:rPr>
        <w:t>Net present value, life cycle cost, carbon footprint, multi-criteria scoring, total dynamic head, pump power, and both friction equations in written form. The guidelines name them and tabulate their coefficients but never write them. They are attributed here to ISO 15686-5, the GHG Protocol, Metcalf and Eddy, or standard hydraulics.</w:t>
      </w:r>
    </w:p>
    <w:p>
      <w:r>
        <w:rPr>
          <w:b/>
          <w:i w:val="0"/>
        </w:rPr>
        <w:t xml:space="preserve">A mandatory method that cannot be executed. </w:t>
      </w:r>
      <w:r>
        <w:rPr>
          <w:b w:val="0"/>
          <w:i w:val="0"/>
        </w:rPr>
        <w:t>The tractive force check is required, and the required value of shear stress in pascals appears nowhere in either guideline. Any value used has to come from outside and be agreed with NWS.</w:t>
      </w:r>
    </w:p>
    <w:p>
      <w:r>
        <w:rPr>
          <w:b/>
          <w:i w:val="0"/>
        </w:rPr>
        <w:t xml:space="preserve">Twenty-eight printing and arithmetic defects. </w:t>
      </w:r>
      <w:r>
        <w:rPr>
          <w:b w:val="0"/>
          <w:i w:val="0"/>
        </w:rPr>
        <w:t>Including a flow equation that divides where it should multiply, a peak-factor formula that differs from its published original, and a tanker ratio that cannot be true. All are listed with their page numbers.</w:t>
      </w:r>
    </w:p>
    <w:p>
      <w:r>
        <w:br w:type="page"/>
      </w:r>
    </w:p>
    <w:p>
      <w:r>
        <w:br w:type="page"/>
      </w:r>
    </w:p>
    <w:p>
      <w:pPr>
        <w:pStyle w:val="Heading1"/>
      </w:pPr>
      <w:r>
        <w:t>3   Preparing the data</w:t>
      </w:r>
    </w:p>
    <w:p>
      <w:pPr>
        <w:pStyle w:val="Heading2"/>
      </w:pPr>
      <w:r>
        <w:t>3.1   Purpose</w:t>
      </w:r>
    </w:p>
    <w:p>
      <w:r>
        <w:rPr>
          <w:b w:val="0"/>
          <w:i w:val="0"/>
        </w:rPr>
        <w:t>Every later number rests on knowing how many properties sit on each plot and what each one is used for. The cadastral data does not say. This step builds that layer, and it is the only step whose output is a dataset rather than a number.</w:t>
      </w:r>
    </w:p>
    <w:p>
      <w:pPr>
        <w:pStyle w:val="Heading2"/>
      </w:pPr>
      <w:r>
        <w:t>3.2   What the source data does and does not contain</w:t>
      </w:r>
    </w:p>
    <w:p>
      <w:r>
        <w:rPr>
          <w:b w:val="0"/>
          <w:i w:val="0"/>
        </w:rPr>
        <w:t>The plot layer from MoHUP carries geometry. It does not distinguish developed from undeveloped plots, it is missing plots that exist on the ground, and it carries no land use and no count of dwellings.</w:t>
      </w:r>
    </w:p>
    <w:p>
      <w:r>
        <w:rPr>
          <w:b w:val="0"/>
          <w:i w:val="0"/>
        </w:rPr>
        <w:t>The electricity account layer supplies what is missing — but only partly, and the limit matters. It carries a tariff name and a coordinate. It carries no land use, no floor area, and no consumption figure. It can therefore say what kind of customer sits at a point and how many there are. It can never say how large that customer is.</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This single limitation decides the demand method.  </w:t>
      </w:r>
      <w:r>
        <w:rPr>
          <w:sz w:val="20"/>
        </w:rPr>
        <w:t>GUD-201 Table 12 prices non-domestic demand in pupils, beds, employees and square metres of floor area. None of those quantities exists in any dataset held for this project. The percentage-uplift route is therefore the one in use, and Table 12 is adopted on the day real quantities are supplied. See Section 5.4.</w:t>
      </w:r>
    </w:p>
    <w:p>
      <w:pPr>
        <w:pStyle w:val="Heading2"/>
      </w:pPr>
      <w:r>
        <w:t>3.3   Method</w:t>
      </w:r>
    </w:p>
    <w:p>
      <w:pPr>
        <w:spacing w:after="60"/>
        <w:ind w:left="510" w:hanging="510"/>
      </w:pPr>
      <w:r>
        <w:rPr>
          <w:b/>
        </w:rPr>
        <w:t xml:space="preserve">1.   </w:t>
      </w:r>
      <w:r>
        <w:t>Points sharing an identical coordinate are stacked properties at one address, and are counted individually.</w:t>
      </w:r>
    </w:p>
    <w:p>
      <w:pPr>
        <w:spacing w:after="60"/>
        <w:ind w:left="510" w:hanging="510"/>
      </w:pPr>
      <w:r>
        <w:rPr>
          <w:b/>
        </w:rPr>
        <w:t xml:space="preserve">2.   </w:t>
      </w:r>
      <w:r>
        <w:t>Points falling inside a plot belong to that plot, whatever their spacing.</w:t>
      </w:r>
    </w:p>
    <w:p>
      <w:pPr>
        <w:spacing w:after="60"/>
        <w:ind w:left="510" w:hanging="510"/>
      </w:pPr>
      <w:r>
        <w:rPr>
          <w:b/>
        </w:rPr>
        <w:t xml:space="preserve">3.   </w:t>
      </w:r>
      <w:r>
        <w:t>Points falling inside no plot are left unassigned until the corrected plot layer is available. Only then are any remaining orphans moved to the nearest plot that holds none.</w:t>
      </w:r>
    </w:p>
    <w:p>
      <w:pPr>
        <w:spacing w:after="60"/>
        <w:ind w:left="510" w:hanging="510"/>
      </w:pPr>
      <w:r>
        <w:rPr>
          <w:b/>
        </w:rPr>
        <w:t xml:space="preserve">4.   </w:t>
      </w:r>
      <w:r>
        <w:t>Each tariff is mapped to one consumption category. The mapping is an inference and is recorded as one.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Assign orphan points last, not first.  </w:t>
      </w:r>
      <w:r>
        <w:rPr>
          <w:sz w:val="20"/>
        </w:rPr>
        <w:t>Moving a point to a neighbouring plot moves load between streets and changes the pipe sizes on both. Many unmatched points will land naturally once the missing plots are digitised, so shifting before that step manufactures errors that the corrected data would have avoided.</w:t>
      </w:r>
    </w:p>
    <w:p>
      <w:pPr>
        <w:pStyle w:val="Heading2"/>
      </w:pPr>
      <w:r>
        <w:t>3.4   Mapping tariffs to consumption categories</w:t>
      </w:r>
    </w:p>
    <w:p>
      <w:r>
        <w:rPr>
          <w:b w:val="0"/>
          <w:i w:val="0"/>
        </w:rPr>
        <w:t>The electricity file names a tariff. The guideline names a consumption category. The crosswalk between them is the following, and it is ours rather than NWS's.</w:t>
      </w:r>
    </w:p>
    <w:p>
      <w:pPr>
        <w:spacing w:before="160" w:after="60"/>
      </w:pPr>
      <w:r>
        <w:rPr>
          <w:b/>
          <w:color w:val="2E629E"/>
          <w:sz w:val="18"/>
        </w:rPr>
        <w:t>Table 1   Electricity tariff to guideline consumption category</w:t>
      </w:r>
    </w:p>
    <w:tbl>
      <w:tblPr>
        <w:tblStyle w:val="TableGrid"/>
        <w:tblW w:type="auto" w:w="0"/>
        <w:jc w:val="center"/>
        <w:tblLook w:firstColumn="1" w:firstRow="1" w:lastColumn="0" w:lastRow="0" w:noHBand="0" w:noVBand="1" w:val="04A0"/>
      </w:tblPr>
      <w:tblGrid>
        <w:gridCol w:w="3137"/>
        <w:gridCol w:w="3137"/>
        <w:gridCol w:w="3137"/>
      </w:tblGrid>
      <w:tr>
        <w:tc>
          <w:tcPr>
            <w:tcW w:type="dxa" w:w="3402"/>
            <w:shd w:val="clear" w:color="auto" w:fill="1F3B63"/>
          </w:tcPr>
          <w:p>
            <w:pPr>
              <w:spacing w:after="40"/>
            </w:pPr>
            <w:r/>
            <w:r>
              <w:rPr>
                <w:b/>
                <w:color w:val="FFFFFF"/>
                <w:sz w:val="18"/>
              </w:rPr>
              <w:t>Tariff as issued</w:t>
            </w:r>
          </w:p>
        </w:tc>
        <w:tc>
          <w:tcPr>
            <w:tcW w:type="dxa" w:w="2268"/>
            <w:shd w:val="clear" w:color="auto" w:fill="1F3B63"/>
          </w:tcPr>
          <w:p>
            <w:pPr>
              <w:spacing w:after="40"/>
            </w:pPr>
            <w:r/>
            <w:r>
              <w:rPr>
                <w:b/>
                <w:color w:val="FFFFFF"/>
                <w:sz w:val="18"/>
              </w:rPr>
              <w:t>Category</w:t>
            </w:r>
          </w:p>
        </w:tc>
        <w:tc>
          <w:tcPr>
            <w:tcW w:type="dxa" w:w="3685"/>
            <w:shd w:val="clear" w:color="auto" w:fill="1F3B63"/>
          </w:tcPr>
          <w:p>
            <w:pPr>
              <w:spacing w:after="40"/>
            </w:pPr>
            <w:r/>
            <w:r>
              <w:rPr>
                <w:b/>
                <w:color w:val="FFFFFF"/>
                <w:sz w:val="18"/>
              </w:rPr>
              <w:t>Treatment</w:t>
            </w:r>
          </w:p>
        </w:tc>
      </w:tr>
      <w:tr>
        <w:tc>
          <w:tcPr>
            <w:tcW w:type="dxa" w:w="3402"/>
          </w:tcPr>
          <w:p>
            <w:pPr>
              <w:spacing w:after="40"/>
            </w:pPr>
            <w:r/>
            <w:r>
              <w:rPr>
                <w:b w:val="0"/>
                <w:sz w:val="18"/>
              </w:rPr>
              <w:t>Primary Account</w:t>
            </w:r>
          </w:p>
        </w:tc>
        <w:tc>
          <w:tcPr>
            <w:tcW w:type="dxa" w:w="2268"/>
          </w:tcPr>
          <w:p>
            <w:pPr>
              <w:spacing w:after="40"/>
            </w:pPr>
            <w:r/>
            <w:r>
              <w:rPr>
                <w:b w:val="0"/>
                <w:sz w:val="18"/>
              </w:rPr>
              <w:t>Domestic</w:t>
            </w:r>
          </w:p>
        </w:tc>
        <w:tc>
          <w:tcPr>
            <w:tcW w:type="dxa" w:w="3685"/>
          </w:tcPr>
          <w:p>
            <w:pPr>
              <w:spacing w:after="40"/>
            </w:pPr>
            <w:r/>
            <w:r>
              <w:rPr>
                <w:b w:val="0"/>
                <w:sz w:val="18"/>
              </w:rPr>
              <w:t>one dwelling</w:t>
            </w:r>
          </w:p>
        </w:tc>
      </w:tr>
      <w:tr>
        <w:tc>
          <w:tcPr>
            <w:tcW w:type="dxa" w:w="3402"/>
          </w:tcPr>
          <w:p>
            <w:pPr>
              <w:spacing w:after="40"/>
            </w:pPr>
            <w:r/>
            <w:r>
              <w:rPr>
                <w:b w:val="0"/>
                <w:sz w:val="18"/>
              </w:rPr>
              <w:t>Primary Account with National Subsidy</w:t>
            </w:r>
          </w:p>
        </w:tc>
        <w:tc>
          <w:tcPr>
            <w:tcW w:type="dxa" w:w="2268"/>
          </w:tcPr>
          <w:p>
            <w:pPr>
              <w:spacing w:after="40"/>
            </w:pPr>
            <w:r/>
            <w:r>
              <w:rPr>
                <w:b w:val="0"/>
                <w:sz w:val="18"/>
              </w:rPr>
              <w:t>Domestic</w:t>
            </w:r>
          </w:p>
        </w:tc>
        <w:tc>
          <w:tcPr>
            <w:tcW w:type="dxa" w:w="3685"/>
          </w:tcPr>
          <w:p>
            <w:pPr>
              <w:spacing w:after="40"/>
            </w:pPr>
            <w:r/>
            <w:r>
              <w:rPr>
                <w:b w:val="0"/>
                <w:sz w:val="18"/>
              </w:rPr>
              <w:t>one dwelling</w:t>
            </w:r>
          </w:p>
        </w:tc>
      </w:tr>
      <w:tr>
        <w:tc>
          <w:tcPr>
            <w:tcW w:type="dxa" w:w="3402"/>
          </w:tcPr>
          <w:p>
            <w:pPr>
              <w:spacing w:after="40"/>
            </w:pPr>
            <w:r/>
            <w:r>
              <w:rPr>
                <w:b w:val="0"/>
                <w:sz w:val="18"/>
              </w:rPr>
              <w:t>Additional Account</w:t>
            </w:r>
          </w:p>
        </w:tc>
        <w:tc>
          <w:tcPr>
            <w:tcW w:type="dxa" w:w="2268"/>
          </w:tcPr>
          <w:p>
            <w:pPr>
              <w:spacing w:after="40"/>
            </w:pPr>
            <w:r/>
            <w:r>
              <w:rPr>
                <w:b w:val="0"/>
                <w:sz w:val="18"/>
              </w:rPr>
              <w:t>Domestic</w:t>
            </w:r>
          </w:p>
        </w:tc>
        <w:tc>
          <w:tcPr>
            <w:tcW w:type="dxa" w:w="3685"/>
          </w:tcPr>
          <w:p>
            <w:pPr>
              <w:spacing w:after="40"/>
            </w:pPr>
            <w:r/>
            <w:r>
              <w:rPr>
                <w:b w:val="0"/>
                <w:sz w:val="18"/>
              </w:rPr>
              <w:t>a separate dwelling on the same plot</w:t>
            </w:r>
          </w:p>
        </w:tc>
      </w:tr>
      <w:tr>
        <w:tc>
          <w:tcPr>
            <w:tcW w:type="dxa" w:w="3402"/>
          </w:tcPr>
          <w:p>
            <w:pPr>
              <w:spacing w:after="40"/>
            </w:pPr>
            <w:r/>
            <w:r>
              <w:rPr>
                <w:b w:val="0"/>
                <w:sz w:val="18"/>
              </w:rPr>
              <w:t>Commercial, Fisheries, Tourism</w:t>
            </w:r>
          </w:p>
        </w:tc>
        <w:tc>
          <w:tcPr>
            <w:tcW w:type="dxa" w:w="2268"/>
          </w:tcPr>
          <w:p>
            <w:pPr>
              <w:spacing w:after="40"/>
            </w:pPr>
            <w:r/>
            <w:r>
              <w:rPr>
                <w:b w:val="0"/>
                <w:sz w:val="18"/>
              </w:rPr>
              <w:t>Non-domestic</w:t>
            </w:r>
          </w:p>
        </w:tc>
        <w:tc>
          <w:tcPr>
            <w:tcW w:type="dxa" w:w="3685"/>
          </w:tcPr>
          <w:p>
            <w:pPr>
              <w:spacing w:after="40"/>
            </w:pPr>
            <w:r/>
            <w:r>
              <w:rPr>
                <w:b w:val="0"/>
                <w:sz w:val="18"/>
              </w:rPr>
              <w:t>carries the uplift volume</w:t>
            </w:r>
          </w:p>
        </w:tc>
      </w:tr>
      <w:tr>
        <w:tc>
          <w:tcPr>
            <w:tcW w:type="dxa" w:w="3402"/>
          </w:tcPr>
          <w:p>
            <w:pPr>
              <w:spacing w:after="40"/>
            </w:pPr>
            <w:r/>
            <w:r>
              <w:rPr>
                <w:b w:val="0"/>
                <w:sz w:val="18"/>
              </w:rPr>
              <w:t>Government, MOD</w:t>
            </w:r>
          </w:p>
        </w:tc>
        <w:tc>
          <w:tcPr>
            <w:tcW w:type="dxa" w:w="2268"/>
          </w:tcPr>
          <w:p>
            <w:pPr>
              <w:spacing w:after="40"/>
            </w:pPr>
            <w:r/>
            <w:r>
              <w:rPr>
                <w:b w:val="0"/>
                <w:sz w:val="18"/>
              </w:rPr>
              <w:t>Governmental</w:t>
            </w:r>
          </w:p>
        </w:tc>
        <w:tc>
          <w:tcPr>
            <w:tcW w:type="dxa" w:w="3685"/>
          </w:tcPr>
          <w:p>
            <w:pPr>
              <w:spacing w:after="40"/>
            </w:pPr>
            <w:r/>
            <w:r>
              <w:rPr>
                <w:b w:val="0"/>
                <w:sz w:val="18"/>
              </w:rPr>
              <w:t>carries the uplift volume</w:t>
            </w:r>
          </w:p>
        </w:tc>
      </w:tr>
      <w:tr>
        <w:tc>
          <w:tcPr>
            <w:tcW w:type="dxa" w:w="3402"/>
          </w:tcPr>
          <w:p>
            <w:pPr>
              <w:spacing w:after="40"/>
            </w:pPr>
            <w:r/>
            <w:r>
              <w:rPr>
                <w:b w:val="0"/>
                <w:sz w:val="18"/>
              </w:rPr>
              <w:t>Agricultural</w:t>
            </w:r>
          </w:p>
        </w:tc>
        <w:tc>
          <w:tcPr>
            <w:tcW w:type="dxa" w:w="2268"/>
          </w:tcPr>
          <w:p>
            <w:pPr>
              <w:spacing w:after="40"/>
            </w:pPr>
            <w:r/>
            <w:r>
              <w:rPr>
                <w:b w:val="0"/>
                <w:sz w:val="18"/>
              </w:rPr>
              <w:t>No sewage load</w:t>
            </w:r>
          </w:p>
        </w:tc>
        <w:tc>
          <w:tcPr>
            <w:tcW w:type="dxa" w:w="3685"/>
          </w:tcPr>
          <w:p>
            <w:pPr>
              <w:spacing w:after="40"/>
            </w:pPr>
            <w:r/>
            <w:r>
              <w:rPr>
                <w:b w:val="0"/>
                <w:sz w:val="18"/>
              </w:rPr>
              <w:t>an irrigation pump — see below</w:t>
            </w:r>
          </w:p>
        </w:tc>
      </w:tr>
      <w:tr>
        <w:tc>
          <w:tcPr>
            <w:tcW w:type="dxa" w:w="3402"/>
          </w:tcPr>
          <w:p>
            <w:pPr>
              <w:spacing w:after="40"/>
            </w:pPr>
            <w:r/>
            <w:r>
              <w:rPr>
                <w:b w:val="0"/>
                <w:sz w:val="18"/>
              </w:rPr>
              <w:t>Cost Reflective Tariff (CRT)</w:t>
            </w:r>
          </w:p>
        </w:tc>
        <w:tc>
          <w:tcPr>
            <w:tcW w:type="dxa" w:w="2268"/>
          </w:tcPr>
          <w:p>
            <w:pPr>
              <w:spacing w:after="40"/>
            </w:pPr>
            <w:r/>
            <w:r>
              <w:rPr>
                <w:b w:val="0"/>
                <w:sz w:val="18"/>
              </w:rPr>
              <w:t>Unresolved</w:t>
            </w:r>
          </w:p>
        </w:tc>
        <w:tc>
          <w:tcPr>
            <w:tcW w:type="dxa" w:w="3685"/>
          </w:tcPr>
          <w:p>
            <w:pPr>
              <w:spacing w:after="40"/>
            </w:pPr>
            <w:r/>
            <w:r>
              <w:rPr>
                <w:b w:val="0"/>
                <w:sz w:val="18"/>
              </w:rPr>
              <w:t>a size class, not a land use</w:t>
            </w:r>
          </w:p>
        </w:tc>
      </w:tr>
      <w:tr>
        <w:tc>
          <w:tcPr>
            <w:tcW w:type="dxa" w:w="3402"/>
          </w:tcPr>
          <w:p>
            <w:pPr>
              <w:spacing w:after="40"/>
            </w:pPr>
            <w:r/>
            <w:r>
              <w:rPr>
                <w:b w:val="0"/>
                <w:sz w:val="18"/>
              </w:rPr>
              <w:t>Industrial</w:t>
            </w:r>
          </w:p>
        </w:tc>
        <w:tc>
          <w:tcPr>
            <w:tcW w:type="dxa" w:w="2268"/>
          </w:tcPr>
          <w:p>
            <w:pPr>
              <w:spacing w:after="40"/>
            </w:pPr>
            <w:r/>
            <w:r>
              <w:rPr>
                <w:b w:val="0"/>
                <w:sz w:val="18"/>
              </w:rPr>
              <w:t>Case by case</w:t>
            </w:r>
          </w:p>
        </w:tc>
        <w:tc>
          <w:tcPr>
            <w:tcW w:type="dxa" w:w="3685"/>
          </w:tcPr>
          <w:p>
            <w:pPr>
              <w:spacing w:after="40"/>
            </w:pPr>
            <w:r/>
            <w:r>
              <w:rPr>
                <w:b w:val="0"/>
                <w:sz w:val="18"/>
              </w:rPr>
              <w:t>excluded from the uplift ratios by G201 p59</w:t>
            </w:r>
          </w:p>
        </w:tc>
      </w:tr>
    </w:tbl>
    <w:p>
      <w:pPr>
        <w:pStyle w:val="Heading3"/>
      </w:pPr>
      <w:r>
        <w:t>Agricultural plots</w:t>
      </w:r>
    </w:p>
    <w:p>
      <w:r>
        <w:rPr>
          <w:b w:val="0"/>
          <w:i w:val="0"/>
        </w:rPr>
        <w:t>An agricultural meter powers a borehole pump. The water it lifts goes onto a field and never reaches a sewer. Where a dwelling stands on a farm plot it carries its own domestic account, which is counted normally. The test is therefore whether the plot holds a domestic meter, not whether it holds an agricultural one.</w:t>
      </w:r>
    </w:p>
    <w:p>
      <w:pPr>
        <w:pStyle w:val="ListBullet"/>
        <w:spacing w:after="60"/>
        <w:ind w:left="340"/>
      </w:pPr>
      <w:r>
        <w:rPr>
          <w:b/>
        </w:rPr>
        <w:t xml:space="preserve">Rule — </w:t>
      </w:r>
      <w:r>
        <w:t>an agricultural meter on a plot that already holds a domestic meter adds nothing</w:t>
      </w:r>
    </w:p>
    <w:p>
      <w:pPr>
        <w:pStyle w:val="ListBullet"/>
        <w:spacing w:after="60"/>
        <w:ind w:left="340"/>
      </w:pPr>
      <w:r>
        <w:rPr>
          <w:b/>
        </w:rPr>
        <w:t xml:space="preserve">Rule — </w:t>
      </w:r>
      <w:r>
        <w:t>an agricultural-only plot carries no dwelling</w:t>
      </w:r>
    </w:p>
    <w:p>
      <w:pPr>
        <w:pStyle w:val="Heading3"/>
      </w:pPr>
      <w:r>
        <w:t>Cost Reflective Tariff</w:t>
      </w:r>
    </w:p>
    <w:p>
      <w:r>
        <w:rPr>
          <w:b w:val="0"/>
          <w:i w:val="0"/>
        </w:rPr>
        <w:t>CRT is a consumption-threshold tariff, applied to large consumers and billed at unsubsidised rates. It says a customer is big; it does not say what the customer is. A shopping centre, a factory, a hotel and a large government building all fall into it. These accounts are therefore both the most significant consumers and the only ones the tariff cannot classify. They must be resolved against the plot layer or by site inspection before any uplift ratio is applied.</w:t>
      </w:r>
    </w:p>
    <w:p>
      <w:pPr>
        <w:spacing w:after="200"/>
      </w:pPr>
      <w:r>
        <w:rPr>
          <w:b w:val="0"/>
          <w:i/>
          <w:color w:val="5A5A5A"/>
          <w:sz w:val="18"/>
        </w:rPr>
        <w:t>Source: G201 §7.3 p59-61 for the consumption categories; the tariff crosswalk is a project inference recorded in the concept report's inference register.</w:t>
      </w:r>
    </w:p>
    <w:p>
      <w:r>
        <w:br w:type="page"/>
      </w:r>
    </w:p>
    <w:p>
      <w:pPr>
        <w:pStyle w:val="Heading1"/>
      </w:pPr>
      <w:r>
        <w:t>4   Population</w:t>
      </w:r>
    </w:p>
    <w:p>
      <w:pPr>
        <w:pStyle w:val="Heading2"/>
      </w:pPr>
      <w:r>
        <w:t>4.1   Purpose</w:t>
      </w:r>
    </w:p>
    <w:p>
      <w:r>
        <w:rPr>
          <w:b w:val="0"/>
          <w:i w:val="0"/>
        </w:rPr>
        <w:t>Population drives every flow in the chain. The guideline permits three routes to it, and the choice between them is not free: they answer different questions and are used for different parts of the design.</w:t>
      </w:r>
    </w:p>
    <w:p>
      <w:pPr>
        <w:pStyle w:val="Heading2"/>
      </w:pPr>
      <w:r>
        <w:t>4.2   The three permitted routes</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F3B63"/>
          </w:tcPr>
          <w:p>
            <w:pPr>
              <w:spacing w:after="40"/>
            </w:pPr>
            <w:r/>
            <w:r>
              <w:rPr>
                <w:b/>
                <w:color w:val="FFFFFF"/>
                <w:sz w:val="18"/>
              </w:rPr>
              <w:t>Route</w:t>
            </w:r>
          </w:p>
        </w:tc>
        <w:tc>
          <w:tcPr>
            <w:tcW w:type="dxa" w:w="3061"/>
            <w:shd w:val="clear" w:color="auto" w:fill="1F3B63"/>
          </w:tcPr>
          <w:p>
            <w:pPr>
              <w:spacing w:after="40"/>
            </w:pPr>
            <w:r/>
            <w:r>
              <w:rPr>
                <w:b/>
                <w:color w:val="FFFFFF"/>
                <w:sz w:val="18"/>
              </w:rPr>
              <w:t>Basis</w:t>
            </w:r>
          </w:p>
        </w:tc>
        <w:tc>
          <w:tcPr>
            <w:tcW w:type="dxa" w:w="4252"/>
            <w:shd w:val="clear" w:color="auto" w:fill="1F3B63"/>
          </w:tcPr>
          <w:p>
            <w:pPr>
              <w:spacing w:after="40"/>
            </w:pPr>
            <w:r/>
            <w:r>
              <w:rPr>
                <w:b/>
                <w:color w:val="FFFFFF"/>
                <w:sz w:val="18"/>
              </w:rPr>
              <w:t>What it is good for</w:t>
            </w:r>
          </w:p>
        </w:tc>
      </w:tr>
      <w:tr>
        <w:tc>
          <w:tcPr>
            <w:tcW w:type="dxa" w:w="2041"/>
          </w:tcPr>
          <w:p>
            <w:pPr>
              <w:spacing w:after="40"/>
            </w:pPr>
            <w:r/>
            <w:r>
              <w:rPr>
                <w:b w:val="0"/>
                <w:sz w:val="18"/>
              </w:rPr>
              <w:t>Developer figures</w:t>
            </w:r>
          </w:p>
        </w:tc>
        <w:tc>
          <w:tcPr>
            <w:tcW w:type="dxa" w:w="3061"/>
          </w:tcPr>
          <w:p>
            <w:pPr>
              <w:spacing w:after="40"/>
            </w:pPr>
            <w:r/>
            <w:r>
              <w:rPr>
                <w:b w:val="0"/>
                <w:sz w:val="18"/>
              </w:rPr>
              <w:t>supplied directly</w:t>
            </w:r>
          </w:p>
        </w:tc>
        <w:tc>
          <w:tcPr>
            <w:tcW w:type="dxa" w:w="4252"/>
          </w:tcPr>
          <w:p>
            <w:pPr>
              <w:spacing w:after="40"/>
            </w:pPr>
            <w:r/>
            <w:r>
              <w:rPr>
                <w:b w:val="0"/>
                <w:sz w:val="18"/>
              </w:rPr>
              <w:t>takes precedence where they exist</w:t>
            </w:r>
          </w:p>
        </w:tc>
      </w:tr>
      <w:tr>
        <w:tc>
          <w:tcPr>
            <w:tcW w:type="dxa" w:w="2041"/>
          </w:tcPr>
          <w:p>
            <w:pPr>
              <w:spacing w:after="40"/>
            </w:pPr>
            <w:r/>
            <w:r>
              <w:rPr>
                <w:b w:val="0"/>
                <w:sz w:val="18"/>
              </w:rPr>
              <w:t>NCSI projection</w:t>
            </w:r>
          </w:p>
        </w:tc>
        <w:tc>
          <w:tcPr>
            <w:tcW w:type="dxa" w:w="3061"/>
          </w:tcPr>
          <w:p>
            <w:pPr>
              <w:spacing w:after="40"/>
            </w:pPr>
            <w:r/>
            <w:r>
              <w:rPr>
                <w:b w:val="0"/>
                <w:sz w:val="18"/>
              </w:rPr>
              <w:t>official census series</w:t>
            </w:r>
          </w:p>
        </w:tc>
        <w:tc>
          <w:tcPr>
            <w:tcW w:type="dxa" w:w="4252"/>
          </w:tcPr>
          <w:p>
            <w:pPr>
              <w:spacing w:after="40"/>
            </w:pPr>
            <w:r/>
            <w:r>
              <w:rPr>
                <w:b w:val="0"/>
                <w:sz w:val="18"/>
              </w:rPr>
              <w:t>populations at dated years</w:t>
            </w:r>
          </w:p>
        </w:tc>
      </w:tr>
      <w:tr>
        <w:tc>
          <w:tcPr>
            <w:tcW w:type="dxa" w:w="2041"/>
          </w:tcPr>
          <w:p>
            <w:pPr>
              <w:spacing w:after="40"/>
            </w:pPr>
            <w:r/>
            <w:r>
              <w:rPr>
                <w:b w:val="0"/>
                <w:sz w:val="18"/>
              </w:rPr>
              <w:t>Plot count</w:t>
            </w:r>
          </w:p>
        </w:tc>
        <w:tc>
          <w:tcPr>
            <w:tcW w:type="dxa" w:w="3061"/>
          </w:tcPr>
          <w:p>
            <w:pPr>
              <w:spacing w:after="40"/>
            </w:pPr>
            <w:r/>
            <w:r>
              <w:rPr>
                <w:b w:val="0"/>
                <w:sz w:val="18"/>
              </w:rPr>
              <w:t>plots × properties × occupancy</w:t>
            </w:r>
          </w:p>
        </w:tc>
        <w:tc>
          <w:tcPr>
            <w:tcW w:type="dxa" w:w="4252"/>
          </w:tcPr>
          <w:p>
            <w:pPr>
              <w:spacing w:after="40"/>
            </w:pPr>
            <w:r/>
            <w:r>
              <w:rPr>
                <w:b w:val="0"/>
                <w:sz w:val="18"/>
              </w:rPr>
              <w:t>the saturation ceiling</w:t>
            </w:r>
          </w:p>
        </w:tc>
      </w:tr>
    </w:tbl>
    <w:p/>
    <w:p>
      <w:r>
        <w:rPr>
          <w:b w:val="0"/>
          <w:i w:val="0"/>
        </w:rPr>
        <w:t>The two routes used here answer different questions. The census projection says how many people there will be in a given year. The plot count says how many there can ever be. Buried pipe, which lasts fifty years and cannot be economically re-laid, is sized on the ceiling. The plant, which is built in phases, is sized on the dated years.</w:t>
      </w:r>
    </w:p>
    <w:p>
      <w:pPr>
        <w:pStyle w:val="Heading2"/>
      </w:pPr>
      <w:r>
        <w:t>4.3   Population from plots</w:t>
      </w:r>
    </w:p>
    <w:p>
      <w:pPr>
        <w:tabs>
          <w:tab w:val="center" w:pos="4320"/>
          <w:tab w:val="right" w:pos="8640"/>
        </w:tabs>
        <w:spacing w:before="120" w:after="120"/>
      </w:pPr>
      <w:r>
        <w:tab/>
      </w:r>
      <m:oMath>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N</m:t>
        </m:r>
        <m:sSub>
          <m:e>
            <m:r>
              <w:rPr>
                <w:rFonts w:ascii="Cambria Math" w:hAnsi="Cambria Math"/>
              </w:rPr>
              <m:t xml:space="preserve"/>
            </m:r>
          </m:e>
          <m:sub>
            <m:r>
              <m:rPr>
                <m:sty m:val="p"/>
              </m:rPr>
              <w:rPr>
                <w:rFonts w:ascii="Cambria Math" w:hAnsi="Cambria Math"/>
              </w:rPr>
              <m:t xml:space="preserve">plots</m:t>
            </m:r>
          </m:sub>
        </m:sSub>
        <m:r>
          <w:rPr>
            <w:rFonts w:ascii="Cambria Math" w:hAnsi="Cambria Math"/>
          </w:rPr>
          <m:t xml:space="preserve"> × </m:t>
        </m:r>
        <m:r>
          <m:rPr>
            <m:sty m:val="p"/>
          </m:rPr>
          <w:rPr>
            <w:rFonts w:ascii="Cambria Math" w:hAnsi="Cambria Math"/>
          </w:rPr>
          <m:t xml:space="preserve">p</m:t>
        </m:r>
        <m:r>
          <w:rPr>
            <w:rFonts w:ascii="Cambria Math" w:hAnsi="Cambria Math"/>
          </w:rPr>
          <m:t xml:space="preserve"> × </m:t>
        </m:r>
        <m:r>
          <m:rPr>
            <m:sty m:val="p"/>
          </m:rPr>
          <w:rPr>
            <w:rFonts w:ascii="Cambria Math" w:hAnsi="Cambria Math"/>
          </w:rPr>
          <m:t xml:space="preserve">OR</m:t>
        </m:r>
      </m:oMath>
      <w:r>
        <w:tab/>
        <w:t>(5)</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N plots</w:t>
            </w:r>
          </w:p>
        </w:tc>
        <w:tc>
          <w:tcPr>
            <w:tcW w:type="dxa" w:w="5896"/>
          </w:tcPr>
          <w:p>
            <w:pPr>
              <w:spacing w:after="40"/>
            </w:pPr>
            <w:r/>
            <w:r>
              <w:rPr>
                <w:b w:val="0"/>
                <w:sz w:val="18"/>
              </w:rPr>
              <w:t>number of plots, classified by clear typologies</w:t>
            </w:r>
          </w:p>
        </w:tc>
        <w:tc>
          <w:tcPr>
            <w:tcW w:type="dxa" w:w="1984"/>
          </w:tcPr>
          <w:p>
            <w:pPr>
              <w:spacing w:after="40"/>
            </w:pPr>
            <w:r/>
            <w:r>
              <w:rPr>
                <w:b w:val="0"/>
                <w:sz w:val="18"/>
              </w:rPr>
              <w:t>count</w:t>
            </w:r>
          </w:p>
        </w:tc>
      </w:tr>
      <w:tr>
        <w:tc>
          <w:tcPr>
            <w:tcW w:type="dxa" w:w="1474"/>
          </w:tcPr>
          <w:p>
            <w:pPr>
              <w:spacing w:after="40"/>
            </w:pPr>
            <w:r/>
            <w:r>
              <w:rPr>
                <w:b w:val="0"/>
                <w:sz w:val="18"/>
              </w:rPr>
              <w:t>p</w:t>
            </w:r>
          </w:p>
        </w:tc>
        <w:tc>
          <w:tcPr>
            <w:tcW w:type="dxa" w:w="5896"/>
          </w:tcPr>
          <w:p>
            <w:pPr>
              <w:spacing w:after="40"/>
            </w:pPr>
            <w:r/>
            <w:r>
              <w:rPr>
                <w:b w:val="0"/>
                <w:sz w:val="18"/>
              </w:rPr>
              <w:t>average number of properties per plot</w:t>
            </w:r>
          </w:p>
        </w:tc>
        <w:tc>
          <w:tcPr>
            <w:tcW w:type="dxa" w:w="1984"/>
          </w:tcPr>
          <w:p>
            <w:pPr>
              <w:spacing w:after="40"/>
            </w:pPr>
            <w:r/>
            <w:r>
              <w:rPr>
                <w:b w:val="0"/>
                <w:sz w:val="18"/>
              </w:rPr>
              <w:t>dimensionless</w:t>
            </w:r>
          </w:p>
        </w:tc>
      </w:tr>
      <w:tr>
        <w:tc>
          <w:tcPr>
            <w:tcW w:type="dxa" w:w="1474"/>
          </w:tcPr>
          <w:p>
            <w:pPr>
              <w:spacing w:after="40"/>
            </w:pPr>
            <w:r/>
            <w:r>
              <w:rPr>
                <w:b w:val="0"/>
                <w:sz w:val="18"/>
              </w:rPr>
              <w:t>OR</w:t>
            </w:r>
          </w:p>
        </w:tc>
        <w:tc>
          <w:tcPr>
            <w:tcW w:type="dxa" w:w="5896"/>
          </w:tcPr>
          <w:p>
            <w:pPr>
              <w:spacing w:after="40"/>
            </w:pPr>
            <w:r/>
            <w:r>
              <w:rPr>
                <w:b w:val="0"/>
                <w:sz w:val="18"/>
              </w:rPr>
              <w:t>occupancy rate, persons per housing unit</w:t>
            </w:r>
          </w:p>
        </w:tc>
        <w:tc>
          <w:tcPr>
            <w:tcW w:type="dxa" w:w="1984"/>
          </w:tcPr>
          <w:p>
            <w:pPr>
              <w:spacing w:after="40"/>
            </w:pPr>
            <w:r/>
            <w:r>
              <w:rPr>
                <w:b w:val="0"/>
                <w:sz w:val="18"/>
              </w:rPr>
              <w:t>persons per unit</w:t>
            </w:r>
          </w:p>
        </w:tc>
      </w:tr>
    </w:tbl>
    <w:p>
      <w:pPr>
        <w:spacing w:after="200"/>
      </w:pPr>
      <w:r>
        <w:rPr>
          <w:b w:val="0"/>
          <w:i/>
          <w:color w:val="5A5A5A"/>
          <w:sz w:val="18"/>
        </w:rPr>
        <w:t>Source: G201 §7.2.2 p58.</w:t>
      </w:r>
    </w:p>
    <w:p>
      <w:pPr>
        <w:pStyle w:val="Heading2"/>
      </w:pPr>
      <w:r>
        <w:t>4.4   Occupancy rate</w:t>
      </w:r>
    </w:p>
    <w:p>
      <w:pPr>
        <w:tabs>
          <w:tab w:val="center" w:pos="4320"/>
          <w:tab w:val="right" w:pos="8640"/>
        </w:tabs>
        <w:spacing w:before="120" w:after="120"/>
      </w:pPr>
      <w:r>
        <w:tab/>
      </w:r>
      <m:oMath>
        <m:r>
          <m:rPr>
            <m:sty m:val="p"/>
          </m:rPr>
          <w:rPr>
            <w:rFonts w:ascii="Cambria Math" w:hAnsi="Cambria Math"/>
          </w:rPr>
          <m:t xml:space="preserve">OR</m:t>
        </m:r>
        <m:r>
          <w:rPr>
            <w:rFonts w:ascii="Cambria Math" w:hAnsi="Cambria Math"/>
          </w:rPr>
          <m:t xml:space="preserve"> = </m:t>
        </m:r>
        <m:f>
          <m:num>
            <m:r>
              <m:rPr>
                <m:sty m:val="p"/>
              </m:rPr>
              <w:rPr>
                <w:rFonts w:ascii="Cambria Math" w:hAnsi="Cambria Math"/>
              </w:rPr>
              <m:t xml:space="preserve">Population</m:t>
            </m:r>
          </m:num>
          <m:den>
            <m:r>
              <m:rPr>
                <m:sty m:val="p"/>
              </m:rPr>
              <w:rPr>
                <w:rFonts w:ascii="Cambria Math" w:hAnsi="Cambria Math"/>
              </w:rPr>
              <m:t xml:space="preserve">Housing units</m:t>
            </m:r>
          </m:den>
        </m:f>
      </m:oMath>
      <w:r>
        <w:tab/>
        <w:t>(6)</w:t>
      </w:r>
    </w:p>
    <w:p>
      <w:r>
        <w:rPr>
          <w:b w:val="0"/>
          <w:i w:val="0"/>
        </w:rPr>
        <w:t>The guideline requires both terms to come from NCSI, at the geographic scale of the project, using the most recent data.</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A declared departure.  </w:t>
      </w:r>
      <w:r>
        <w:rPr>
          <w:sz w:val="20"/>
        </w:rPr>
        <w:t>NCSI does not publish housing units at settlement level. This project therefore counts properties from active domestic electricity accounts instead. The guideline itself uses active domestic accounts in its own derivation of consumption per capita, which supports the substitution — but it remains a departure and must be stated as one and agreed with NWS.</w:t>
      </w:r>
    </w:p>
    <w:p>
      <w:r>
        <w:rPr>
          <w:b w:val="0"/>
          <w:i w:val="0"/>
        </w:rPr>
        <w:t>Two conditions make the result meaningful. Both halves of the fraction must describe the same ground: a wilayat population divided by the meters of one town gives a household size that is too large purely because people were kept and houses discarded. And only domestic accounts belong in the denominator, since a shop is not a dwelling.</w:t>
      </w:r>
    </w:p>
    <w:p>
      <w:pPr>
        <w:spacing w:after="200"/>
      </w:pPr>
      <w:r>
        <w:rPr>
          <w:b w:val="0"/>
          <w:i/>
          <w:color w:val="5A5A5A"/>
          <w:sz w:val="18"/>
        </w:rPr>
        <w:t>Source: G201 §7.2.2 p58; the account-based derivation follows the form of the consumption formula at G201 p60.</w:t>
      </w:r>
    </w:p>
    <w:p>
      <w:pPr>
        <w:pStyle w:val="Heading2"/>
      </w:pPr>
      <w:r>
        <w:t>4.5   Disaggregation and extrapolation</w:t>
      </w:r>
    </w:p>
    <w:p>
      <w:r>
        <w:rPr>
          <w:b w:val="0"/>
          <w:i w:val="0"/>
        </w:rPr>
        <w:t>Where a forecast exists only at wilayat level it must be distributed to settlements in proportion to the latest census shares. Below settlement scale, the guideline directs distribution pro rata to the number of electricity accounts.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extrapolation ceiling.  </w:t>
      </w:r>
      <w:r>
        <w:rPr>
          <w:sz w:val="20"/>
        </w:rPr>
        <w:t>NCSI forecasts run twenty to twenty-five years. Beyond that the guideline permits polynomial regression but states that it is not recommended to extrapolate more than ten years past the forecast period. A projection reaching decades beyond the underlying data is an assumption presented as a number, and any capacity argument resting on it should be defended on land availability instead.</w:t>
      </w:r>
    </w:p>
    <w:p>
      <w:r>
        <w:rPr>
          <w:b w:val="0"/>
          <w:i w:val="0"/>
        </w:rPr>
        <w:t>The guideline also requires that build-out be phased. Raw plot count multiplied by occupancy assumes every plot is developed at once, which the NOTE at G201 p59 expressly warns against — it requires development percentages to be applied over the design period, particularly to avoid overestimation.</w:t>
      </w:r>
    </w:p>
    <w:p>
      <w:pPr>
        <w:spacing w:after="200"/>
      </w:pPr>
      <w:r>
        <w:rPr>
          <w:b w:val="0"/>
          <w:i/>
          <w:color w:val="5A5A5A"/>
          <w:sz w:val="18"/>
        </w:rPr>
        <w:t>Source: G201 §7.2.1 p58, and the NOTE at p59.</w:t>
      </w:r>
    </w:p>
    <w:p>
      <w:r>
        <w:br w:type="page"/>
      </w:r>
    </w:p>
    <w:p>
      <w:pPr>
        <w:pStyle w:val="Heading1"/>
      </w:pPr>
      <w:r>
        <w:t>5   Water demand</w:t>
      </w:r>
    </w:p>
    <w:p>
      <w:pPr>
        <w:pStyle w:val="Heading2"/>
      </w:pPr>
      <w:r>
        <w:t>5.1   Purpose</w:t>
      </w:r>
    </w:p>
    <w:p>
      <w:r>
        <w:rPr>
          <w:b w:val="0"/>
          <w:i w:val="0"/>
        </w:rPr>
        <w:t>Wastewater is derived from water demand, so demand is calculated first even though the project is a sewerage scheme. Demand has five components, and three of them are commonly forgotten.</w:t>
      </w:r>
    </w:p>
    <w:p>
      <w:pPr>
        <w:pStyle w:val="Heading2"/>
      </w:pPr>
      <w:r>
        <w:t>5.2   The five components</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F3B63"/>
          </w:tcPr>
          <w:p>
            <w:pPr>
              <w:spacing w:after="40"/>
            </w:pPr>
            <w:r/>
            <w:r>
              <w:rPr>
                <w:b/>
                <w:color w:val="FFFFFF"/>
                <w:sz w:val="18"/>
              </w:rPr>
              <w:t>Component</w:t>
            </w:r>
          </w:p>
        </w:tc>
        <w:tc>
          <w:tcPr>
            <w:tcW w:type="dxa" w:w="5443"/>
            <w:shd w:val="clear" w:color="auto" w:fill="1F3B63"/>
          </w:tcPr>
          <w:p>
            <w:pPr>
              <w:spacing w:after="40"/>
            </w:pPr>
            <w:r/>
            <w:r>
              <w:rPr>
                <w:b/>
                <w:color w:val="FFFFFF"/>
                <w:sz w:val="18"/>
              </w:rPr>
              <w:t>Basis</w:t>
            </w:r>
          </w:p>
        </w:tc>
        <w:tc>
          <w:tcPr>
            <w:tcW w:type="dxa" w:w="1984"/>
            <w:shd w:val="clear" w:color="auto" w:fill="1F3B63"/>
          </w:tcPr>
          <w:p>
            <w:pPr>
              <w:spacing w:after="40"/>
            </w:pPr>
            <w:r/>
            <w:r>
              <w:rPr>
                <w:b/>
                <w:color w:val="FFFFFF"/>
                <w:sz w:val="18"/>
              </w:rPr>
              <w:t>Clause</w:t>
            </w:r>
          </w:p>
        </w:tc>
      </w:tr>
      <w:tr>
        <w:tc>
          <w:tcPr>
            <w:tcW w:type="dxa" w:w="1928"/>
          </w:tcPr>
          <w:p>
            <w:pPr>
              <w:spacing w:after="40"/>
            </w:pPr>
            <w:r/>
            <w:r>
              <w:rPr>
                <w:b w:val="0"/>
                <w:sz w:val="18"/>
              </w:rPr>
              <w:t>Domestic</w:t>
            </w:r>
          </w:p>
        </w:tc>
        <w:tc>
          <w:tcPr>
            <w:tcW w:type="dxa" w:w="5443"/>
          </w:tcPr>
          <w:p>
            <w:pPr>
              <w:spacing w:after="40"/>
            </w:pPr>
            <w:r/>
            <w:r>
              <w:rPr>
                <w:b w:val="0"/>
                <w:sz w:val="18"/>
              </w:rPr>
              <w:t>population × litres per capita per day</w:t>
            </w:r>
          </w:p>
        </w:tc>
        <w:tc>
          <w:tcPr>
            <w:tcW w:type="dxa" w:w="1984"/>
          </w:tcPr>
          <w:p>
            <w:pPr>
              <w:spacing w:after="40"/>
            </w:pPr>
            <w:r/>
            <w:r>
              <w:rPr>
                <w:b w:val="0"/>
                <w:sz w:val="18"/>
              </w:rPr>
              <w:t>§7.3.1</w:t>
            </w:r>
          </w:p>
        </w:tc>
      </w:tr>
      <w:tr>
        <w:tc>
          <w:tcPr>
            <w:tcW w:type="dxa" w:w="1928"/>
          </w:tcPr>
          <w:p>
            <w:pPr>
              <w:spacing w:after="40"/>
            </w:pPr>
            <w:r/>
            <w:r>
              <w:rPr>
                <w:b w:val="0"/>
                <w:sz w:val="18"/>
              </w:rPr>
              <w:t>Non-domestic</w:t>
            </w:r>
          </w:p>
        </w:tc>
        <w:tc>
          <w:tcPr>
            <w:tcW w:type="dxa" w:w="5443"/>
          </w:tcPr>
          <w:p>
            <w:pPr>
              <w:spacing w:after="40"/>
            </w:pPr>
            <w:r/>
            <w:r>
              <w:rPr>
                <w:b w:val="0"/>
                <w:sz w:val="18"/>
              </w:rPr>
              <w:t>22 % uplift, or Table 12 unit rates</w:t>
            </w:r>
          </w:p>
        </w:tc>
        <w:tc>
          <w:tcPr>
            <w:tcW w:type="dxa" w:w="1984"/>
          </w:tcPr>
          <w:p>
            <w:pPr>
              <w:spacing w:after="40"/>
            </w:pPr>
            <w:r/>
            <w:r>
              <w:rPr>
                <w:b w:val="0"/>
                <w:sz w:val="18"/>
              </w:rPr>
              <w:t>§7.3.2</w:t>
            </w:r>
          </w:p>
        </w:tc>
      </w:tr>
      <w:tr>
        <w:tc>
          <w:tcPr>
            <w:tcW w:type="dxa" w:w="1928"/>
          </w:tcPr>
          <w:p>
            <w:pPr>
              <w:spacing w:after="40"/>
            </w:pPr>
            <w:r/>
            <w:r>
              <w:rPr>
                <w:b w:val="0"/>
                <w:sz w:val="18"/>
              </w:rPr>
              <w:t>Governmental</w:t>
            </w:r>
          </w:p>
        </w:tc>
        <w:tc>
          <w:tcPr>
            <w:tcW w:type="dxa" w:w="5443"/>
          </w:tcPr>
          <w:p>
            <w:pPr>
              <w:spacing w:after="40"/>
            </w:pPr>
            <w:r/>
            <w:r>
              <w:rPr>
                <w:b w:val="0"/>
                <w:sz w:val="18"/>
              </w:rPr>
              <w:t>14 % uplift, or project-specific</w:t>
            </w:r>
          </w:p>
        </w:tc>
        <w:tc>
          <w:tcPr>
            <w:tcW w:type="dxa" w:w="1984"/>
          </w:tcPr>
          <w:p>
            <w:pPr>
              <w:spacing w:after="40"/>
            </w:pPr>
            <w:r/>
            <w:r>
              <w:rPr>
                <w:b w:val="0"/>
                <w:sz w:val="18"/>
              </w:rPr>
              <w:t>§7.3.3</w:t>
            </w:r>
          </w:p>
        </w:tc>
      </w:tr>
      <w:tr>
        <w:tc>
          <w:tcPr>
            <w:tcW w:type="dxa" w:w="1928"/>
          </w:tcPr>
          <w:p>
            <w:pPr>
              <w:spacing w:after="40"/>
            </w:pPr>
            <w:r/>
            <w:r>
              <w:rPr>
                <w:b w:val="0"/>
                <w:sz w:val="18"/>
              </w:rPr>
              <w:t>Special</w:t>
            </w:r>
          </w:p>
        </w:tc>
        <w:tc>
          <w:tcPr>
            <w:tcW w:type="dxa" w:w="5443"/>
          </w:tcPr>
          <w:p>
            <w:pPr>
              <w:spacing w:after="40"/>
            </w:pPr>
            <w:r/>
            <w:r>
              <w:rPr>
                <w:b w:val="0"/>
                <w:sz w:val="18"/>
              </w:rPr>
              <w:t>developer-supplied; labour camps, thirsty industry</w:t>
            </w:r>
          </w:p>
        </w:tc>
        <w:tc>
          <w:tcPr>
            <w:tcW w:type="dxa" w:w="1984"/>
          </w:tcPr>
          <w:p>
            <w:pPr>
              <w:spacing w:after="40"/>
            </w:pPr>
            <w:r/>
            <w:r>
              <w:rPr>
                <w:b w:val="0"/>
                <w:sz w:val="18"/>
              </w:rPr>
              <w:t>§7.3.4</w:t>
            </w:r>
          </w:p>
        </w:tc>
      </w:tr>
      <w:tr>
        <w:tc>
          <w:tcPr>
            <w:tcW w:type="dxa" w:w="1928"/>
          </w:tcPr>
          <w:p>
            <w:pPr>
              <w:spacing w:after="40"/>
            </w:pPr>
            <w:r/>
            <w:r>
              <w:rPr>
                <w:b w:val="0"/>
                <w:sz w:val="18"/>
              </w:rPr>
              <w:t>Blue tankers</w:t>
            </w:r>
          </w:p>
        </w:tc>
        <w:tc>
          <w:tcPr>
            <w:tcW w:type="dxa" w:w="5443"/>
          </w:tcPr>
          <w:p>
            <w:pPr>
              <w:spacing w:after="40"/>
            </w:pPr>
            <w:r/>
            <w:r>
              <w:rPr>
                <w:b w:val="0"/>
                <w:sz w:val="18"/>
              </w:rPr>
              <w:t>from tanker filling station records</w:t>
            </w:r>
          </w:p>
        </w:tc>
        <w:tc>
          <w:tcPr>
            <w:tcW w:type="dxa" w:w="1984"/>
          </w:tcPr>
          <w:p>
            <w:pPr>
              <w:spacing w:after="40"/>
            </w:pPr>
            <w:r/>
            <w:r>
              <w:rPr>
                <w:b w:val="0"/>
                <w:sz w:val="18"/>
              </w:rPr>
              <w:t>§7.3.5</w:t>
            </w:r>
          </w:p>
        </w:tc>
      </w:tr>
    </w:tbl>
    <w:p/>
    <w:p>
      <w:r>
        <w:rPr>
          <w:b w:val="0"/>
          <w:i w:val="0"/>
        </w:rPr>
        <w:t>The last two sit outside the percentage uplifts and are added separately. The guideline is explicit that special consumption is not covered by population forecasts, and that the uplift ratios do not apply to identified projects such as economic zones, which are determined case by case.</w:t>
      </w:r>
    </w:p>
    <w:p>
      <w:pPr>
        <w:pStyle w:val="Heading2"/>
      </w:pPr>
      <w:r>
        <w:t>5.3   Domestic demand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m:rPr>
            <m:sty m:val="p"/>
          </m:rPr>
          <w:rPr>
            <w:rFonts w:ascii="Cambria Math" w:hAnsi="Cambria Math"/>
          </w:rPr>
          <m:t xml:space="preserve">Population</m:t>
        </m:r>
        <m:r>
          <w:rPr>
            <w:rFonts w:ascii="Cambria Math" w:hAnsi="Cambria Math"/>
          </w:rPr>
          <m:t xml:space="preserve"> × </m:t>
        </m:r>
        <m:r>
          <m:rPr>
            <m:sty m:val="p"/>
          </m:rPr>
          <w:rPr>
            <w:rFonts w:ascii="Cambria Math" w:hAnsi="Cambria Math"/>
          </w:rPr>
          <m:t xml:space="preserve">LPCD</m:t>
        </m:r>
      </m:oMath>
      <w:r>
        <w:tab/>
        <w:t>(7)</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Q dom</w:t>
            </w:r>
          </w:p>
        </w:tc>
        <w:tc>
          <w:tcPr>
            <w:tcW w:type="dxa" w:w="5896"/>
          </w:tcPr>
          <w:p>
            <w:pPr>
              <w:spacing w:after="40"/>
            </w:pPr>
            <w:r/>
            <w:r>
              <w:rPr>
                <w:b w:val="0"/>
                <w:sz w:val="18"/>
              </w:rPr>
              <w:t>domestic water demand</w:t>
            </w:r>
          </w:p>
        </w:tc>
        <w:tc>
          <w:tcPr>
            <w:tcW w:type="dxa" w:w="1984"/>
          </w:tcPr>
          <w:p>
            <w:pPr>
              <w:spacing w:after="40"/>
            </w:pPr>
            <w:r/>
            <w:r>
              <w:rPr>
                <w:b w:val="0"/>
                <w:sz w:val="18"/>
              </w:rPr>
              <w:t>litres per day</w:t>
            </w:r>
          </w:p>
        </w:tc>
      </w:tr>
      <w:tr>
        <w:tc>
          <w:tcPr>
            <w:tcW w:type="dxa" w:w="1474"/>
          </w:tcPr>
          <w:p>
            <w:pPr>
              <w:spacing w:after="40"/>
            </w:pPr>
            <w:r/>
            <w:r>
              <w:rPr>
                <w:b w:val="0"/>
                <w:sz w:val="18"/>
              </w:rPr>
              <w:t>LPCD</w:t>
            </w:r>
          </w:p>
        </w:tc>
        <w:tc>
          <w:tcPr>
            <w:tcW w:type="dxa" w:w="5896"/>
          </w:tcPr>
          <w:p>
            <w:pPr>
              <w:spacing w:after="40"/>
            </w:pPr>
            <w:r/>
            <w:r>
              <w:rPr>
                <w:b w:val="0"/>
                <w:sz w:val="18"/>
              </w:rPr>
              <w:t>unit consumption; 164 for Adh Dhahirah</w:t>
            </w:r>
          </w:p>
        </w:tc>
        <w:tc>
          <w:tcPr>
            <w:tcW w:type="dxa" w:w="1984"/>
          </w:tcPr>
          <w:p>
            <w:pPr>
              <w:spacing w:after="40"/>
            </w:pPr>
            <w:r/>
            <w:r>
              <w:rPr>
                <w:b w:val="0"/>
                <w:sz w:val="18"/>
              </w:rPr>
              <w:t>l/c/d</w:t>
            </w:r>
          </w:p>
        </w:tc>
      </w:tr>
    </w:tbl>
    <w:p>
      <w:r>
        <w:rPr>
          <w:b w:val="0"/>
          <w:i w:val="0"/>
        </w:rPr>
        <w:t>The 164 figure is indicative, derived from the 2024 Integrated Master Plan, applies in the absence of updated figures, and the guideline states it should be validated by NWS before design. It measures network-accounted water only, so it excludes tanker deliveries and private wells.</w:t>
      </w:r>
    </w:p>
    <w:p>
      <w:pPr>
        <w:pStyle w:val="Heading3"/>
      </w:pPr>
      <w:r>
        <w:t>How the figure was derived</w:t>
      </w:r>
    </w:p>
    <w:p>
      <w:pPr>
        <w:tabs>
          <w:tab w:val="center" w:pos="4320"/>
          <w:tab w:val="right" w:pos="8640"/>
        </w:tabs>
        <w:spacing w:before="120" w:after="120"/>
      </w:pPr>
      <w:r>
        <w:tab/>
      </w:r>
      <m:oMath>
        <m:r>
          <m:rPr>
            <m:sty m:val="p"/>
          </m:rPr>
          <w:rPr>
            <w:rFonts w:ascii="Cambria Math" w:hAnsi="Cambria Math"/>
          </w:rPr>
          <m:t xml:space="preserve">LPCD</m:t>
        </m:r>
        <m:r>
          <w:rPr>
            <w:rFonts w:ascii="Cambria Math" w:hAnsi="Cambria Math"/>
          </w:rPr>
          <m:t xml:space="preserve"> = </m:t>
        </m:r>
        <m:f>
          <m:num>
            <m:r>
              <m:rPr>
                <m:sty m:val="p"/>
              </m:rPr>
              <w:rPr>
                <w:rFonts w:ascii="Cambria Math" w:hAnsi="Cambria Math"/>
              </w:rPr>
              <m:t xml:space="preserve">Total domestic water accounted</m:t>
            </m:r>
          </m:num>
          <m:den>
            <m:r>
              <m:rPr>
                <m:sty m:val="p"/>
              </m:rPr>
              <w:rPr>
                <w:rFonts w:ascii="Cambria Math" w:hAnsi="Cambria Math"/>
              </w:rPr>
              <m:t xml:space="preserve">OR</m:t>
            </m:r>
            <m:r>
              <w:rPr>
                <w:rFonts w:ascii="Cambria Math" w:hAnsi="Cambria Math"/>
              </w:rPr>
              <m:t xml:space="preserve"> × </m:t>
            </m:r>
            <m:r>
              <m:rPr>
                <m:sty m:val="p"/>
              </m:rPr>
              <w:rPr>
                <w:rFonts w:ascii="Cambria Math" w:hAnsi="Cambria Math"/>
              </w:rPr>
              <m:t xml:space="preserve">Active domestic accounts</m:t>
            </m:r>
          </m:den>
        </m:f>
      </m:oMath>
      <w:r>
        <w:tab/>
        <w:t>(8)</w:t>
      </w:r>
    </w:p>
    <w:p>
      <w:r>
        <w:rPr>
          <w:b w:val="0"/>
          <w:i w:val="0"/>
        </w:rPr>
        <w:t>This is shown because it explains what the number is, not because it is a routine design step. Note that occupancy rate appears in the denominator: raising it lowers the consumption per capita, so the two move together and cannot be chosen independently.</w:t>
      </w:r>
    </w:p>
    <w:p>
      <w:pPr>
        <w:spacing w:after="200"/>
      </w:pPr>
      <w:r>
        <w:rPr>
          <w:b w:val="0"/>
          <w:i/>
          <w:color w:val="5A5A5A"/>
          <w:sz w:val="18"/>
        </w:rPr>
        <w:t>Source: G201 §7.3.1 p59-60 and Table 11.</w:t>
      </w:r>
    </w:p>
    <w:p>
      <w:pPr>
        <w:pStyle w:val="Heading2"/>
      </w:pPr>
      <w:r>
        <w:t>5.4   Non-domestic and governmental — the two tiers</w:t>
      </w:r>
    </w:p>
    <w:p>
      <w:r>
        <w:rPr>
          <w:b w:val="0"/>
          <w:i w:val="0"/>
        </w:rPr>
        <w:t>The guideline offers two routes, and the choice is not a matter of preference.</w:t>
      </w:r>
    </w:p>
    <w:tbl>
      <w:tblPr>
        <w:tblStyle w:val="TableGrid"/>
        <w:tblW w:type="auto" w:w="0"/>
        <w:jc w:val="center"/>
        <w:tblLook w:firstColumn="1" w:firstRow="1" w:lastColumn="0" w:lastRow="0" w:noHBand="0" w:noVBand="1" w:val="04A0"/>
      </w:tblPr>
      <w:tblGrid>
        <w:gridCol w:w="3137"/>
        <w:gridCol w:w="3137"/>
        <w:gridCol w:w="3137"/>
      </w:tblGrid>
      <w:tr>
        <w:tc>
          <w:tcPr>
            <w:tcW w:type="dxa" w:w="1361"/>
            <w:shd w:val="clear" w:color="auto" w:fill="1F3B63"/>
          </w:tcPr>
          <w:p>
            <w:pPr>
              <w:spacing w:after="40"/>
            </w:pPr>
            <w:r/>
            <w:r>
              <w:rPr>
                <w:b/>
                <w:color w:val="FFFFFF"/>
                <w:sz w:val="18"/>
              </w:rPr>
            </w:r>
          </w:p>
        </w:tc>
        <w:tc>
          <w:tcPr>
            <w:tcW w:type="dxa" w:w="3685"/>
            <w:shd w:val="clear" w:color="auto" w:fill="1F3B63"/>
          </w:tcPr>
          <w:p>
            <w:pPr>
              <w:spacing w:after="40"/>
            </w:pPr>
            <w:r/>
            <w:r>
              <w:rPr>
                <w:b/>
                <w:color w:val="FFFFFF"/>
                <w:sz w:val="18"/>
              </w:rPr>
              <w:t>Tier A — ratios</w:t>
            </w:r>
          </w:p>
        </w:tc>
        <w:tc>
          <w:tcPr>
            <w:tcW w:type="dxa" w:w="4309"/>
            <w:shd w:val="clear" w:color="auto" w:fill="1F3B63"/>
          </w:tcPr>
          <w:p>
            <w:pPr>
              <w:spacing w:after="40"/>
            </w:pPr>
            <w:r/>
            <w:r>
              <w:rPr>
                <w:b/>
                <w:color w:val="FFFFFF"/>
                <w:sz w:val="18"/>
              </w:rPr>
              <w:t>Tier B — Table 12</w:t>
            </w:r>
          </w:p>
        </w:tc>
      </w:tr>
      <w:tr>
        <w:tc>
          <w:tcPr>
            <w:tcW w:type="dxa" w:w="1361"/>
          </w:tcPr>
          <w:p>
            <w:pPr>
              <w:spacing w:after="40"/>
            </w:pPr>
            <w:r/>
            <w:r>
              <w:rPr>
                <w:b w:val="0"/>
                <w:sz w:val="18"/>
              </w:rPr>
              <w:t>When</w:t>
            </w:r>
          </w:p>
        </w:tc>
        <w:tc>
          <w:tcPr>
            <w:tcW w:type="dxa" w:w="3685"/>
          </w:tcPr>
          <w:p>
            <w:pPr>
              <w:spacing w:after="40"/>
            </w:pPr>
            <w:r/>
            <w:r>
              <w:rPr>
                <w:b w:val="0"/>
                <w:sz w:val="18"/>
              </w:rPr>
              <w:t>in the absence of detailed land use allocation</w:t>
            </w:r>
          </w:p>
        </w:tc>
        <w:tc>
          <w:tcPr>
            <w:tcW w:type="dxa" w:w="4309"/>
          </w:tcPr>
          <w:p>
            <w:pPr>
              <w:spacing w:after="40"/>
            </w:pPr>
            <w:r/>
            <w:r>
              <w:rPr>
                <w:b w:val="0"/>
                <w:sz w:val="18"/>
              </w:rPr>
              <w:t>where detailed land use allocation exists</w:t>
            </w:r>
          </w:p>
        </w:tc>
      </w:tr>
      <w:tr>
        <w:tc>
          <w:tcPr>
            <w:tcW w:type="dxa" w:w="1361"/>
          </w:tcPr>
          <w:p>
            <w:pPr>
              <w:spacing w:after="40"/>
            </w:pPr>
            <w:r/>
            <w:r>
              <w:rPr>
                <w:b w:val="0"/>
                <w:sz w:val="18"/>
              </w:rPr>
              <w:t>Method</w:t>
            </w:r>
          </w:p>
        </w:tc>
        <w:tc>
          <w:tcPr>
            <w:tcW w:type="dxa" w:w="3685"/>
          </w:tcPr>
          <w:p>
            <w:pPr>
              <w:spacing w:after="40"/>
            </w:pPr>
            <w:r/>
            <w:r>
              <w:rPr>
                <w:b w:val="0"/>
                <w:sz w:val="18"/>
              </w:rPr>
              <w:t>22 % and 14 % of domestic demand</w:t>
            </w:r>
          </w:p>
        </w:tc>
        <w:tc>
          <w:tcPr>
            <w:tcW w:type="dxa" w:w="4309"/>
          </w:tcPr>
          <w:p>
            <w:pPr>
              <w:spacing w:after="40"/>
            </w:pPr>
            <w:r/>
            <w:r>
              <w:rPr>
                <w:b w:val="0"/>
                <w:sz w:val="18"/>
              </w:rPr>
              <w:t>unit rates per pupil, bed, employee, m²</w:t>
            </w:r>
          </w:p>
        </w:tc>
      </w:tr>
      <w:tr>
        <w:tc>
          <w:tcPr>
            <w:tcW w:type="dxa" w:w="1361"/>
          </w:tcPr>
          <w:p>
            <w:pPr>
              <w:spacing w:after="40"/>
            </w:pPr>
            <w:r/>
            <w:r>
              <w:rPr>
                <w:b w:val="0"/>
                <w:sz w:val="18"/>
              </w:rPr>
              <w:t>Wording</w:t>
            </w:r>
          </w:p>
        </w:tc>
        <w:tc>
          <w:tcPr>
            <w:tcW w:type="dxa" w:w="3685"/>
          </w:tcPr>
          <w:p>
            <w:pPr>
              <w:spacing w:after="40"/>
            </w:pPr>
            <w:r/>
            <w:r>
              <w:rPr>
                <w:b w:val="0"/>
                <w:sz w:val="18"/>
              </w:rPr>
              <w:t>the published fallback</w:t>
            </w:r>
          </w:p>
        </w:tc>
        <w:tc>
          <w:tcPr>
            <w:tcW w:type="dxa" w:w="4309"/>
          </w:tcPr>
          <w:p>
            <w:pPr>
              <w:spacing w:after="40"/>
            </w:pPr>
            <w:r/>
            <w:r>
              <w:rPr>
                <w:b w:val="0"/>
                <w:sz w:val="18"/>
              </w:rPr>
              <w:t>"shall be calculated using"</w:t>
            </w:r>
          </w:p>
        </w:tc>
      </w:tr>
      <w:tr>
        <w:tc>
          <w:tcPr>
            <w:tcW w:type="dxa" w:w="1361"/>
          </w:tcPr>
          <w:p>
            <w:pPr>
              <w:spacing w:after="40"/>
            </w:pPr>
            <w:r/>
            <w:r>
              <w:rPr>
                <w:b w:val="0"/>
                <w:sz w:val="18"/>
              </w:rPr>
              <w:t>Needs</w:t>
            </w:r>
          </w:p>
        </w:tc>
        <w:tc>
          <w:tcPr>
            <w:tcW w:type="dxa" w:w="3685"/>
          </w:tcPr>
          <w:p>
            <w:pPr>
              <w:spacing w:after="40"/>
            </w:pPr>
            <w:r/>
            <w:r>
              <w:rPr>
                <w:b w:val="0"/>
                <w:sz w:val="18"/>
              </w:rPr>
              <w:t>population only</w:t>
            </w:r>
          </w:p>
        </w:tc>
        <w:tc>
          <w:tcPr>
            <w:tcW w:type="dxa" w:w="4309"/>
          </w:tcPr>
          <w:p>
            <w:pPr>
              <w:spacing w:after="40"/>
            </w:pPr>
            <w:r/>
            <w:r>
              <w:rPr>
                <w:b w:val="0"/>
                <w:sz w:val="18"/>
              </w:rPr>
              <w:t>counts of pupils, beds, staff, and floor areas</w:t>
            </w:r>
          </w:p>
        </w:tc>
      </w:tr>
    </w:tbl>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ND</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0.22</m:t>
        </m:r>
      </m:oMath>
      <w:r>
        <w:tab/>
        <w:t>(9)</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gov</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dom</m:t>
            </m:r>
          </m:sub>
        </m:sSub>
        <m:r>
          <w:rPr>
            <w:rFonts w:ascii="Cambria Math" w:hAnsi="Cambria Math"/>
          </w:rPr>
          <m:t xml:space="preserve"> × </m:t>
        </m:r>
        <m:r>
          <w:rPr>
            <w:rFonts w:ascii="Cambria Math" w:hAnsi="Cambria Math"/>
          </w:rPr>
          <m:t xml:space="preserve">0.14</m:t>
        </m:r>
      </m:oMath>
      <w:r>
        <w:tab/>
        <w:t>(10)</w:t>
      </w:r>
    </w:p>
    <w:p>
      <w:r>
        <w:rPr>
          <w:b w:val="0"/>
          <w:i w:val="0"/>
        </w:rPr>
        <w:t>The word to notice in the table heading is Distributed. These are not per-person demands. They are the governorate's measured non-domestic and governmental volumes, taken from the 2021 to 2023 water balance and spread across the population for convenience. That is why the total is right and the distribution is not: a residential-only street generates no commercial flow at all.</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Never apply both routes.  </w:t>
      </w:r>
      <w:r>
        <w:rPr>
          <w:sz w:val="20"/>
        </w:rPr>
        <w:t>Table 12 unit rates on commercial plots plus the 22 % and 14 % uplifts counts the same water twice. Use one or the other. Whichever is used, identified projects, special consumption, tankers and private wells remain additive — the guideline excludes those from the ratios by name, so adding them is not double counting.</w:t>
      </w:r>
    </w:p>
    <w:p>
      <w:pPr>
        <w:pStyle w:val="Heading3"/>
      </w:pPr>
      <w:r>
        <w:t>If Table 12 is ever used</w:t>
      </w:r>
    </w:p>
    <w:p>
      <w:r>
        <w:rPr>
          <w:b w:val="0"/>
          <w:i w:val="0"/>
        </w:rPr>
        <w:t>Its rates are keyed to occupancy of the built area, never to plot area. Substituting cadastral area is wrong by an order of magnitude: 121 hectares of mosque plots at the mosque rate of 185 litres per square metre per day would produce roughly four times the entire ultimate flow of the scheme.</w:t>
      </w:r>
    </w:p>
    <w:p>
      <w:pPr>
        <w:spacing w:after="200"/>
      </w:pPr>
      <w:r>
        <w:rPr>
          <w:b w:val="0"/>
          <w:i/>
          <w:color w:val="5A5A5A"/>
          <w:sz w:val="18"/>
        </w:rPr>
        <w:t>Source: G201 §7.3.2 p60, §7.3.3 p61, Table 11 p60 and Table 12 p61.</w:t>
      </w:r>
    </w:p>
    <w:p>
      <w:pPr>
        <w:pStyle w:val="Heading2"/>
      </w:pPr>
      <w:r>
        <w:t>5.5   Tanker demand</w:t>
      </w:r>
    </w:p>
    <w:p>
      <w:r>
        <w:rPr>
          <w:b w:val="0"/>
          <w:i w:val="0"/>
        </w:rPr>
        <w:t>Where a tanker filling station lies within or near the project area, tanker consumption must be explicitly assessed from NWS station records — historical use, the area served, and how that is expected to change over the horizon — and validated by NWS.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published governorate ratio does not reconcile.  </w:t>
      </w:r>
      <w:r>
        <w:rPr>
          <w:sz w:val="20"/>
        </w:rPr>
        <w:t>Table 13 gives Adh Dhahirah a tanker volume of 5,145 m³/d and a ratio to networked domestic consumption of 333 %. Those two figures together imply the governorate's entire piped domestic consumption is about 1,545 m³/d, which at 164 l/c/d serves roughly 9,400 people. Ibri wilayat alone has many times that. The volume column of the table sums correctly to its printed total, so the volumes are sound and the ratio is not. It cannot be corrected from the document and should be raised with NWS.</w:t>
      </w:r>
    </w:p>
    <w:p>
      <w:pPr>
        <w:spacing w:after="200"/>
      </w:pPr>
      <w:r>
        <w:rPr>
          <w:b w:val="0"/>
          <w:i/>
          <w:color w:val="5A5A5A"/>
          <w:sz w:val="18"/>
        </w:rPr>
        <w:t>Source: G201 §7.3.5 p61-62 and Table 13 p62.</w:t>
      </w:r>
    </w:p>
    <w:p>
      <w:r>
        <w:br w:type="page"/>
      </w:r>
    </w:p>
    <w:p>
      <w:pPr>
        <w:pStyle w:val="Heading1"/>
      </w:pPr>
      <w:r>
        <w:t>6   Wastewater generation</w:t>
      </w:r>
    </w:p>
    <w:p>
      <w:pPr>
        <w:pStyle w:val="Heading2"/>
      </w:pPr>
      <w:r>
        <w:t>6.1   Purpose</w:t>
      </w:r>
    </w:p>
    <w:p>
      <w:r>
        <w:rPr>
          <w:b w:val="0"/>
          <w:i w:val="0"/>
        </w:rPr>
        <w:t>Not all supplied water returns to the sewer. Irrigation evaporates, process water is consumed, some is lost. The return rate converts demand into the flow the pipe actually receives.</w:t>
      </w:r>
    </w:p>
    <w:p>
      <w:pPr>
        <w:pStyle w:val="Heading2"/>
      </w:pPr>
      <w:r>
        <w:t>6.2   Return rates</w:t>
      </w:r>
    </w:p>
    <w:p>
      <w:r>
        <w:rPr>
          <w:b w:val="0"/>
          <w:i w:val="0"/>
        </w:rPr>
        <w:t>The guideline gives two rates, and only two. Governmental consumption is folded into the non-domestic figure rather than carrying its own.</w:t>
      </w:r>
    </w:p>
    <w:p>
      <w:pPr>
        <w:spacing w:before="160" w:after="60"/>
      </w:pPr>
      <w:r>
        <w:rPr>
          <w:b/>
          <w:color w:val="2E629E"/>
          <w:sz w:val="18"/>
        </w:rPr>
        <w:t>Table 2   Return ratio, as a percentage of drinking water demand</w:t>
      </w:r>
    </w:p>
    <w:tbl>
      <w:tblPr>
        <w:tblStyle w:val="TableGrid"/>
        <w:tblW w:type="auto" w:w="0"/>
        <w:jc w:val="center"/>
        <w:tblLook w:firstColumn="1" w:firstRow="1" w:lastColumn="0" w:lastRow="0" w:noHBand="0" w:noVBand="1" w:val="04A0"/>
      </w:tblPr>
      <w:tblGrid>
        <w:gridCol w:w="4706"/>
        <w:gridCol w:w="4706"/>
      </w:tblGrid>
      <w:tr>
        <w:tc>
          <w:tcPr>
            <w:tcW w:type="dxa" w:w="5953"/>
            <w:shd w:val="clear" w:color="auto" w:fill="1F3B63"/>
          </w:tcPr>
          <w:p>
            <w:pPr>
              <w:spacing w:after="40"/>
            </w:pPr>
            <w:r/>
            <w:r>
              <w:rPr>
                <w:b/>
                <w:color w:val="FFFFFF"/>
                <w:sz w:val="19"/>
              </w:rPr>
              <w:t>Type of consumption</w:t>
            </w:r>
          </w:p>
        </w:tc>
        <w:tc>
          <w:tcPr>
            <w:tcW w:type="dxa" w:w="3402"/>
            <w:shd w:val="clear" w:color="auto" w:fill="1F3B63"/>
          </w:tcPr>
          <w:p>
            <w:pPr>
              <w:spacing w:after="40"/>
            </w:pPr>
            <w:r/>
            <w:r>
              <w:rPr>
                <w:b/>
                <w:color w:val="FFFFFF"/>
                <w:sz w:val="19"/>
              </w:rPr>
              <w:t>Discharge ratio</w:t>
            </w:r>
          </w:p>
        </w:tc>
      </w:tr>
      <w:tr>
        <w:tc>
          <w:tcPr>
            <w:tcW w:type="dxa" w:w="5953"/>
          </w:tcPr>
          <w:p>
            <w:pPr>
              <w:spacing w:after="40"/>
            </w:pPr>
            <w:r/>
            <w:r>
              <w:rPr>
                <w:b w:val="0"/>
                <w:sz w:val="19"/>
              </w:rPr>
              <w:t>Domestic and tanker</w:t>
            </w:r>
          </w:p>
        </w:tc>
        <w:tc>
          <w:tcPr>
            <w:tcW w:type="dxa" w:w="3402"/>
          </w:tcPr>
          <w:p>
            <w:pPr>
              <w:spacing w:after="40"/>
            </w:pPr>
            <w:r/>
            <w:r>
              <w:rPr>
                <w:b/>
                <w:sz w:val="19"/>
              </w:rPr>
              <w:t>85 %</w:t>
            </w:r>
          </w:p>
        </w:tc>
      </w:tr>
      <w:tr>
        <w:tc>
          <w:tcPr>
            <w:tcW w:type="dxa" w:w="5953"/>
          </w:tcPr>
          <w:p>
            <w:pPr>
              <w:spacing w:after="40"/>
            </w:pPr>
            <w:r/>
            <w:r>
              <w:rPr>
                <w:b w:val="0"/>
                <w:sz w:val="19"/>
              </w:rPr>
              <w:t>Non-domestic, including government and commercial</w:t>
            </w:r>
          </w:p>
        </w:tc>
        <w:tc>
          <w:tcPr>
            <w:tcW w:type="dxa" w:w="3402"/>
          </w:tcPr>
          <w:p>
            <w:pPr>
              <w:spacing w:after="40"/>
            </w:pPr>
            <w:r/>
            <w:r>
              <w:rPr>
                <w:b/>
                <w:sz w:val="19"/>
              </w:rPr>
              <w:t>54 %</w:t>
            </w:r>
          </w:p>
        </w:tc>
      </w:tr>
    </w:tbl>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0.85</m:t>
        </m:r>
        <m:sSub>
          <m:e>
            <m:r>
              <w:rPr>
                <w:rFonts w:ascii="Cambria Math" w:hAnsi="Cambria Math"/>
              </w:rPr>
              <m:t xml:space="preserve">Q</m:t>
            </m:r>
          </m:e>
          <m:sub>
            <m:r>
              <m:rPr>
                <m:sty m:val="p"/>
              </m:rPr>
              <w:rPr>
                <w:rFonts w:ascii="Cambria Math" w:hAnsi="Cambria Math"/>
              </w:rPr>
              <m:t xml:space="preserve">dom+tank</m:t>
            </m:r>
          </m:sub>
        </m:sSub>
        <m:r>
          <w:rPr>
            <w:rFonts w:ascii="Cambria Math" w:hAnsi="Cambria Math"/>
          </w:rPr>
          <m:t xml:space="preserve"> + </m:t>
        </m:r>
        <m:r>
          <w:rPr>
            <w:rFonts w:ascii="Cambria Math" w:hAnsi="Cambria Math"/>
          </w:rPr>
          <m:t xml:space="preserve">0.54</m:t>
        </m:r>
        <m:sSub>
          <m:e>
            <m:r>
              <w:rPr>
                <w:rFonts w:ascii="Cambria Math" w:hAnsi="Cambria Math"/>
              </w:rPr>
              <m:t xml:space="preserve">Q</m:t>
            </m:r>
          </m:e>
          <m:sub>
            <m:r>
              <m:rPr>
                <m:sty m:val="p"/>
              </m:rPr>
              <w:rPr>
                <w:rFonts w:ascii="Cambria Math" w:hAnsi="Cambria Math"/>
              </w:rPr>
              <m:t xml:space="preserve">ND+gov</m:t>
            </m:r>
          </m:sub>
        </m:sSub>
      </m:oMath>
      <w:r>
        <w:tab/>
        <w:t>(11)</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Q ww</w:t>
            </w:r>
          </w:p>
        </w:tc>
        <w:tc>
          <w:tcPr>
            <w:tcW w:type="dxa" w:w="5896"/>
          </w:tcPr>
          <w:p>
            <w:pPr>
              <w:spacing w:after="40"/>
            </w:pPr>
            <w:r/>
            <w:r>
              <w:rPr>
                <w:b w:val="0"/>
                <w:sz w:val="18"/>
              </w:rPr>
              <w:t>wastewater generated, before infiltration</w:t>
            </w:r>
          </w:p>
        </w:tc>
        <w:tc>
          <w:tcPr>
            <w:tcW w:type="dxa" w:w="1984"/>
          </w:tcPr>
          <w:p>
            <w:pPr>
              <w:spacing w:after="40"/>
            </w:pPr>
            <w:r/>
            <w:r>
              <w:rPr>
                <w:b w:val="0"/>
                <w:sz w:val="18"/>
              </w:rPr>
              <w:t>m³/d</w:t>
            </w:r>
          </w:p>
        </w:tc>
      </w:tr>
      <w:tr>
        <w:tc>
          <w:tcPr>
            <w:tcW w:type="dxa" w:w="1474"/>
          </w:tcPr>
          <w:p>
            <w:pPr>
              <w:spacing w:after="40"/>
            </w:pPr>
            <w:r/>
            <w:r>
              <w:rPr>
                <w:b w:val="0"/>
                <w:sz w:val="18"/>
              </w:rPr>
              <w:t>Q dom+tank</w:t>
            </w:r>
          </w:p>
        </w:tc>
        <w:tc>
          <w:tcPr>
            <w:tcW w:type="dxa" w:w="5896"/>
          </w:tcPr>
          <w:p>
            <w:pPr>
              <w:spacing w:after="40"/>
            </w:pPr>
            <w:r/>
            <w:r>
              <w:rPr>
                <w:b w:val="0"/>
                <w:sz w:val="18"/>
              </w:rPr>
              <w:t>domestic demand plus tanker deliveries</w:t>
            </w:r>
          </w:p>
        </w:tc>
        <w:tc>
          <w:tcPr>
            <w:tcW w:type="dxa" w:w="1984"/>
          </w:tcPr>
          <w:p>
            <w:pPr>
              <w:spacing w:after="40"/>
            </w:pPr>
            <w:r/>
            <w:r>
              <w:rPr>
                <w:b w:val="0"/>
                <w:sz w:val="18"/>
              </w:rPr>
              <w:t>m³/d</w:t>
            </w:r>
          </w:p>
        </w:tc>
      </w:tr>
      <w:tr>
        <w:tc>
          <w:tcPr>
            <w:tcW w:type="dxa" w:w="1474"/>
          </w:tcPr>
          <w:p>
            <w:pPr>
              <w:spacing w:after="40"/>
            </w:pPr>
            <w:r/>
            <w:r>
              <w:rPr>
                <w:b w:val="0"/>
                <w:sz w:val="18"/>
              </w:rPr>
              <w:t>Q ND+gov</w:t>
            </w:r>
          </w:p>
        </w:tc>
        <w:tc>
          <w:tcPr>
            <w:tcW w:type="dxa" w:w="5896"/>
          </w:tcPr>
          <w:p>
            <w:pPr>
              <w:spacing w:after="40"/>
            </w:pPr>
            <w:r/>
            <w:r>
              <w:rPr>
                <w:b w:val="0"/>
                <w:sz w:val="18"/>
              </w:rPr>
              <w:t>non-domestic plus governmental demand</w:t>
            </w:r>
          </w:p>
        </w:tc>
        <w:tc>
          <w:tcPr>
            <w:tcW w:type="dxa" w:w="1984"/>
          </w:tcPr>
          <w:p>
            <w:pPr>
              <w:spacing w:after="40"/>
            </w:pPr>
            <w:r/>
            <w:r>
              <w:rPr>
                <w:b w:val="0"/>
                <w:sz w:val="18"/>
              </w:rPr>
              <w:t>m³/d</w:t>
            </w:r>
          </w:p>
        </w:tc>
      </w:tr>
    </w:tbl>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Tankered water generates sewage.  </w:t>
      </w:r>
      <w:r>
        <w:rPr>
          <w:sz w:val="20"/>
        </w:rPr>
        <w:t>The 85 % applies to domestic and tanker together. Water that arrives by truck is drunk, washed with and flushed exactly as piped water is; the delivery method changes nothing downstream. Omitting it understates the load, and in this governorate the tankered volume is substantial.</w:t>
      </w:r>
    </w:p>
    <w:p>
      <w:pPr>
        <w:pStyle w:val="Heading2"/>
      </w:pPr>
      <w:r>
        <w:t>6.3   Non-network water sources</w:t>
      </w:r>
    </w:p>
    <w:p>
      <w:r>
        <w:rPr>
          <w:b w:val="0"/>
          <w:i w:val="0"/>
        </w:rPr>
        <w:t>The guideline places a binding duty on the designer to assess other water sources within the project area — private wells, private water providers and other non-network abstraction — so that their contribution to wastewater is accounted for. No rate is given. The assessment has to be made and the assumption declared.</w:t>
      </w:r>
    </w:p>
    <w:p>
      <w:pPr>
        <w:spacing w:after="200"/>
      </w:pPr>
      <w:r>
        <w:rPr>
          <w:b w:val="0"/>
          <w:i/>
          <w:color w:val="5A5A5A"/>
          <w:sz w:val="18"/>
        </w:rPr>
        <w:t>Source: G201 §7.4 p70, §7.4.1 p70-71 and Table 19 p71.</w:t>
      </w:r>
    </w:p>
    <w:p>
      <w:pPr>
        <w:pStyle w:val="Heading2"/>
      </w:pPr>
      <w:r>
        <w:t>6.4   The alternative route where land use is detailed</w:t>
      </w:r>
    </w:p>
    <w:p>
      <w:r>
        <w:rPr>
          <w:b w:val="0"/>
          <w:i w:val="0"/>
        </w:rPr>
        <w:t>Where detailed land use information exists, the guideline requires design flows to be calculated to a recognised international standard such as BS EN 752, with the standard used clearly stated and supported by site-specific evidence. This is the wastewater-side counterpart of the Table 12 switch on the demand side, and it is governed by the same condition.</w:t>
      </w:r>
    </w:p>
    <w:p>
      <w:pPr>
        <w:spacing w:after="200"/>
      </w:pPr>
      <w:r>
        <w:rPr>
          <w:b w:val="0"/>
          <w:i/>
          <w:color w:val="5A5A5A"/>
          <w:sz w:val="18"/>
        </w:rPr>
        <w:t>Source: G201 §7.4.1 p71.</w:t>
      </w:r>
    </w:p>
    <w:p>
      <w:r>
        <w:br w:type="page"/>
      </w:r>
    </w:p>
    <w:p>
      <w:pPr>
        <w:pStyle w:val="Heading1"/>
      </w:pPr>
      <w:r>
        <w:t>7   Projecting through time</w:t>
      </w:r>
    </w:p>
    <w:p>
      <w:pPr>
        <w:pStyle w:val="Heading2"/>
      </w:pPr>
      <w:r>
        <w:t>7.1   Purpose</w:t>
      </w:r>
    </w:p>
    <w:p>
      <w:r>
        <w:rPr>
          <w:b w:val="0"/>
          <w:i w:val="0"/>
        </w:rPr>
        <w:t>A single ultimate flow sizes the pipes but says nothing about when the plant must be built, or how long the network will run at a fraction of its design flow. Both answers come from a year-by-year series.</w:t>
      </w:r>
    </w:p>
    <w:p>
      <w:pPr>
        <w:pStyle w:val="Heading2"/>
      </w:pPr>
      <w:r>
        <w:t>7.2   Interval</w:t>
      </w:r>
    </w:p>
    <w:p>
      <w:r>
        <w:rPr>
          <w:b w:val="0"/>
          <w:i w:val="0"/>
        </w:rPr>
        <w:t>The TOR requires population forecasting and flow projection at five-year intervals. Calculate annually and report at five-year steps: the finer series costs nothing extra and is needed for the self-cleansing assessment, which turns on the earliest years rather than on any reporting milestone.</w:t>
      </w:r>
    </w:p>
    <w:p>
      <w:pPr>
        <w:pStyle w:val="Heading2"/>
      </w:pPr>
      <w:r>
        <w:t>7.3   Connection ratio</w:t>
      </w:r>
    </w:p>
    <w:p>
      <w:r>
        <w:rPr>
          <w:b w:val="0"/>
          <w:i w:val="0"/>
        </w:rPr>
        <w:t>Population is not the same as connected population. A new network fills gradually as properties are joined to it, and until they are, the flow is a fraction of what the population implies.</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year</m:t>
            </m:r>
          </m:sub>
        </m:sSub>
        <m:r>
          <w:rPr>
            <w:rFonts w:ascii="Cambria Math" w:hAnsi="Cambria Math"/>
          </w:rPr>
          <m:t xml:space="preserve"> = </m:t>
        </m:r>
        <m:sSub>
          <m:e>
            <m:r>
              <m:rPr>
                <m:sty m:val="p"/>
              </m:rPr>
              <w:rPr>
                <w:rFonts w:ascii="Cambria Math" w:hAnsi="Cambria Math"/>
              </w:rPr>
              <m:t xml:space="preserve">P</m:t>
            </m:r>
          </m:e>
          <m:sub>
            <m:r>
              <m:rPr>
                <m:sty m:val="p"/>
              </m:rPr>
              <w:rPr>
                <w:rFonts w:ascii="Cambria Math" w:hAnsi="Cambria Math"/>
              </w:rPr>
              <m:t xml:space="preserve">year</m:t>
            </m:r>
          </m:sub>
        </m:sSub>
        <m:r>
          <w:rPr>
            <w:rFonts w:ascii="Cambria Math" w:hAnsi="Cambria Math"/>
          </w:rPr>
          <m:t xml:space="preserve"> × </m:t>
        </m:r>
        <m:sSub>
          <m:e>
            <m:r>
              <m:rPr>
                <m:sty m:val="p"/>
              </m:rPr>
              <w:rPr>
                <w:rFonts w:ascii="Cambria Math" w:hAnsi="Cambria Math"/>
              </w:rPr>
              <m:t xml:space="preserve">c</m:t>
            </m:r>
          </m:e>
          <m:sub>
            <m:r>
              <m:rPr>
                <m:sty m:val="p"/>
              </m:rPr>
              <w:rPr>
                <w:rFonts w:ascii="Cambria Math" w:hAnsi="Cambria Math"/>
              </w:rPr>
              <m:t xml:space="preserve">year</m:t>
            </m:r>
          </m:sub>
        </m:sSub>
        <m:r>
          <w:rPr>
            <w:rFonts w:ascii="Cambria Math" w:hAnsi="Cambria Math"/>
          </w:rPr>
          <m:t xml:space="preserve"> × </m:t>
        </m:r>
        <m:r>
          <m:rPr>
            <m:sty m:val="p"/>
          </m:rPr>
          <w:rPr>
            <w:rFonts w:ascii="Cambria Math" w:hAnsi="Cambria Math"/>
          </w:rPr>
          <m:t xml:space="preserve">q</m:t>
        </m:r>
      </m:oMath>
      <w:r>
        <w:tab/>
        <w:t>(12)</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P year</w:t>
            </w:r>
          </w:p>
        </w:tc>
        <w:tc>
          <w:tcPr>
            <w:tcW w:type="dxa" w:w="5896"/>
          </w:tcPr>
          <w:p>
            <w:pPr>
              <w:spacing w:after="40"/>
            </w:pPr>
            <w:r/>
            <w:r>
              <w:rPr>
                <w:b w:val="0"/>
                <w:sz w:val="18"/>
              </w:rPr>
              <w:t>population in that year</w:t>
            </w:r>
          </w:p>
        </w:tc>
        <w:tc>
          <w:tcPr>
            <w:tcW w:type="dxa" w:w="1984"/>
          </w:tcPr>
          <w:p>
            <w:pPr>
              <w:spacing w:after="40"/>
            </w:pPr>
            <w:r/>
            <w:r>
              <w:rPr>
                <w:b w:val="0"/>
                <w:sz w:val="18"/>
              </w:rPr>
              <w:t>persons</w:t>
            </w:r>
          </w:p>
        </w:tc>
      </w:tr>
      <w:tr>
        <w:tc>
          <w:tcPr>
            <w:tcW w:type="dxa" w:w="1474"/>
          </w:tcPr>
          <w:p>
            <w:pPr>
              <w:spacing w:after="40"/>
            </w:pPr>
            <w:r/>
            <w:r>
              <w:rPr>
                <w:b w:val="0"/>
                <w:sz w:val="18"/>
              </w:rPr>
              <w:t>c year</w:t>
            </w:r>
          </w:p>
        </w:tc>
        <w:tc>
          <w:tcPr>
            <w:tcW w:type="dxa" w:w="5896"/>
          </w:tcPr>
          <w:p>
            <w:pPr>
              <w:spacing w:after="40"/>
            </w:pPr>
            <w:r/>
            <w:r>
              <w:rPr>
                <w:b w:val="0"/>
                <w:sz w:val="18"/>
              </w:rPr>
              <w:t>connection ratio, connected divided by total population</w:t>
            </w:r>
          </w:p>
        </w:tc>
        <w:tc>
          <w:tcPr>
            <w:tcW w:type="dxa" w:w="1984"/>
          </w:tcPr>
          <w:p>
            <w:pPr>
              <w:spacing w:after="40"/>
            </w:pPr>
            <w:r/>
            <w:r>
              <w:rPr>
                <w:b w:val="0"/>
                <w:sz w:val="18"/>
              </w:rPr>
              <w:t>fraction</w:t>
            </w:r>
          </w:p>
        </w:tc>
      </w:tr>
      <w:tr>
        <w:tc>
          <w:tcPr>
            <w:tcW w:type="dxa" w:w="1474"/>
          </w:tcPr>
          <w:p>
            <w:pPr>
              <w:spacing w:after="40"/>
            </w:pPr>
            <w:r/>
            <w:r>
              <w:rPr>
                <w:b w:val="0"/>
                <w:sz w:val="18"/>
              </w:rPr>
              <w:t>q</w:t>
            </w:r>
          </w:p>
        </w:tc>
        <w:tc>
          <w:tcPr>
            <w:tcW w:type="dxa" w:w="5896"/>
          </w:tcPr>
          <w:p>
            <w:pPr>
              <w:spacing w:after="40"/>
            </w:pPr>
            <w:r/>
            <w:r>
              <w:rPr>
                <w:b w:val="0"/>
                <w:sz w:val="18"/>
              </w:rPr>
              <w:t>wastewater generated per person</w:t>
            </w:r>
          </w:p>
        </w:tc>
        <w:tc>
          <w:tcPr>
            <w:tcW w:type="dxa" w:w="1984"/>
          </w:tcPr>
          <w:p>
            <w:pPr>
              <w:spacing w:after="40"/>
            </w:pPr>
            <w:r/>
            <w:r>
              <w:rPr>
                <w:b w:val="0"/>
                <w:sz w:val="18"/>
              </w:rPr>
              <w:t>m³/person/day</w:t>
            </w:r>
          </w:p>
        </w:tc>
      </w:tr>
    </w:tbl>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connection ratio is what makes the washing schedule answerable.  </w:t>
      </w:r>
      <w:r>
        <w:rPr>
          <w:sz w:val="20"/>
        </w:rPr>
        <w:t>It is the reason early-year flows are low enough to leave solids in the pipe. Leave it out and the network appears to reach self-cleansing velocity on the day it opens, which it does not.</w:t>
      </w:r>
    </w:p>
    <w:p>
      <w:pPr>
        <w:pStyle w:val="Heading2"/>
      </w:pPr>
      <w:r>
        <w:t>7.4   Saturation</w:t>
      </w:r>
    </w:p>
    <w:p>
      <w:r>
        <w:rPr>
          <w:b w:val="0"/>
          <w:i w:val="0"/>
        </w:rPr>
        <w:t>Two different meanings are in circulation and they must not be confused in the same document.</w:t>
      </w:r>
    </w:p>
    <w:p>
      <w:pPr>
        <w:pStyle w:val="ListBullet"/>
        <w:spacing w:after="60"/>
        <w:ind w:left="340"/>
      </w:pPr>
      <w:r>
        <w:rPr>
          <w:b/>
        </w:rPr>
        <w:t xml:space="preserve">Development ceiling — </w:t>
      </w:r>
      <w:r>
        <w:t>the year the last developable plot is built out. A property of the land.</w:t>
      </w:r>
    </w:p>
    <w:p>
      <w:pPr>
        <w:pStyle w:val="ListBullet"/>
        <w:spacing w:after="60"/>
        <w:ind w:left="340"/>
      </w:pPr>
      <w:r>
        <w:rPr>
          <w:b/>
        </w:rPr>
        <w:t xml:space="preserve">Capacity trigger — </w:t>
      </w:r>
      <w:r>
        <w:t>the year a particular asset reaches its capacity. A property of the design.</w:t>
      </w:r>
    </w:p>
    <w:p>
      <w:r>
        <w:rPr>
          <w:b w:val="0"/>
          <w:i w:val="0"/>
        </w:rPr>
        <w:t>The first bounds the second. Where a projection carries population past the ceiling, the surplus has nowhere to live and the projection has left the physical world — which is the practical form of the extrapolation limit in Section 4.5.</w:t>
      </w:r>
    </w:p>
    <w:p>
      <w:r>
        <w:br w:type="page"/>
      </w:r>
    </w:p>
    <w:p>
      <w:pPr>
        <w:pStyle w:val="Heading1"/>
      </w:pPr>
      <w:r>
        <w:t>8   Peak flow and infiltration</w:t>
      </w:r>
    </w:p>
    <w:p>
      <w:pPr>
        <w:pStyle w:val="Heading2"/>
      </w:pPr>
      <w:r>
        <w:t>8.1   Purpose</w:t>
      </w:r>
    </w:p>
    <w:p>
      <w:r>
        <w:rPr>
          <w:b w:val="0"/>
          <w:i w:val="0"/>
        </w:rPr>
        <w:t>Sewers are not sized on average flow. They are sized on the peak, plus whatever groundwater leaks in through the joints.</w:t>
      </w:r>
    </w:p>
    <w:p>
      <w:pPr>
        <w:pStyle w:val="Heading2"/>
      </w:pPr>
      <w:r>
        <w:t>8.2   Merrimack</w:t>
      </w:r>
    </w:p>
    <w:p>
      <w:r>
        <w:rPr>
          <w:b w:val="0"/>
          <w:i w:val="0"/>
        </w:rPr>
        <w:t>For any catchment or sub-catchment of more than one hundred properties, the guideline states that the Merrimack formula is to be used. It gives no method for smaller catchments.</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pdf</m:t>
            </m:r>
          </m:sub>
        </m:sSub>
        <m:r>
          <w:rPr>
            <w:rFonts w:ascii="Cambria Math" w:hAnsi="Cambria Math"/>
          </w:rPr>
          <m:t xml:space="preserve"> = </m:t>
        </m:r>
        <m:r>
          <w:rPr>
            <w:rFonts w:ascii="Cambria Math" w:hAnsi="Cambria Math"/>
          </w:rPr>
          <m:t xml:space="preserve">2.65</m:t>
        </m:r>
        <m:sSup>
          <m:e>
            <m:sSub>
              <m:e>
                <m:r>
                  <w:rPr>
                    <w:rFonts w:ascii="Cambria Math" w:hAnsi="Cambria Math"/>
                  </w:rPr>
                  <m:t xml:space="preserve">Q</m:t>
                </m:r>
              </m:e>
              <m:sub>
                <m:r>
                  <m:rPr>
                    <m:sty m:val="p"/>
                  </m:rPr>
                  <w:rPr>
                    <w:rFonts w:ascii="Cambria Math" w:hAnsi="Cambria Math"/>
                  </w:rPr>
                  <m:t xml:space="preserve">adf</m:t>
                </m:r>
              </m:sub>
            </m:sSub>
          </m:e>
          <m:sup>
            <m:r>
              <w:rPr>
                <w:rFonts w:ascii="Cambria Math" w:hAnsi="Cambria Math"/>
              </w:rPr>
              <m:t xml:space="preserve">0.879</m:t>
            </m:r>
          </m:sup>
        </m:sSup>
      </m:oMath>
      <w:r>
        <w:tab/>
        <w:t>(13)</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Q pdf</w:t>
            </w:r>
          </w:p>
        </w:tc>
        <w:tc>
          <w:tcPr>
            <w:tcW w:type="dxa" w:w="5896"/>
          </w:tcPr>
          <w:p>
            <w:pPr>
              <w:spacing w:after="40"/>
            </w:pPr>
            <w:r/>
            <w:r>
              <w:rPr>
                <w:b w:val="0"/>
                <w:sz w:val="18"/>
              </w:rPr>
              <w:t>peak daily flow</w:t>
            </w:r>
          </w:p>
        </w:tc>
        <w:tc>
          <w:tcPr>
            <w:tcW w:type="dxa" w:w="1984"/>
          </w:tcPr>
          <w:p>
            <w:pPr>
              <w:spacing w:after="40"/>
            </w:pPr>
            <w:r/>
            <w:r>
              <w:rPr>
                <w:b/>
                <w:sz w:val="18"/>
              </w:rPr>
              <w:t>Ml/day</w:t>
            </w:r>
          </w:p>
        </w:tc>
      </w:tr>
      <w:tr>
        <w:tc>
          <w:tcPr>
            <w:tcW w:type="dxa" w:w="1474"/>
          </w:tcPr>
          <w:p>
            <w:pPr>
              <w:spacing w:after="40"/>
            </w:pPr>
            <w:r/>
            <w:r>
              <w:rPr>
                <w:b w:val="0"/>
                <w:sz w:val="18"/>
              </w:rPr>
              <w:t>Q adf</w:t>
            </w:r>
          </w:p>
        </w:tc>
        <w:tc>
          <w:tcPr>
            <w:tcW w:type="dxa" w:w="5896"/>
          </w:tcPr>
          <w:p>
            <w:pPr>
              <w:spacing w:after="40"/>
            </w:pPr>
            <w:r/>
            <w:r>
              <w:rPr>
                <w:b w:val="0"/>
                <w:sz w:val="18"/>
              </w:rPr>
              <w:t>average daily flow</w:t>
            </w:r>
          </w:p>
        </w:tc>
        <w:tc>
          <w:tcPr>
            <w:tcW w:type="dxa" w:w="1984"/>
          </w:tcPr>
          <w:p>
            <w:pPr>
              <w:spacing w:after="40"/>
            </w:pPr>
            <w:r/>
            <w:r>
              <w:rPr>
                <w:b/>
                <w:sz w:val="18"/>
              </w:rPr>
              <w:t>Ml/day</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Both flows are in megalitres per day.  </w:t>
      </w:r>
      <w:r>
        <w:rPr>
          <w:sz w:val="20"/>
        </w:rPr>
        <w:t>Because the exponent is 0.879 and not 1, feeding this formula cubic metres per day does not merely scale the answer — it returns a different number. One megalitre per day is one thousand cubic metres per day. This is the single most common error in the whole chain.</w:t>
      </w:r>
    </w:p>
    <w:p>
      <w:pPr>
        <w:tabs>
          <w:tab w:val="center" w:pos="4320"/>
          <w:tab w:val="right" w:pos="8640"/>
        </w:tabs>
        <w:spacing w:before="120" w:after="120"/>
      </w:pPr>
      <w:r>
        <w:tab/>
      </w:r>
      <m:oMath>
        <m:r>
          <m:rPr>
            <m:sty m:val="p"/>
          </m:rPr>
          <w:rPr>
            <w:rFonts w:ascii="Cambria Math" w:hAnsi="Cambria Math"/>
          </w:rPr>
          <m:t xml:space="preserve">Pf</m:t>
        </m:r>
        <m:r>
          <w:rPr>
            <w:rFonts w:ascii="Cambria Math" w:hAnsi="Cambria Math"/>
          </w:rPr>
          <m:t xml:space="preserve"> = </m:t>
        </m:r>
        <m:f>
          <m:num>
            <m:sSub>
              <m:e>
                <m:r>
                  <w:rPr>
                    <w:rFonts w:ascii="Cambria Math" w:hAnsi="Cambria Math"/>
                  </w:rPr>
                  <m:t xml:space="preserve">Q</m:t>
                </m:r>
              </m:e>
              <m:sub>
                <m:r>
                  <m:rPr>
                    <m:sty m:val="p"/>
                  </m:rPr>
                  <w:rPr>
                    <w:rFonts w:ascii="Cambria Math" w:hAnsi="Cambria Math"/>
                  </w:rPr>
                  <m:t xml:space="preserve">pdf</m:t>
                </m:r>
              </m:sub>
            </m:sSub>
          </m:num>
          <m:den>
            <m:sSub>
              <m:e>
                <m:r>
                  <w:rPr>
                    <w:rFonts w:ascii="Cambria Math" w:hAnsi="Cambria Math"/>
                  </w:rPr>
                  <m:t xml:space="preserve">Q</m:t>
                </m:r>
              </m:e>
              <m:sub>
                <m:r>
                  <m:rPr>
                    <m:sty m:val="p"/>
                  </m:rPr>
                  <w:rPr>
                    <w:rFonts w:ascii="Cambria Math" w:hAnsi="Cambria Math"/>
                  </w:rPr>
                  <m:t xml:space="preserve">adf</m:t>
                </m:r>
              </m:sub>
            </m:sSub>
          </m:den>
        </m:f>
      </m:oMath>
      <w:r>
        <w:tab/>
        <w:t>(14)</w:t>
      </w:r>
    </w:p>
    <w:p>
      <w:pPr>
        <w:pStyle w:val="Heading2"/>
      </w:pPr>
      <w:r>
        <w:t>8.3   Peltier, the master plan alternative</w:t>
      </w:r>
    </w:p>
    <w:p>
      <w:r>
        <w:rPr>
          <w:b w:val="0"/>
          <w:i w:val="0"/>
        </w:rPr>
        <w:t>The guideline also records the method used in the 2024 Integrated Master Plan. It is described rather than mandated, and Merrimack carries the obligatory wording.</w:t>
      </w:r>
    </w:p>
    <w:p>
      <w:pPr>
        <w:tabs>
          <w:tab w:val="center" w:pos="4320"/>
          <w:tab w:val="right" w:pos="8640"/>
        </w:tabs>
        <w:spacing w:before="120" w:after="120"/>
      </w:pPr>
      <w:r>
        <w:tab/>
      </w:r>
      <m:oMath>
        <m:sSub>
          <m:e>
            <m:r>
              <m:rPr>
                <m:sty m:val="p"/>
              </m:rPr>
              <w:rPr>
                <w:rFonts w:ascii="Cambria Math" w:hAnsi="Cambria Math"/>
              </w:rPr>
              <m:t xml:space="preserve">Pf</m:t>
            </m:r>
          </m:e>
          <m:sub>
            <m:r>
              <m:rPr>
                <m:sty m:val="p"/>
              </m:rPr>
              <w:rPr>
                <w:rFonts w:ascii="Cambria Math" w:hAnsi="Cambria Math"/>
              </w:rPr>
              <m:t xml:space="preserve">ww</m:t>
            </m:r>
          </m:sub>
        </m:sSub>
        <m:r>
          <w:rPr>
            <w:rFonts w:ascii="Cambria Math" w:hAnsi="Cambria Math"/>
          </w:rPr>
          <m:t xml:space="preserve"> = </m:t>
        </m:r>
        <m:r>
          <w:rPr>
            <w:rFonts w:ascii="Cambria Math" w:hAnsi="Cambria Math"/>
          </w:rPr>
          <m:t xml:space="preserve">1.5</m:t>
        </m:r>
        <m:r>
          <w:rPr>
            <w:rFonts w:ascii="Cambria Math" w:hAnsi="Cambria Math"/>
          </w:rPr>
          <m:t xml:space="preserve"> + </m:t>
        </m:r>
        <m:f>
          <m:num>
            <m:r>
              <w:rPr>
                <w:rFonts w:ascii="Cambria Math" w:hAnsi="Cambria Math"/>
              </w:rPr>
              <m:t xml:space="preserve">1</m:t>
            </m:r>
          </m:num>
          <m:den>
            <m:rad>
              <m:radPr>
                <m:degHide m:val="1"/>
              </m:radPr>
              <m:deg/>
              <m:e>
                <m:sSub>
                  <m:e>
                    <m:r>
                      <w:rPr>
                        <w:rFonts w:ascii="Cambria Math" w:hAnsi="Cambria Math"/>
                      </w:rPr>
                      <m:t xml:space="preserve">Q</m:t>
                    </m:r>
                  </m:e>
                  <m:sub>
                    <m:r>
                      <m:rPr>
                        <m:sty m:val="p"/>
                      </m:rPr>
                      <w:rPr>
                        <w:rFonts w:ascii="Cambria Math" w:hAnsi="Cambria Math"/>
                      </w:rPr>
                      <m:t xml:space="preserve">m</m:t>
                    </m:r>
                  </m:sub>
                </m:sSub>
              </m:e>
            </m:rad>
          </m:den>
        </m:f>
      </m:oMath>
      <w:r>
        <w:tab/>
        <w:t>(15)</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Pf ww</w:t>
            </w:r>
          </w:p>
        </w:tc>
        <w:tc>
          <w:tcPr>
            <w:tcW w:type="dxa" w:w="5896"/>
          </w:tcPr>
          <w:p>
            <w:pPr>
              <w:spacing w:after="40"/>
            </w:pPr>
            <w:r/>
            <w:r>
              <w:rPr>
                <w:b w:val="0"/>
                <w:sz w:val="18"/>
              </w:rPr>
              <w:t>wastewater peak factor</w:t>
            </w:r>
          </w:p>
        </w:tc>
        <w:tc>
          <w:tcPr>
            <w:tcW w:type="dxa" w:w="1984"/>
          </w:tcPr>
          <w:p>
            <w:pPr>
              <w:spacing w:after="40"/>
            </w:pPr>
            <w:r/>
            <w:r>
              <w:rPr>
                <w:b w:val="0"/>
                <w:sz w:val="18"/>
              </w:rPr>
              <w:t>dimensionless</w:t>
            </w:r>
          </w:p>
        </w:tc>
      </w:tr>
      <w:tr>
        <w:tc>
          <w:tcPr>
            <w:tcW w:type="dxa" w:w="1474"/>
          </w:tcPr>
          <w:p>
            <w:pPr>
              <w:spacing w:after="40"/>
            </w:pPr>
            <w:r/>
            <w:r>
              <w:rPr>
                <w:b w:val="0"/>
                <w:sz w:val="18"/>
              </w:rPr>
              <w:t>Q m</w:t>
            </w:r>
          </w:p>
        </w:tc>
        <w:tc>
          <w:tcPr>
            <w:tcW w:type="dxa" w:w="5896"/>
          </w:tcPr>
          <w:p>
            <w:pPr>
              <w:spacing w:after="40"/>
            </w:pPr>
            <w:r/>
            <w:r>
              <w:rPr>
                <w:b w:val="0"/>
                <w:sz w:val="18"/>
              </w:rPr>
              <w:t>average daily flow</w:t>
            </w:r>
          </w:p>
        </w:tc>
        <w:tc>
          <w:tcPr>
            <w:tcW w:type="dxa" w:w="1984"/>
          </w:tcPr>
          <w:p>
            <w:pPr>
              <w:spacing w:after="40"/>
            </w:pPr>
            <w:r/>
            <w:r>
              <w:rPr>
                <w:b/>
                <w:sz w:val="18"/>
              </w:rPr>
              <w:t>litres per second</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This formula differs from the published Peltier relation.  </w:t>
      </w:r>
      <w:r>
        <w:rPr>
          <w:sz w:val="20"/>
        </w:rPr>
        <w:t>The classical form carries 2.5 in the numerator; the guideline prints 1. This was confirmed three separate ways — a high-resolution render of the page, a coordinate-level dump of the text showing a single raised glyph, and the text layer itself. The guideline as issued prints 1, and that is what is reproduced here. Whether NWS intended the classical form is a question for NWS. In practice it changes nothing for this project, because Merrimack is the mandated route.</w:t>
      </w:r>
    </w:p>
    <w:p>
      <w:r>
        <w:rPr>
          <w:b w:val="0"/>
          <w:i w:val="0"/>
        </w:rPr>
        <w:t>Note also that Merrimack wants megalitres per day and Peltier wants litres per second, on facing pages, using symbols the abbreviation list defines identically.</w:t>
      </w:r>
    </w:p>
    <w:p>
      <w:pPr>
        <w:pStyle w:val="Heading2"/>
      </w:pPr>
      <w:r>
        <w:t>8.4   The cap on hourly peak factor</w:t>
      </w:r>
    </w:p>
    <w:p>
      <w:r>
        <w:rPr>
          <w:b w:val="0"/>
          <w:i w:val="0"/>
        </w:rPr>
        <w:t>The guideline states that it is recommended the hourly peak factor should not exceed 5.0. The wording is doubly hedged and is not an obligation. Truncating a small headworks at 5.0 without saying so hides a real peak.</w:t>
      </w:r>
    </w:p>
    <w:p>
      <w:pPr>
        <w:pStyle w:val="Heading2"/>
      </w:pPr>
      <w:r>
        <w:t>8.5   Infiltration</w:t>
      </w:r>
    </w:p>
    <w:p>
      <w:r>
        <w:rPr>
          <w:b w:val="0"/>
          <w:i w:val="0"/>
        </w:rPr>
        <w:t>Accounting for infiltration is mandatory. The three values themselves are recommendations, and they do not share a common basis — two are proportions of flow and one is a rate per length of pipe, so they are not interchangeable.</w:t>
      </w:r>
    </w:p>
    <w:p>
      <w:pPr>
        <w:spacing w:before="160" w:after="60"/>
      </w:pPr>
      <w:r>
        <w:rPr>
          <w:b/>
          <w:color w:val="2E629E"/>
          <w:sz w:val="18"/>
        </w:rPr>
        <w:t>Table 3   Infiltration allowances</w:t>
      </w:r>
    </w:p>
    <w:tbl>
      <w:tblPr>
        <w:tblStyle w:val="TableGrid"/>
        <w:tblW w:type="auto" w:w="0"/>
        <w:jc w:val="center"/>
        <w:tblLook w:firstColumn="1" w:firstRow="1" w:lastColumn="0" w:lastRow="0" w:noHBand="0" w:noVBand="1" w:val="04A0"/>
      </w:tblPr>
      <w:tblGrid>
        <w:gridCol w:w="4706"/>
        <w:gridCol w:w="4706"/>
      </w:tblGrid>
      <w:tr>
        <w:tc>
          <w:tcPr>
            <w:tcW w:type="dxa" w:w="5953"/>
            <w:shd w:val="clear" w:color="auto" w:fill="1F3B63"/>
          </w:tcPr>
          <w:p>
            <w:pPr>
              <w:spacing w:after="40"/>
            </w:pPr>
            <w:r/>
            <w:r>
              <w:rPr>
                <w:b/>
                <w:color w:val="FFFFFF"/>
                <w:sz w:val="19"/>
              </w:rPr>
              <w:t>Case</w:t>
            </w:r>
          </w:p>
        </w:tc>
        <w:tc>
          <w:tcPr>
            <w:tcW w:type="dxa" w:w="3402"/>
            <w:shd w:val="clear" w:color="auto" w:fill="1F3B63"/>
          </w:tcPr>
          <w:p>
            <w:pPr>
              <w:spacing w:after="40"/>
            </w:pPr>
            <w:r/>
            <w:r>
              <w:rPr>
                <w:b/>
                <w:color w:val="FFFFFF"/>
                <w:sz w:val="19"/>
              </w:rPr>
              <w:t>Allowance</w:t>
            </w:r>
          </w:p>
        </w:tc>
      </w:tr>
      <w:tr>
        <w:tc>
          <w:tcPr>
            <w:tcW w:type="dxa" w:w="5953"/>
          </w:tcPr>
          <w:p>
            <w:pPr>
              <w:spacing w:after="40"/>
            </w:pPr>
            <w:r/>
            <w:r>
              <w:rPr>
                <w:b w:val="0"/>
                <w:sz w:val="19"/>
              </w:rPr>
              <w:t>Existing network in a groundwater zone or coastal area</w:t>
            </w:r>
          </w:p>
        </w:tc>
        <w:tc>
          <w:tcPr>
            <w:tcW w:type="dxa" w:w="3402"/>
          </w:tcPr>
          <w:p>
            <w:pPr>
              <w:spacing w:after="40"/>
            </w:pPr>
            <w:r/>
            <w:r>
              <w:rPr>
                <w:b w:val="0"/>
                <w:sz w:val="19"/>
              </w:rPr>
              <w:t>up to 40 % of wastewater flow</w:t>
            </w:r>
          </w:p>
        </w:tc>
      </w:tr>
      <w:tr>
        <w:tc>
          <w:tcPr>
            <w:tcW w:type="dxa" w:w="5953"/>
          </w:tcPr>
          <w:p>
            <w:pPr>
              <w:spacing w:after="40"/>
            </w:pPr>
            <w:r/>
            <w:r>
              <w:rPr>
                <w:b w:val="0"/>
                <w:sz w:val="19"/>
              </w:rPr>
              <w:t>Existing network inland, outside groundwater influence</w:t>
            </w:r>
          </w:p>
        </w:tc>
        <w:tc>
          <w:tcPr>
            <w:tcW w:type="dxa" w:w="3402"/>
          </w:tcPr>
          <w:p>
            <w:pPr>
              <w:spacing w:after="40"/>
            </w:pPr>
            <w:r/>
            <w:r>
              <w:rPr>
                <w:b w:val="0"/>
                <w:sz w:val="19"/>
              </w:rPr>
              <w:t>10 % of wastewater flow</w:t>
            </w:r>
          </w:p>
        </w:tc>
      </w:tr>
      <w:tr>
        <w:tc>
          <w:tcPr>
            <w:tcW w:type="dxa" w:w="5953"/>
          </w:tcPr>
          <w:p>
            <w:pPr>
              <w:spacing w:after="40"/>
            </w:pPr>
            <w:r/>
            <w:r>
              <w:rPr>
                <w:b/>
                <w:sz w:val="19"/>
              </w:rPr>
              <w:t>Newly designed network</w:t>
            </w:r>
          </w:p>
        </w:tc>
        <w:tc>
          <w:tcPr>
            <w:tcW w:type="dxa" w:w="3402"/>
          </w:tcPr>
          <w:p>
            <w:pPr>
              <w:spacing w:after="40"/>
            </w:pPr>
            <w:r/>
            <w:r>
              <w:rPr>
                <w:b/>
                <w:sz w:val="19"/>
              </w:rPr>
              <w:t>720 litres per day per km of sewer</w:t>
            </w:r>
          </w:p>
        </w:tc>
      </w:tr>
    </w:tbl>
    <w:p/>
    <w:p>
      <w:r>
        <w:rPr>
          <w:b w:val="0"/>
          <w:i w:val="0"/>
        </w:rPr>
        <w:t>Stormwater infiltration is expressly not considered, and tanker or vacuum collection carries no infiltration allowance at all.</w:t>
      </w:r>
    </w:p>
    <w:p>
      <w:pPr>
        <w:spacing w:after="200"/>
      </w:pPr>
      <w:r>
        <w:rPr>
          <w:b w:val="0"/>
          <w:i/>
          <w:color w:val="5A5A5A"/>
          <w:sz w:val="18"/>
        </w:rPr>
        <w:t>Source: G201 §7.4.2 p71-72 and §7.4.3 p72.</w:t>
      </w:r>
    </w:p>
    <w:p>
      <w:pPr>
        <w:pStyle w:val="Heading2"/>
      </w:pPr>
      <w:r>
        <w:t>8.6   Assembling the design flow</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design</m:t>
            </m:r>
          </m:sub>
        </m:sSub>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ww</m:t>
            </m:r>
          </m:sub>
        </m:sSub>
        <m:r>
          <w:rPr>
            <w:rFonts w:ascii="Cambria Math" w:hAnsi="Cambria Math"/>
          </w:rPr>
          <m:t xml:space="preserve"> × </m:t>
        </m:r>
        <m:r>
          <m:rPr>
            <m:sty m:val="p"/>
          </m:rPr>
          <w:rPr>
            <w:rFonts w:ascii="Cambria Math" w:hAnsi="Cambria Math"/>
          </w:rPr>
          <m:t xml:space="preserve">Pf</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inf</m:t>
            </m:r>
          </m:sub>
        </m:sSub>
      </m:oMath>
      <w:r>
        <w:tab/>
        <w:t>(16)</w:t>
      </w:r>
    </w:p>
    <w:p>
      <w:r>
        <w:rPr>
          <w:b w:val="0"/>
          <w:i w:val="0"/>
        </w:rPr>
        <w:t>Infiltration is added after peaking, not before. It is a steady leak and does not peak with the diurnal cycle.</w:t>
      </w:r>
    </w:p>
    <w:p>
      <w:r>
        <w:br w:type="page"/>
      </w:r>
    </w:p>
    <w:p>
      <w:pPr>
        <w:pStyle w:val="Heading1"/>
      </w:pPr>
      <w:r>
        <w:t>9   Gravity sewer design</w:t>
      </w:r>
    </w:p>
    <w:p>
      <w:pPr>
        <w:pStyle w:val="Heading2"/>
      </w:pPr>
      <w:r>
        <w:t>9.1   Purpose</w:t>
      </w:r>
    </w:p>
    <w:p>
      <w:r>
        <w:rPr>
          <w:b w:val="0"/>
          <w:i w:val="0"/>
        </w:rPr>
        <w:t>Turning a design flow into a diameter, a gradient and an invert level, while keeping the pipe fast enough to scour itself and slow enough not to erode.</w:t>
      </w:r>
    </w:p>
    <w:p>
      <w:pPr>
        <w:pStyle w:val="Heading2"/>
      </w:pPr>
      <w:r>
        <w:t>9.2   Which formula</w:t>
      </w:r>
    </w:p>
    <w:p>
      <w:r>
        <w:rPr>
          <w:b w:val="0"/>
          <w:i w:val="0"/>
        </w:rPr>
        <w:t>The guideline requires that a recognised hydraulic formula be used and names Colebrook-White and Manning. Neither is exclusively mandated, but Colebrook-White is the one given a mandatory input and the one from which the minimum gradient table is derived.</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−2</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func>
          <m:fName>
            <m:r>
              <m:rPr>
                <m:sty m:val="p"/>
              </m:rPr>
              <w:rPr>
                <w:rFonts w:ascii="Cambria Math" w:hAnsi="Cambria Math"/>
              </w:rPr>
              <m:t xml:space="preserve">log</m:t>
            </m:r>
          </m:fName>
          <m:e>
            <m:sSub>
              <m:e>
                <m:r>
                  <w:rPr>
                    <w:rFonts w:ascii="Cambria Math" w:hAnsi="Cambria Math"/>
                  </w:rPr>
                  <m:t xml:space="preserve"/>
                </m:r>
              </m:e>
              <m:sub>
                <m:r>
                  <w:rPr>
                    <w:rFonts w:ascii="Cambria Math" w:hAnsi="Cambria Math"/>
                  </w:rPr>
                  <m:t xml:space="preserve">10</m:t>
                </m:r>
              </m:sub>
            </m:sSub>
          </m:e>
        </m:func>
        <m:d>
          <m:dPr>
            <m:begChr m:val="["/>
            <m:endChr m:val="]"/>
          </m:dPr>
          <m:e>
            <m:f>
              <m:num>
                <m:sSub>
                  <m:e>
                    <m:r>
                      <w:rPr>
                        <w:rFonts w:ascii="Cambria Math" w:hAnsi="Cambria Math"/>
                      </w:rPr>
                      <m:t xml:space="preserve">k</m:t>
                    </m:r>
                  </m:e>
                  <m:sub>
                    <m:r>
                      <m:rPr>
                        <m:sty m:val="p"/>
                      </m:rPr>
                      <w:rPr>
                        <w:rFonts w:ascii="Cambria Math" w:hAnsi="Cambria Math"/>
                      </w:rPr>
                      <m:t xml:space="preserve">s</m:t>
                    </m:r>
                  </m:sub>
                </m:sSub>
              </m:num>
              <m:den>
                <m:r>
                  <w:rPr>
                    <w:rFonts w:ascii="Cambria Math" w:hAnsi="Cambria Math"/>
                  </w:rPr>
                  <m:t xml:space="preserve">3.7</m:t>
                </m:r>
                <m:r>
                  <w:rPr>
                    <w:rFonts w:ascii="Cambria Math" w:hAnsi="Cambria Math"/>
                  </w:rPr>
                  <m:t xml:space="preserve">D</m:t>
                </m:r>
              </m:den>
            </m:f>
            <m:r>
              <w:rPr>
                <w:rFonts w:ascii="Cambria Math" w:hAnsi="Cambria Math"/>
              </w:rPr>
              <m:t xml:space="preserve"> + </m:t>
            </m:r>
            <m:f>
              <m:num>
                <m:r>
                  <w:rPr>
                    <w:rFonts w:ascii="Cambria Math" w:hAnsi="Cambria Math"/>
                  </w:rPr>
                  <m:t xml:space="preserve">2.51</m:t>
                </m:r>
                <m:r>
                  <w:rPr>
                    <w:rFonts w:ascii="Cambria Math" w:hAnsi="Cambria Math"/>
                  </w:rPr>
                  <m:t xml:space="preserve">ν</m:t>
                </m:r>
              </m:num>
              <m:den>
                <m:r>
                  <w:rPr>
                    <w:rFonts w:ascii="Cambria Math" w:hAnsi="Cambria Math"/>
                  </w:rPr>
                  <m:t xml:space="preserve">D</m:t>
                </m:r>
                <m:rad>
                  <m:radPr>
                    <m:degHide m:val="1"/>
                  </m:radPr>
                  <m:deg/>
                  <m:e>
                    <m:r>
                      <w:rPr>
                        <w:rFonts w:ascii="Cambria Math" w:hAnsi="Cambria Math"/>
                      </w:rPr>
                      <m:t xml:space="preserve">2</m:t>
                    </m:r>
                    <m:r>
                      <w:rPr>
                        <w:rFonts w:ascii="Cambria Math" w:hAnsi="Cambria Math"/>
                      </w:rPr>
                      <m:t xml:space="preserve">g</m:t>
                    </m:r>
                    <m:r>
                      <w:rPr>
                        <w:rFonts w:ascii="Cambria Math" w:hAnsi="Cambria Math"/>
                      </w:rPr>
                      <m:t xml:space="preserve">D</m:t>
                    </m:r>
                    <m:r>
                      <w:rPr>
                        <w:rFonts w:ascii="Cambria Math" w:hAnsi="Cambria Math"/>
                      </w:rPr>
                      <m:t xml:space="preserve">S</m:t>
                    </m:r>
                  </m:e>
                </m:rad>
              </m:den>
            </m:f>
          </m:e>
        </m:d>
      </m:oMath>
      <w:r>
        <w:tab/>
        <w:t>(17)</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V</w:t>
            </w:r>
          </w:p>
        </w:tc>
        <w:tc>
          <w:tcPr>
            <w:tcW w:type="dxa" w:w="5896"/>
          </w:tcPr>
          <w:p>
            <w:pPr>
              <w:spacing w:after="40"/>
            </w:pPr>
            <w:r/>
            <w:r>
              <w:rPr>
                <w:b w:val="0"/>
                <w:sz w:val="18"/>
              </w:rPr>
              <w:t>pipe-full velocity</w:t>
            </w:r>
          </w:p>
        </w:tc>
        <w:tc>
          <w:tcPr>
            <w:tcW w:type="dxa" w:w="1984"/>
          </w:tcPr>
          <w:p>
            <w:pPr>
              <w:spacing w:after="40"/>
            </w:pPr>
            <w:r/>
            <w:r>
              <w:rPr>
                <w:b w:val="0"/>
                <w:sz w:val="18"/>
              </w:rPr>
              <w:t>m/s</w:t>
            </w:r>
          </w:p>
        </w:tc>
      </w:tr>
      <w:t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c>
          <w:tcPr>
            <w:tcW w:type="dxa" w:w="1474"/>
          </w:tcPr>
          <w:p>
            <w:pPr>
              <w:spacing w:after="40"/>
            </w:pPr>
            <w:r/>
            <w:r>
              <w:rPr>
                <w:b w:val="0"/>
                <w:sz w:val="18"/>
              </w:rPr>
              <w:t>D</w:t>
            </w:r>
          </w:p>
        </w:tc>
        <w:tc>
          <w:tcPr>
            <w:tcW w:type="dxa" w:w="5896"/>
          </w:tcPr>
          <w:p>
            <w:pPr>
              <w:spacing w:after="40"/>
            </w:pPr>
            <w:r/>
            <w:r>
              <w:rPr>
                <w:b w:val="0"/>
                <w:sz w:val="18"/>
              </w:rPr>
              <w:t>pipe internal diameter</w:t>
            </w:r>
          </w:p>
        </w:tc>
        <w:tc>
          <w:tcPr>
            <w:tcW w:type="dxa" w:w="1984"/>
          </w:tcPr>
          <w:p>
            <w:pPr>
              <w:spacing w:after="40"/>
            </w:pPr>
            <w:r/>
            <w:r>
              <w:rPr>
                <w:b w:val="0"/>
                <w:sz w:val="18"/>
              </w:rPr>
              <w:t>m</w:t>
            </w:r>
          </w:p>
        </w:tc>
      </w:tr>
      <w:tr>
        <w:tc>
          <w:tcPr>
            <w:tcW w:type="dxa" w:w="1474"/>
          </w:tcPr>
          <w:p>
            <w:pPr>
              <w:spacing w:after="40"/>
            </w:pPr>
            <w:r/>
            <w:r>
              <w:rPr>
                <w:b w:val="0"/>
                <w:sz w:val="18"/>
              </w:rPr>
              <w:t>S</w:t>
            </w:r>
          </w:p>
        </w:tc>
        <w:tc>
          <w:tcPr>
            <w:tcW w:type="dxa" w:w="5896"/>
          </w:tcPr>
          <w:p>
            <w:pPr>
              <w:spacing w:after="40"/>
            </w:pPr>
            <w:r/>
            <w:r>
              <w:rPr>
                <w:b w:val="0"/>
                <w:sz w:val="18"/>
              </w:rPr>
              <w:t>hydraulic gradient</w:t>
            </w:r>
          </w:p>
        </w:tc>
        <w:tc>
          <w:tcPr>
            <w:tcW w:type="dxa" w:w="1984"/>
          </w:tcPr>
          <w:p>
            <w:pPr>
              <w:spacing w:after="40"/>
            </w:pPr>
            <w:r/>
            <w:r>
              <w:rPr>
                <w:b w:val="0"/>
                <w:sz w:val="18"/>
              </w:rPr>
              <w:t>m/m</w:t>
            </w:r>
          </w:p>
        </w:tc>
      </w:tr>
      <w:tr>
        <w:tc>
          <w:tcPr>
            <w:tcW w:type="dxa" w:w="1474"/>
          </w:tcPr>
          <w:p>
            <w:pPr>
              <w:spacing w:after="40"/>
            </w:pPr>
            <w:r/>
            <w:r>
              <w:rPr>
                <w:b w:val="0"/>
                <w:sz w:val="18"/>
              </w:rPr>
              <w:t>k s</w:t>
            </w:r>
          </w:p>
        </w:tc>
        <w:tc>
          <w:tcPr>
            <w:tcW w:type="dxa" w:w="5896"/>
          </w:tcPr>
          <w:p>
            <w:pPr>
              <w:spacing w:after="40"/>
            </w:pPr>
            <w:r/>
            <w:r>
              <w:rPr>
                <w:b w:val="0"/>
                <w:sz w:val="18"/>
              </w:rPr>
              <w:t xml:space="preserve">roughness — </w:t>
            </w:r>
            <w:r>
              <w:rPr>
                <w:b/>
                <w:sz w:val="18"/>
              </w:rPr>
              <w:t>1.5 mm, mandatory for all sizes and materials</w:t>
            </w:r>
          </w:p>
        </w:tc>
        <w:tc>
          <w:tcPr>
            <w:tcW w:type="dxa" w:w="1984"/>
          </w:tcPr>
          <w:p>
            <w:pPr>
              <w:spacing w:after="40"/>
            </w:pPr>
            <w:r/>
            <w:r>
              <w:rPr>
                <w:b w:val="0"/>
                <w:sz w:val="18"/>
              </w:rPr>
              <w:t>m</w:t>
            </w:r>
          </w:p>
        </w:tc>
      </w:tr>
      <w:tr>
        <w:tc>
          <w:tcPr>
            <w:tcW w:type="dxa" w:w="1474"/>
          </w:tcPr>
          <w:p>
            <w:pPr>
              <w:spacing w:after="40"/>
            </w:pPr>
            <w:r/>
            <w:r>
              <w:rPr>
                <w:b w:val="0"/>
                <w:sz w:val="18"/>
              </w:rPr>
              <w:t>ν</w:t>
            </w:r>
          </w:p>
        </w:tc>
        <w:tc>
          <w:tcPr>
            <w:tcW w:type="dxa" w:w="5896"/>
          </w:tcPr>
          <w:p>
            <w:pPr>
              <w:spacing w:after="40"/>
            </w:pPr>
            <w:r/>
            <w:r>
              <w:rPr>
                <w:b w:val="0"/>
                <w:sz w:val="18"/>
              </w:rPr>
              <w:t>kinematic viscosity; 1.141 × 10⁻⁶ at 15 °C</w:t>
            </w:r>
          </w:p>
        </w:tc>
        <w:tc>
          <w:tcPr>
            <w:tcW w:type="dxa" w:w="1984"/>
          </w:tcPr>
          <w:p>
            <w:pPr>
              <w:spacing w:after="40"/>
            </w:pPr>
            <w:r/>
            <w:r>
              <w:rPr>
                <w:b w:val="0"/>
                <w:sz w:val="18"/>
              </w:rPr>
              <w:t>m²/s</w:t>
            </w:r>
          </w:p>
        </w:tc>
      </w:tr>
    </w:tbl>
    <w:p>
      <w:pPr>
        <w:pStyle w:val="Heading3"/>
      </w:pPr>
      <w:r>
        <w:t>Manning, where it is used</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f>
          <m:num>
            <m:r>
              <w:rPr>
                <w:rFonts w:ascii="Cambria Math" w:hAnsi="Cambria Math"/>
              </w:rPr>
              <m:t xml:space="preserve">1</m:t>
            </m:r>
          </m:num>
          <m:den>
            <m:r>
              <w:rPr>
                <w:rFonts w:ascii="Cambria Math" w:hAnsi="Cambria Math"/>
              </w:rPr>
              <m:t xml:space="preserve">n</m:t>
            </m:r>
          </m:den>
        </m:f>
        <m:sSup>
          <m:e>
            <m:sSub>
              <m:e>
                <m:r>
                  <w:rPr>
                    <w:rFonts w:ascii="Cambria Math" w:hAnsi="Cambria Math"/>
                  </w:rPr>
                  <m:t xml:space="preserve">R</m:t>
                </m:r>
              </m:e>
              <m:sub>
                <m:r>
                  <m:rPr>
                    <m:sty m:val="p"/>
                  </m:rPr>
                  <w:rPr>
                    <w:rFonts w:ascii="Cambria Math" w:hAnsi="Cambria Math"/>
                  </w:rPr>
                  <m:t xml:space="preserve">h</m:t>
                </m:r>
              </m:sub>
            </m:sSub>
          </m:e>
          <m:sup>
            <m:f>
              <m:num>
                <m:r>
                  <w:rPr>
                    <w:rFonts w:ascii="Cambria Math" w:hAnsi="Cambria Math"/>
                  </w:rPr>
                  <m:t xml:space="preserve">2</m:t>
                </m:r>
              </m:num>
              <m:den>
                <m:r>
                  <w:rPr>
                    <w:rFonts w:ascii="Cambria Math" w:hAnsi="Cambria Math"/>
                  </w:rPr>
                  <m:t xml:space="preserve">3</m:t>
                </m:r>
              </m:den>
            </m:f>
          </m:sup>
        </m:sSup>
        <m:sSup>
          <m:e>
            <m:r>
              <w:rPr>
                <w:rFonts w:ascii="Cambria Math" w:hAnsi="Cambria Math"/>
              </w:rPr>
              <m:t xml:space="preserve">S</m:t>
            </m:r>
          </m:e>
          <m:sup>
            <m:f>
              <m:num>
                <m:r>
                  <w:rPr>
                    <w:rFonts w:ascii="Cambria Math" w:hAnsi="Cambria Math"/>
                  </w:rPr>
                  <m:t xml:space="preserve">1</m:t>
                </m:r>
              </m:num>
              <m:den>
                <m:r>
                  <w:rPr>
                    <w:rFonts w:ascii="Cambria Math" w:hAnsi="Cambria Math"/>
                  </w:rPr>
                  <m:t xml:space="preserve">2</m:t>
                </m:r>
              </m:den>
            </m:f>
          </m:sup>
        </m:sSup>
      </m:oMath>
      <w:r>
        <w:tab/>
        <w:t>(18)</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n</w:t>
            </w:r>
          </w:p>
        </w:tc>
        <w:tc>
          <w:tcPr>
            <w:tcW w:type="dxa" w:w="5896"/>
          </w:tcPr>
          <w:p>
            <w:pPr>
              <w:spacing w:after="40"/>
            </w:pPr>
            <w:r/>
            <w:r>
              <w:rPr>
                <w:b w:val="0"/>
                <w:sz w:val="18"/>
              </w:rPr>
              <w:t>roughness coefficient; 0.009 to 0.011 for the plastics specified</w:t>
            </w:r>
          </w:p>
        </w:tc>
        <w:tc>
          <w:tcPr>
            <w:tcW w:type="dxa" w:w="1984"/>
          </w:tcPr>
          <w:p>
            <w:pPr>
              <w:spacing w:after="40"/>
            </w:pPr>
            <w:r/>
            <w:r>
              <w:rPr>
                <w:b w:val="0"/>
                <w:sz w:val="18"/>
              </w:rPr>
              <w:t>dimensionless</w:t>
            </w:r>
          </w:p>
        </w:tc>
      </w:tr>
      <w:tr>
        <w:tc>
          <w:tcPr>
            <w:tcW w:type="dxa" w:w="1474"/>
          </w:tcPr>
          <w:p>
            <w:pPr>
              <w:spacing w:after="40"/>
            </w:pPr>
            <w:r/>
            <w:r>
              <w:rPr>
                <w:b w:val="0"/>
                <w:sz w:val="18"/>
              </w:rPr>
              <w:t>R h</w:t>
            </w:r>
          </w:p>
        </w:tc>
        <w:tc>
          <w:tcPr>
            <w:tcW w:type="dxa" w:w="5896"/>
          </w:tcPr>
          <w:p>
            <w:pPr>
              <w:spacing w:after="40"/>
            </w:pPr>
            <w:r/>
            <w:r>
              <w:rPr>
                <w:b w:val="0"/>
                <w:sz w:val="18"/>
              </w:rPr>
              <w:t>hydraulic radius, area divided by wetted perimeter</w:t>
            </w:r>
          </w:p>
        </w:tc>
        <w:tc>
          <w:tcPr>
            <w:tcW w:type="dxa" w:w="1984"/>
          </w:tcPr>
          <w:p>
            <w:pPr>
              <w:spacing w:after="40"/>
            </w:pPr>
            <w:r/>
            <w:r>
              <w:rPr>
                <w:b w:val="0"/>
                <w:sz w:val="18"/>
              </w:rPr>
              <w:t>m</w:t>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One equation in the guideline is dimensionally impossible.  </w:t>
      </w:r>
      <w:r>
        <w:rPr>
          <w:sz w:val="20"/>
        </w:rPr>
        <w:t>The relation between full-bore flow and velocity is printed as flow equals velocity divided by area, which yields units of reciprocal metre-seconds. It was verified at high resolution that the document really does print a division. Flow is velocity multiplied by area. Use the correct form and note the defect if the calculation is ever audited against the page.</w:t>
      </w:r>
    </w:p>
    <w:p>
      <w:pPr>
        <w:spacing w:after="200"/>
      </w:pPr>
      <w:r>
        <w:rPr>
          <w:b w:val="0"/>
          <w:i/>
          <w:color w:val="5A5A5A"/>
          <w:sz w:val="18"/>
        </w:rPr>
        <w:t>Source: G203 §4.2.1 p24 and §4.2.4 p25.</w:t>
      </w:r>
    </w:p>
    <w:p>
      <w:pPr>
        <w:pStyle w:val="Heading2"/>
      </w:pPr>
      <w:r>
        <w:t>9.3   Velocity and depth of flow</w:t>
      </w:r>
    </w:p>
    <w:p>
      <w:pPr>
        <w:spacing w:before="160" w:after="60"/>
      </w:pPr>
      <w:r>
        <w:rPr>
          <w:b/>
          <w:color w:val="2E629E"/>
          <w:sz w:val="18"/>
        </w:rPr>
        <w:t>Table 4   Velocity and flow-depth criteria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1F3B63"/>
          </w:tcPr>
          <w:p>
            <w:pPr>
              <w:spacing w:after="40"/>
            </w:pPr>
            <w:r/>
            <w:r>
              <w:rPr>
                <w:b/>
                <w:color w:val="FFFFFF"/>
                <w:sz w:val="18"/>
              </w:rPr>
              <w:t>Criterion</w:t>
            </w:r>
          </w:p>
        </w:tc>
        <w:tc>
          <w:tcPr>
            <w:tcW w:type="dxa" w:w="2041"/>
            <w:shd w:val="clear" w:color="auto" w:fill="1F3B63"/>
          </w:tcPr>
          <w:p>
            <w:pPr>
              <w:spacing w:after="40"/>
            </w:pPr>
            <w:r/>
            <w:r>
              <w:rPr>
                <w:b/>
                <w:color w:val="FFFFFF"/>
                <w:sz w:val="18"/>
              </w:rPr>
              <w:t>Value</w:t>
            </w:r>
          </w:p>
        </w:tc>
        <w:tc>
          <w:tcPr>
            <w:tcW w:type="dxa" w:w="2381"/>
            <w:shd w:val="clear" w:color="auto" w:fill="1F3B63"/>
          </w:tcPr>
          <w:p>
            <w:pPr>
              <w:spacing w:after="40"/>
            </w:pPr>
            <w:r/>
            <w:r>
              <w:rPr>
                <w:b/>
                <w:color w:val="FFFFFF"/>
                <w:sz w:val="18"/>
              </w:rPr>
              <w:t>Condition</w:t>
            </w:r>
          </w:p>
        </w:tc>
        <w:tc>
          <w:tcPr>
            <w:tcW w:type="dxa" w:w="2098"/>
            <w:shd w:val="clear" w:color="auto" w:fill="1F3B63"/>
          </w:tcPr>
          <w:p>
            <w:pPr>
              <w:spacing w:after="40"/>
            </w:pPr>
            <w:r/>
            <w:r>
              <w:rPr>
                <w:b/>
                <w:color w:val="FFFFFF"/>
                <w:sz w:val="18"/>
              </w:rPr>
              <w:t>Force</w:t>
            </w:r>
          </w:p>
        </w:tc>
      </w:tr>
      <w:tr>
        <w:tc>
          <w:tcPr>
            <w:tcW w:type="dxa" w:w="2835"/>
          </w:tcPr>
          <w:p>
            <w:pPr>
              <w:spacing w:after="40"/>
            </w:pPr>
            <w:r/>
            <w:r>
              <w:rPr>
                <w:b w:val="0"/>
                <w:sz w:val="18"/>
              </w:rPr>
              <w:t>Self-cleansing velocity</w:t>
            </w:r>
          </w:p>
        </w:tc>
        <w:tc>
          <w:tcPr>
            <w:tcW w:type="dxa" w:w="2041"/>
          </w:tcPr>
          <w:p>
            <w:pPr>
              <w:spacing w:after="40"/>
            </w:pPr>
            <w:r/>
            <w:r>
              <w:rPr>
                <w:b w:val="0"/>
                <w:sz w:val="18"/>
              </w:rPr>
              <w:t>above 0.75 m/s</w:t>
            </w:r>
          </w:p>
        </w:tc>
        <w:tc>
          <w:tcPr>
            <w:tcW w:type="dxa" w:w="2381"/>
          </w:tcPr>
          <w:p>
            <w:pPr>
              <w:spacing w:after="40"/>
            </w:pPr>
            <w:r/>
            <w:r>
              <w:rPr>
                <w:b w:val="0"/>
                <w:sz w:val="18"/>
              </w:rPr>
              <w:t>at peak flow</w:t>
            </w:r>
          </w:p>
        </w:tc>
        <w:tc>
          <w:tcPr>
            <w:tcW w:type="dxa" w:w="2098"/>
          </w:tcPr>
          <w:p>
            <w:pPr>
              <w:spacing w:after="40"/>
            </w:pPr>
            <w:r/>
            <w:r>
              <w:rPr>
                <w:b w:val="0"/>
                <w:sz w:val="18"/>
              </w:rPr>
              <w:t>mandatory</w:t>
            </w:r>
          </w:p>
        </w:tc>
      </w:tr>
      <w:tr>
        <w:tc>
          <w:tcPr>
            <w:tcW w:type="dxa" w:w="2835"/>
          </w:tcPr>
          <w:p>
            <w:pPr>
              <w:spacing w:after="40"/>
            </w:pPr>
            <w:r/>
            <w:r>
              <w:rPr>
                <w:b w:val="0"/>
                <w:sz w:val="18"/>
              </w:rPr>
              <w:t>Preferred velocity</w:t>
            </w:r>
          </w:p>
        </w:tc>
        <w:tc>
          <w:tcPr>
            <w:tcW w:type="dxa" w:w="2041"/>
          </w:tcPr>
          <w:p>
            <w:pPr>
              <w:spacing w:after="40"/>
            </w:pPr>
            <w:r/>
            <w:r>
              <w:rPr>
                <w:b w:val="0"/>
                <w:sz w:val="18"/>
              </w:rPr>
              <w:t>0.90 m/s</w:t>
            </w:r>
          </w:p>
        </w:tc>
        <w:tc>
          <w:tcPr>
            <w:tcW w:type="dxa" w:w="2381"/>
          </w:tcPr>
          <w:p>
            <w:pPr>
              <w:spacing w:after="40"/>
            </w:pPr>
            <w:r/>
            <w:r>
              <w:rPr>
                <w:b w:val="0"/>
                <w:sz w:val="18"/>
              </w:rPr>
              <w:t>at peak flow</w:t>
            </w:r>
          </w:p>
        </w:tc>
        <w:tc>
          <w:tcPr>
            <w:tcW w:type="dxa" w:w="2098"/>
          </w:tcPr>
          <w:p>
            <w:pPr>
              <w:spacing w:after="40"/>
            </w:pPr>
            <w:r/>
            <w:r>
              <w:rPr>
                <w:b w:val="0"/>
                <w:sz w:val="18"/>
              </w:rPr>
              <w:t>advisory</w:t>
            </w:r>
          </w:p>
        </w:tc>
      </w:tr>
      <w:tr>
        <w:tc>
          <w:tcPr>
            <w:tcW w:type="dxa" w:w="2835"/>
          </w:tcPr>
          <w:p>
            <w:pPr>
              <w:spacing w:after="40"/>
            </w:pPr>
            <w:r/>
            <w:r>
              <w:rPr>
                <w:b w:val="0"/>
                <w:sz w:val="18"/>
              </w:rPr>
              <w:t>Maximum velocity</w:t>
            </w:r>
          </w:p>
        </w:tc>
        <w:tc>
          <w:tcPr>
            <w:tcW w:type="dxa" w:w="2041"/>
          </w:tcPr>
          <w:p>
            <w:pPr>
              <w:spacing w:after="40"/>
            </w:pPr>
            <w:r/>
            <w:r>
              <w:rPr>
                <w:b w:val="0"/>
                <w:sz w:val="18"/>
              </w:rPr>
              <w:t>3 m/s</w:t>
            </w:r>
          </w:p>
        </w:tc>
        <w:tc>
          <w:tcPr>
            <w:tcW w:type="dxa" w:w="2381"/>
          </w:tcPr>
          <w:p>
            <w:pPr>
              <w:spacing w:after="40"/>
            </w:pPr>
            <w:r/>
            <w:r>
              <w:rPr>
                <w:b w:val="0"/>
                <w:sz w:val="18"/>
              </w:rPr>
              <w:t>at design depth</w:t>
            </w:r>
          </w:p>
        </w:tc>
        <w:tc>
          <w:tcPr>
            <w:tcW w:type="dxa" w:w="2098"/>
          </w:tcPr>
          <w:p>
            <w:pPr>
              <w:spacing w:after="40"/>
            </w:pPr>
            <w:r/>
            <w:r>
              <w:rPr>
                <w:b w:val="0"/>
                <w:sz w:val="18"/>
              </w:rPr>
              <w:t>mandatory</w:t>
            </w:r>
          </w:p>
        </w:tc>
      </w:tr>
      <w:tr>
        <w:tc>
          <w:tcPr>
            <w:tcW w:type="dxa" w:w="2835"/>
          </w:tcPr>
          <w:p>
            <w:pPr>
              <w:spacing w:after="40"/>
            </w:pPr>
            <w:r/>
            <w:r>
              <w:rPr>
                <w:b w:val="0"/>
                <w:sz w:val="18"/>
              </w:rPr>
              <w:t>Flow depth, up to 350 mm</w:t>
            </w:r>
          </w:p>
        </w:tc>
        <w:tc>
          <w:tcPr>
            <w:tcW w:type="dxa" w:w="2041"/>
          </w:tcPr>
          <w:p>
            <w:pPr>
              <w:spacing w:after="40"/>
            </w:pPr>
            <w:r/>
            <w:r>
              <w:rPr>
                <w:b w:val="0"/>
                <w:sz w:val="18"/>
              </w:rPr>
              <w:t>d/D = 0.65</w:t>
            </w:r>
          </w:p>
        </w:tc>
        <w:tc>
          <w:tcPr>
            <w:tcW w:type="dxa" w:w="2381"/>
          </w:tcPr>
          <w:p>
            <w:pPr>
              <w:spacing w:after="40"/>
            </w:pPr>
            <w:r/>
            <w:r>
              <w:rPr>
                <w:b w:val="0"/>
                <w:sz w:val="18"/>
              </w:rPr>
              <w:t>at peak flow</w:t>
            </w:r>
          </w:p>
        </w:tc>
        <w:tc>
          <w:tcPr>
            <w:tcW w:type="dxa" w:w="2098"/>
          </w:tcPr>
          <w:p>
            <w:pPr>
              <w:spacing w:after="40"/>
            </w:pPr>
            <w:r/>
            <w:r>
              <w:rPr>
                <w:b w:val="0"/>
                <w:sz w:val="18"/>
              </w:rPr>
              <w:t>recommended</w:t>
            </w:r>
          </w:p>
        </w:tc>
      </w:tr>
      <w:tr>
        <w:tc>
          <w:tcPr>
            <w:tcW w:type="dxa" w:w="2835"/>
          </w:tcPr>
          <w:p>
            <w:pPr>
              <w:spacing w:after="40"/>
            </w:pPr>
            <w:r/>
            <w:r>
              <w:rPr>
                <w:b w:val="0"/>
                <w:sz w:val="18"/>
              </w:rPr>
              <w:t>Flow depth, above 350 mm</w:t>
            </w:r>
          </w:p>
        </w:tc>
        <w:tc>
          <w:tcPr>
            <w:tcW w:type="dxa" w:w="2041"/>
          </w:tcPr>
          <w:p>
            <w:pPr>
              <w:spacing w:after="40"/>
            </w:pPr>
            <w:r/>
            <w:r>
              <w:rPr>
                <w:b w:val="0"/>
                <w:sz w:val="18"/>
              </w:rPr>
              <w:t>d/D = 0.50</w:t>
            </w:r>
          </w:p>
        </w:tc>
        <w:tc>
          <w:tcPr>
            <w:tcW w:type="dxa" w:w="2381"/>
          </w:tcPr>
          <w:p>
            <w:pPr>
              <w:spacing w:after="40"/>
            </w:pPr>
            <w:r/>
            <w:r>
              <w:rPr>
                <w:b w:val="0"/>
                <w:sz w:val="18"/>
              </w:rPr>
              <w:t>at peak flow</w:t>
            </w:r>
          </w:p>
        </w:tc>
        <w:tc>
          <w:tcPr>
            <w:tcW w:type="dxa" w:w="2098"/>
          </w:tcPr>
          <w:p>
            <w:pPr>
              <w:spacing w:after="40"/>
            </w:pPr>
            <w:r/>
            <w:r>
              <w:rPr>
                <w:b w:val="0"/>
                <w:sz w:val="18"/>
              </w:rPr>
              <w:t>recommended</w:t>
            </w:r>
          </w:p>
        </w:tc>
      </w:tr>
    </w:tbl>
    <w:p/>
    <w:p>
      <w:r>
        <w:rPr>
          <w:b w:val="0"/>
          <w:i w:val="0"/>
        </w:rPr>
        <w:t>Two checks are required together, not as alternatives: the self-cleansing velocity, and the minimum tractive force. Where they disagree, the steeper gradient governs. At the head of a system, where the velocity cannot be reached at all, the tractive force method is the one that decides the gradient.</w:t>
      </w:r>
    </w:p>
    <w:p>
      <w:pPr>
        <w:pStyle w:val="Heading2"/>
      </w:pPr>
      <w:r>
        <w:t>9.4   Tractive force</w:t>
      </w:r>
    </w:p>
    <w:p>
      <w:pPr>
        <w:tabs>
          <w:tab w:val="center" w:pos="4320"/>
          <w:tab w:val="right" w:pos="8640"/>
        </w:tabs>
        <w:spacing w:before="120" w:after="120"/>
      </w:pPr>
      <w:r>
        <w:tab/>
      </w:r>
      <m:oMath>
        <m:r>
          <w:rPr>
            <w:rFonts w:ascii="Cambria Math" w:hAnsi="Cambria Math"/>
          </w:rPr>
          <m:t xml:space="preserve">τ</m:t>
        </m:r>
        <m:r>
          <w:rPr>
            <w:rFonts w:ascii="Cambria Math" w:hAnsi="Cambria Math"/>
          </w:rPr>
          <m:t xml:space="preserve"> = </m:t>
        </m:r>
        <m:f>
          <m:num>
            <m:r>
              <w:rPr>
                <w:rFonts w:ascii="Cambria Math" w:hAnsi="Cambria Math"/>
              </w:rPr>
              <m:t xml:space="preserve">W</m:t>
            </m:r>
            <m:r>
              <w:rPr>
                <w:rFonts w:ascii="Cambria Math" w:hAnsi="Cambria Math"/>
              </w:rPr>
              <m:t xml:space="preserve"> </m:t>
            </m:r>
            <m:func>
              <m:fName>
                <m:r>
                  <m:rPr>
                    <m:sty m:val="p"/>
                  </m:rPr>
                  <w:rPr>
                    <w:rFonts w:ascii="Cambria Math" w:hAnsi="Cambria Math"/>
                  </w:rPr>
                  <m:t xml:space="preserve">sin</m:t>
                </m:r>
              </m:fName>
              <m:e>
                <m:r>
                  <w:rPr>
                    <w:rFonts w:ascii="Cambria Math" w:hAnsi="Cambria Math"/>
                  </w:rPr>
                  <m:t xml:space="preserve">θ</m:t>
                </m:r>
              </m:e>
            </m:func>
          </m:num>
          <m:den>
            <m:r>
              <w:rPr>
                <w:rFonts w:ascii="Cambria Math" w:hAnsi="Cambria Math"/>
              </w:rPr>
              <m:t xml:space="preserve">p</m:t>
            </m:r>
            <m:r>
              <w:rPr>
                <w:rFonts w:ascii="Cambria Math" w:hAnsi="Cambria Math"/>
              </w:rPr>
              <m:t xml:space="preserve"> </m:t>
            </m:r>
            <m:r>
              <w:rPr>
                <w:rFonts w:ascii="Cambria Math" w:hAnsi="Cambria Math"/>
              </w:rPr>
              <m:t xml:space="preserve">L</m:t>
            </m:r>
          </m:den>
        </m:f>
      </m:oMath>
      <w:r>
        <w:tab/>
        <w:t>(19)</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τ</w:t>
            </w:r>
          </w:p>
        </w:tc>
        <w:tc>
          <w:tcPr>
            <w:tcW w:type="dxa" w:w="5896"/>
          </w:tcPr>
          <w:p>
            <w:pPr>
              <w:spacing w:after="40"/>
            </w:pPr>
            <w:r/>
            <w:r>
              <w:rPr>
                <w:b w:val="0"/>
                <w:sz w:val="18"/>
              </w:rPr>
              <w:t>tractive tension, or boundary shear stress</w:t>
            </w:r>
          </w:p>
        </w:tc>
        <w:tc>
          <w:tcPr>
            <w:tcW w:type="dxa" w:w="1984"/>
          </w:tcPr>
          <w:p>
            <w:pPr>
              <w:spacing w:after="40"/>
            </w:pPr>
            <w:r/>
            <w:r>
              <w:rPr>
                <w:b w:val="0"/>
                <w:sz w:val="18"/>
              </w:rPr>
              <w:t>Pa</w:t>
            </w:r>
          </w:p>
        </w:tc>
      </w:tr>
      <w:tr>
        <w:tc>
          <w:tcPr>
            <w:tcW w:type="dxa" w:w="1474"/>
          </w:tcPr>
          <w:p>
            <w:pPr>
              <w:spacing w:after="40"/>
            </w:pPr>
            <w:r/>
            <w:r>
              <w:rPr>
                <w:b w:val="0"/>
                <w:sz w:val="18"/>
              </w:rPr>
              <w:t>W</w:t>
            </w:r>
          </w:p>
        </w:tc>
        <w:tc>
          <w:tcPr>
            <w:tcW w:type="dxa" w:w="5896"/>
          </w:tcPr>
          <w:p>
            <w:pPr>
              <w:spacing w:after="40"/>
            </w:pPr>
            <w:r/>
            <w:r>
              <w:rPr>
                <w:b w:val="0"/>
                <w:sz w:val="18"/>
              </w:rPr>
              <w:t>weight of fluid</w:t>
            </w:r>
          </w:p>
        </w:tc>
        <w:tc>
          <w:tcPr>
            <w:tcW w:type="dxa" w:w="1984"/>
          </w:tcPr>
          <w:p>
            <w:pPr>
              <w:spacing w:after="40"/>
            </w:pPr>
            <w:r/>
            <w:r>
              <w:rPr>
                <w:b w:val="0"/>
                <w:sz w:val="18"/>
              </w:rPr>
              <w:t>N</w:t>
            </w:r>
          </w:p>
        </w:tc>
      </w:tr>
      <w:tr>
        <w:tc>
          <w:tcPr>
            <w:tcW w:type="dxa" w:w="1474"/>
          </w:tcPr>
          <w:p>
            <w:pPr>
              <w:spacing w:after="40"/>
            </w:pPr>
            <w:r/>
            <w:r>
              <w:rPr>
                <w:b w:val="0"/>
                <w:sz w:val="18"/>
              </w:rPr>
              <w:t>θ</w:t>
            </w:r>
          </w:p>
        </w:tc>
        <w:tc>
          <w:tcPr>
            <w:tcW w:type="dxa" w:w="5896"/>
          </w:tcPr>
          <w:p>
            <w:pPr>
              <w:spacing w:after="40"/>
            </w:pPr>
            <w:r/>
            <w:r>
              <w:rPr>
                <w:b w:val="0"/>
                <w:sz w:val="18"/>
              </w:rPr>
              <w:t>angle of the pipe to the horizontal</w:t>
            </w:r>
          </w:p>
        </w:tc>
        <w:tc>
          <w:tcPr>
            <w:tcW w:type="dxa" w:w="1984"/>
          </w:tcPr>
          <w:p>
            <w:pPr>
              <w:spacing w:after="40"/>
            </w:pPr>
            <w:r/>
            <w:r>
              <w:rPr>
                <w:b w:val="0"/>
                <w:sz w:val="18"/>
              </w:rPr>
              <w:t>degrees</w:t>
            </w:r>
          </w:p>
        </w:tc>
      </w:tr>
      <w:tr>
        <w:tc>
          <w:tcPr>
            <w:tcW w:type="dxa" w:w="1474"/>
          </w:tcPr>
          <w:p>
            <w:pPr>
              <w:spacing w:after="40"/>
            </w:pPr>
            <w:r/>
            <w:r>
              <w:rPr>
                <w:b w:val="0"/>
                <w:sz w:val="18"/>
              </w:rPr>
              <w:t>p</w:t>
            </w:r>
          </w:p>
        </w:tc>
        <w:tc>
          <w:tcPr>
            <w:tcW w:type="dxa" w:w="5896"/>
          </w:tcPr>
          <w:p>
            <w:pPr>
              <w:spacing w:after="40"/>
            </w:pPr>
            <w:r/>
            <w:r>
              <w:rPr>
                <w:b w:val="0"/>
                <w:sz w:val="18"/>
              </w:rPr>
              <w:t>wetted perimeter</w:t>
            </w:r>
          </w:p>
        </w:tc>
        <w:tc>
          <w:tcPr>
            <w:tcW w:type="dxa" w:w="1984"/>
          </w:tcPr>
          <w:p>
            <w:pPr>
              <w:spacing w:after="40"/>
            </w:pPr>
            <w:r/>
            <w:r>
              <w:rPr>
                <w:b w:val="0"/>
                <w:sz w:val="18"/>
              </w:rPr>
              <w:t>m</w:t>
            </w:r>
          </w:p>
        </w:tc>
      </w:tr>
      <w:tr>
        <w:tc>
          <w:tcPr>
            <w:tcW w:type="dxa" w:w="1474"/>
          </w:tcPr>
          <w:p>
            <w:pPr>
              <w:spacing w:after="40"/>
            </w:pPr>
            <w:r/>
            <w:r>
              <w:rPr>
                <w:b w:val="0"/>
                <w:sz w:val="18"/>
              </w:rPr>
              <w:t>L</w:t>
            </w:r>
          </w:p>
        </w:tc>
        <w:tc>
          <w:tcPr>
            <w:tcW w:type="dxa" w:w="5896"/>
          </w:tcPr>
          <w:p>
            <w:pPr>
              <w:spacing w:after="40"/>
            </w:pPr>
            <w:r/>
            <w:r>
              <w:rPr>
                <w:b w:val="0"/>
                <w:sz w:val="18"/>
              </w:rPr>
              <w:t>length of pipe</w:t>
            </w:r>
          </w:p>
        </w:tc>
        <w:tc>
          <w:tcPr>
            <w:tcW w:type="dxa" w:w="1984"/>
          </w:tcPr>
          <w:p>
            <w:pPr>
              <w:spacing w:after="40"/>
            </w:pPr>
            <w:r/>
            <w:r>
              <w:rPr>
                <w:b w:val="0"/>
                <w:sz w:val="18"/>
              </w:rPr>
              <w:t>m</w:t>
            </w:r>
          </w:p>
        </w:tc>
      </w:tr>
    </w:tbl>
    <w:p>
      <w:pPr>
        <w:tabs>
          <w:tab w:val="center" w:pos="4320"/>
          <w:tab w:val="right" w:pos="8640"/>
        </w:tabs>
        <w:spacing w:before="120" w:after="120"/>
      </w:pPr>
      <w:r>
        <w:tab/>
      </w:r>
      <m:oMath>
        <m:sSub>
          <m:e>
            <m:r>
              <w:rPr>
                <w:rFonts w:ascii="Cambria Math" w:hAnsi="Cambria Math"/>
              </w:rPr>
              <m:t xml:space="preserve">S</m:t>
            </m:r>
          </m:e>
          <m:sub>
            <m:r>
              <m:rPr>
                <m:sty m:val="p"/>
              </m:rPr>
              <w:rPr>
                <w:rFonts w:ascii="Cambria Math" w:hAnsi="Cambria Math"/>
              </w:rPr>
              <m:t xml:space="preserve">min</m:t>
            </m:r>
          </m:sub>
        </m:sSub>
        <m:r>
          <w:rPr>
            <w:rFonts w:ascii="Cambria Math" w:hAnsi="Cambria Math"/>
          </w:rPr>
          <m:t xml:space="preserve"> = </m:t>
        </m:r>
        <m:r>
          <w:rPr>
            <w:rFonts w:ascii="Cambria Math" w:hAnsi="Cambria Math"/>
          </w:rPr>
          <m:t xml:space="preserve">K</m:t>
        </m:r>
        <m:sSup>
          <m:e>
            <m:r>
              <w:rPr>
                <w:rFonts w:ascii="Cambria Math" w:hAnsi="Cambria Math"/>
              </w:rPr>
              <m:t xml:space="preserve">τ</m:t>
            </m:r>
          </m:e>
          <m:sup>
            <m:r>
              <w:rPr>
                <w:rFonts w:ascii="Cambria Math" w:hAnsi="Cambria Math"/>
              </w:rPr>
              <m:t xml:space="preserve">1.23</m:t>
            </m:r>
          </m:sup>
        </m:sSup>
        <m:sSup>
          <m:e>
            <m:r>
              <w:rPr>
                <w:rFonts w:ascii="Cambria Math" w:hAnsi="Cambria Math"/>
              </w:rPr>
              <m:t xml:space="preserve">Q</m:t>
            </m:r>
          </m:e>
          <m:sup>
            <m:r>
              <w:rPr>
                <w:rFonts w:ascii="Cambria Math" w:hAnsi="Cambria Math"/>
              </w:rPr>
              <m:t xml:space="preserve">−0.461</m:t>
            </m:r>
          </m:sup>
        </m:sSup>
      </m:oMath>
      <w:r>
        <w:tab/>
        <w:t>(20)</w:t>
      </w:r>
    </w:p>
    <w:p>
      <w:r>
        <w:rPr>
          <w:b w:val="0"/>
          <w:i w:val="0"/>
        </w:rPr>
        <w:t>The coefficient depends on the units of flow: 2.33 × 10⁻⁴ where flow is in cubic metres per second, or 5.5 × 10⁻³ where it is in litres per second. The relation assumes a flow depth of 0.2 and a Manning roughness of 0.013 — the latter inconsistent with the roughness table for the plastic pipes actually specified.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This mandatory method cannot be completed from NWS documents.  </w:t>
      </w:r>
      <w:r>
        <w:rPr>
          <w:sz w:val="20"/>
        </w:rPr>
        <w:t>The guideline requires the tractive force check, gives the equation, and never states the required value of shear stress in pascals — not in the wastewater guideline's 201 pages, nor in the general guideline's 152. A value must be taken from the literature and agreed with NWS in writing. It must not be presented as though it came from the guideline.</w:t>
      </w:r>
    </w:p>
    <w:p>
      <w:r>
        <w:rPr>
          <w:b w:val="0"/>
          <w:i w:val="0"/>
        </w:rPr>
        <w:t>Both equations above exist in the source only as images. They cannot be found by searching the text of the PDF, which is worth knowing for anyone checking them.</w:t>
      </w:r>
    </w:p>
    <w:p>
      <w:pPr>
        <w:spacing w:after="200"/>
      </w:pPr>
      <w:r>
        <w:rPr>
          <w:b w:val="0"/>
          <w:i/>
          <w:color w:val="5A5A5A"/>
          <w:sz w:val="18"/>
        </w:rPr>
        <w:t>Source: G203 §4.2.2.1 p26-27.</w:t>
      </w:r>
    </w:p>
    <w:p>
      <w:pPr>
        <w:pStyle w:val="Heading2"/>
      </w:pPr>
      <w:r>
        <w:t>9.5   Minimum gradients</w:t>
      </w:r>
    </w:p>
    <w:p>
      <w:r>
        <w:rPr>
          <w:b w:val="0"/>
          <w:i w:val="0"/>
        </w:rPr>
        <w:t>The guideline tabulates a minimum gradient against diameter, derived from Colebrook-White at a self-cleansing velocity of 0.75 m/s.</w:t>
      </w:r>
    </w:p>
    <w:p>
      <w:pPr>
        <w:spacing w:before="160" w:after="60"/>
      </w:pPr>
      <w:r>
        <w:rPr>
          <w:b/>
          <w:color w:val="2E629E"/>
          <w:sz w:val="18"/>
        </w:rPr>
        <w:t>Table 5   Minimum sewer gradient by diameter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24"/>
            <w:shd w:val="clear" w:color="auto" w:fill="1F3B63"/>
          </w:tcPr>
          <w:p>
            <w:pPr>
              <w:spacing w:after="40"/>
            </w:pPr>
            <w:r/>
            <w:r>
              <w:rPr>
                <w:b/>
                <w:color w:val="FFFFFF"/>
                <w:sz w:val="18"/>
              </w:rPr>
              <w:t>Diameter (mm)</w:t>
            </w:r>
          </w:p>
        </w:tc>
        <w:tc>
          <w:tcPr>
            <w:tcW w:type="dxa" w:w="2381"/>
            <w:shd w:val="clear" w:color="auto" w:fill="1F3B63"/>
          </w:tcPr>
          <w:p>
            <w:pPr>
              <w:spacing w:after="40"/>
            </w:pPr>
            <w:r/>
            <w:r>
              <w:rPr>
                <w:b/>
                <w:color w:val="FFFFFF"/>
                <w:sz w:val="18"/>
              </w:rPr>
              <w:t>Minimum gradient (mm/m)</w:t>
            </w:r>
          </w:p>
        </w:tc>
        <w:tc>
          <w:tcPr>
            <w:tcW w:type="dxa" w:w="2324"/>
            <w:shd w:val="clear" w:color="auto" w:fill="1F3B63"/>
          </w:tcPr>
          <w:p>
            <w:pPr>
              <w:spacing w:after="40"/>
            </w:pPr>
            <w:r/>
            <w:r>
              <w:rPr>
                <w:b/>
                <w:color w:val="FFFFFF"/>
                <w:sz w:val="18"/>
              </w:rPr>
              <w:t>Diameter (mm)</w:t>
            </w:r>
          </w:p>
        </w:tc>
        <w:tc>
          <w:tcPr>
            <w:tcW w:type="dxa" w:w="2381"/>
            <w:shd w:val="clear" w:color="auto" w:fill="1F3B63"/>
          </w:tcPr>
          <w:p>
            <w:pPr>
              <w:spacing w:after="40"/>
            </w:pPr>
            <w:r/>
            <w:r>
              <w:rPr>
                <w:b/>
                <w:color w:val="FFFFFF"/>
                <w:sz w:val="18"/>
              </w:rPr>
              <w:t>Minimum gradient (mm/m)</w:t>
            </w:r>
          </w:p>
        </w:tc>
      </w:tr>
      <w:tr>
        <w:tc>
          <w:tcPr>
            <w:tcW w:type="dxa" w:w="2324"/>
          </w:tcPr>
          <w:p>
            <w:pPr>
              <w:spacing w:after="40"/>
            </w:pPr>
            <w:r/>
            <w:r>
              <w:rPr>
                <w:b w:val="0"/>
                <w:sz w:val="18"/>
              </w:rPr>
              <w:t>200</w:t>
            </w:r>
          </w:p>
        </w:tc>
        <w:tc>
          <w:tcPr>
            <w:tcW w:type="dxa" w:w="2381"/>
          </w:tcPr>
          <w:p>
            <w:pPr>
              <w:spacing w:after="40"/>
            </w:pPr>
            <w:r/>
            <w:r>
              <w:rPr>
                <w:b w:val="0"/>
                <w:sz w:val="18"/>
              </w:rPr>
              <w:t>5.00</w:t>
            </w:r>
          </w:p>
        </w:tc>
        <w:tc>
          <w:tcPr>
            <w:tcW w:type="dxa" w:w="2324"/>
          </w:tcPr>
          <w:p>
            <w:pPr>
              <w:spacing w:after="40"/>
            </w:pPr>
            <w:r/>
            <w:r>
              <w:rPr>
                <w:b w:val="0"/>
                <w:sz w:val="18"/>
              </w:rPr>
              <w:t>600</w:t>
            </w:r>
          </w:p>
        </w:tc>
        <w:tc>
          <w:tcPr>
            <w:tcW w:type="dxa" w:w="2381"/>
          </w:tcPr>
          <w:p>
            <w:pPr>
              <w:spacing w:after="40"/>
            </w:pPr>
            <w:r/>
            <w:r>
              <w:rPr>
                <w:b w:val="0"/>
                <w:sz w:val="18"/>
              </w:rPr>
              <w:t>1.25</w:t>
            </w:r>
          </w:p>
        </w:tc>
      </w:tr>
      <w:tr>
        <w:tc>
          <w:tcPr>
            <w:tcW w:type="dxa" w:w="2324"/>
          </w:tcPr>
          <w:p>
            <w:pPr>
              <w:spacing w:after="40"/>
            </w:pPr>
            <w:r/>
            <w:r>
              <w:rPr>
                <w:b w:val="0"/>
                <w:sz w:val="18"/>
              </w:rPr>
              <w:t>250</w:t>
            </w:r>
          </w:p>
        </w:tc>
        <w:tc>
          <w:tcPr>
            <w:tcW w:type="dxa" w:w="2381"/>
          </w:tcPr>
          <w:p>
            <w:pPr>
              <w:spacing w:after="40"/>
            </w:pPr>
            <w:r/>
            <w:r>
              <w:rPr>
                <w:b w:val="0"/>
                <w:sz w:val="18"/>
              </w:rPr>
              <w:t>3.75</w:t>
            </w:r>
          </w:p>
        </w:tc>
        <w:tc>
          <w:tcPr>
            <w:tcW w:type="dxa" w:w="2324"/>
          </w:tcPr>
          <w:p>
            <w:pPr>
              <w:spacing w:after="40"/>
            </w:pPr>
            <w:r/>
            <w:r>
              <w:rPr>
                <w:b w:val="0"/>
                <w:sz w:val="18"/>
              </w:rPr>
              <w:t>700</w:t>
            </w:r>
          </w:p>
        </w:tc>
        <w:tc>
          <w:tcPr>
            <w:tcW w:type="dxa" w:w="2381"/>
          </w:tcPr>
          <w:p>
            <w:pPr>
              <w:spacing w:after="40"/>
            </w:pPr>
            <w:r/>
            <w:r>
              <w:rPr>
                <w:b w:val="0"/>
                <w:sz w:val="18"/>
              </w:rPr>
              <w:t>1.00</w:t>
            </w:r>
          </w:p>
        </w:tc>
      </w:tr>
      <w:tr>
        <w:tc>
          <w:tcPr>
            <w:tcW w:type="dxa" w:w="2324"/>
          </w:tcPr>
          <w:p>
            <w:pPr>
              <w:spacing w:after="40"/>
            </w:pPr>
            <w:r/>
            <w:r>
              <w:rPr>
                <w:b w:val="0"/>
                <w:sz w:val="18"/>
              </w:rPr>
              <w:t>315</w:t>
            </w:r>
          </w:p>
        </w:tc>
        <w:tc>
          <w:tcPr>
            <w:tcW w:type="dxa" w:w="2381"/>
          </w:tcPr>
          <w:p>
            <w:pPr>
              <w:spacing w:after="40"/>
            </w:pPr>
            <w:r/>
            <w:r>
              <w:rPr>
                <w:b w:val="0"/>
                <w:sz w:val="18"/>
              </w:rPr>
              <w:t>2.70</w:t>
            </w:r>
          </w:p>
        </w:tc>
        <w:tc>
          <w:tcPr>
            <w:tcW w:type="dxa" w:w="2324"/>
          </w:tcPr>
          <w:p>
            <w:pPr>
              <w:spacing w:after="40"/>
            </w:pPr>
            <w:r/>
            <w:r>
              <w:rPr>
                <w:b w:val="0"/>
                <w:sz w:val="18"/>
              </w:rPr>
              <w:t>800</w:t>
            </w:r>
          </w:p>
        </w:tc>
        <w:tc>
          <w:tcPr>
            <w:tcW w:type="dxa" w:w="2381"/>
          </w:tcPr>
          <w:p>
            <w:pPr>
              <w:spacing w:after="40"/>
            </w:pPr>
            <w:r/>
            <w:r>
              <w:rPr>
                <w:b w:val="0"/>
                <w:sz w:val="18"/>
              </w:rPr>
              <w:t>0.85</w:t>
            </w:r>
          </w:p>
        </w:tc>
      </w:tr>
      <w:tr>
        <w:tc>
          <w:tcPr>
            <w:tcW w:type="dxa" w:w="2324"/>
          </w:tcPr>
          <w:p>
            <w:pPr>
              <w:spacing w:after="40"/>
            </w:pPr>
            <w:r/>
            <w:r>
              <w:rPr>
                <w:b w:val="0"/>
                <w:sz w:val="18"/>
              </w:rPr>
              <w:t>400</w:t>
            </w:r>
          </w:p>
        </w:tc>
        <w:tc>
          <w:tcPr>
            <w:tcW w:type="dxa" w:w="2381"/>
          </w:tcPr>
          <w:p>
            <w:pPr>
              <w:spacing w:after="40"/>
            </w:pPr>
            <w:r/>
            <w:r>
              <w:rPr>
                <w:b w:val="0"/>
                <w:sz w:val="18"/>
              </w:rPr>
              <w:t>2.05</w:t>
            </w:r>
          </w:p>
        </w:tc>
        <w:tc>
          <w:tcPr>
            <w:tcW w:type="dxa" w:w="2324"/>
          </w:tcPr>
          <w:p>
            <w:pPr>
              <w:spacing w:after="40"/>
            </w:pPr>
            <w:r/>
            <w:r>
              <w:rPr>
                <w:b w:val="0"/>
                <w:sz w:val="18"/>
              </w:rPr>
              <w:t>900 and above</w:t>
            </w:r>
          </w:p>
        </w:tc>
        <w:tc>
          <w:tcPr>
            <w:tcW w:type="dxa" w:w="2381"/>
          </w:tcPr>
          <w:p>
            <w:pPr>
              <w:spacing w:after="40"/>
            </w:pPr>
            <w:r/>
            <w:r>
              <w:rPr>
                <w:b w:val="0"/>
                <w:sz w:val="18"/>
              </w:rPr>
              <w:t>0.75</w:t>
            </w:r>
          </w:p>
        </w:tc>
      </w:tr>
      <w:tr>
        <w:tc>
          <w:tcPr>
            <w:tcW w:type="dxa" w:w="2324"/>
          </w:tcPr>
          <w:p>
            <w:pPr>
              <w:spacing w:after="40"/>
            </w:pPr>
            <w:r/>
            <w:r>
              <w:rPr>
                <w:b w:val="0"/>
                <w:sz w:val="18"/>
              </w:rPr>
              <w:t>500</w:t>
            </w:r>
          </w:p>
        </w:tc>
        <w:tc>
          <w:tcPr>
            <w:tcW w:type="dxa" w:w="2381"/>
          </w:tcPr>
          <w:p>
            <w:pPr>
              <w:spacing w:after="40"/>
            </w:pPr>
            <w:r/>
            <w:r>
              <w:rPr>
                <w:b w:val="0"/>
                <w:sz w:val="18"/>
              </w:rPr>
              <w:t>1.55</w:t>
            </w:r>
          </w:p>
        </w:tc>
        <w:tc>
          <w:tcPr>
            <w:tcW w:type="dxa" w:w="2324"/>
          </w:tcPr>
          <w:p>
            <w:pPr>
              <w:spacing w:after="40"/>
            </w:pPr>
            <w:r/>
          </w:p>
        </w:tc>
        <w:tc>
          <w:tcPr>
            <w:tcW w:type="dxa" w:w="2381"/>
          </w:tcPr>
          <w:p>
            <w:pPr>
              <w:spacing w:after="40"/>
            </w:pPr>
            <w:r/>
          </w:p>
        </w:tc>
      </w:tr>
    </w:tbl>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These gradients are full-bore values, and that matters.  </w:t>
      </w:r>
      <w:r>
        <w:rPr>
          <w:sz w:val="20"/>
        </w:rPr>
        <w:t>Reproducing all nine rows with Colebrook-White at the mandated roughness returns 0.75 m/s running full, to within two per cent. But the velocity requirement is stated at peak flow, not full bore. At the mandated flow depth of 0.65 a pipe reaches about 0.82 m/s and passes; at 0.50 it reaches exactly 0.75 and has no margin at all; at a depth of 0.20 it manages 0.46 m/s and fails. Laying to this table is therefore not by itself compliance, and in the opening years every pipe in the network sits below the threshold. That is what the maintenance washing schedule exists to cover.</w:t>
      </w:r>
    </w:p>
    <w:p>
      <w:pPr>
        <w:spacing w:after="200"/>
      </w:pPr>
      <w:r>
        <w:rPr>
          <w:b w:val="0"/>
          <w:i/>
          <w:color w:val="5A5A5A"/>
          <w:sz w:val="18"/>
        </w:rPr>
        <w:t>Source: G203 §4.3 p29; the part-full check is a project calculation.</w:t>
      </w:r>
    </w:p>
    <w:p>
      <w:pPr>
        <w:pStyle w:val="Heading2"/>
      </w:pPr>
      <w:r>
        <w:t>9.6   Cover, depth and manholes</w:t>
      </w:r>
    </w:p>
    <w:p>
      <w:r>
        <w:rPr>
          <w:b w:val="0"/>
          <w:i w:val="0"/>
        </w:rPr>
        <w:t>The minimum depth is 1.3 m to the crown of the pipe. Where that cannot be achieved, concrete protection is required and the minimum cover over pipe and protection together becomes 0.5 m.</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maximum depth rule is widely mis-stated.  </w:t>
      </w:r>
      <w:r>
        <w:rPr>
          <w:sz w:val="20"/>
        </w:rPr>
        <w:t>The guideline recommends a maximum cover of approximately 10 to 12 metres. It is a recommendation, not a limit; it refers to cover, not invert depth; and exceeding it is permitted, with the consequence being a mandatory consultation with pipe manufacturers. What obliges a pumping station is excavation cost becoming prohibitive, and no depth figure is attached to that clause.</w:t>
      </w:r>
    </w:p>
    <w:p>
      <w:pPr>
        <w:spacing w:before="160" w:after="60"/>
      </w:pPr>
      <w:r>
        <w:rPr>
          <w:b/>
          <w:color w:val="2E629E"/>
          <w:sz w:val="18"/>
        </w:rPr>
        <w:t>Table 6   Maximum spacing between manholes</w:t>
      </w:r>
    </w:p>
    <w:tbl>
      <w:tblPr>
        <w:tblStyle w:val="TableGrid"/>
        <w:tblW w:type="auto" w:w="0"/>
        <w:jc w:val="center"/>
        <w:tblLook w:firstColumn="1" w:firstRow="1" w:lastColumn="0" w:lastRow="0" w:noHBand="0" w:noVBand="1" w:val="04A0"/>
      </w:tblPr>
      <w:tblGrid>
        <w:gridCol w:w="4706"/>
        <w:gridCol w:w="4706"/>
      </w:tblGrid>
      <w:tr>
        <w:tc>
          <w:tcPr>
            <w:tcW w:type="dxa" w:w="4649"/>
            <w:shd w:val="clear" w:color="auto" w:fill="1F3B63"/>
          </w:tcPr>
          <w:p>
            <w:pPr>
              <w:spacing w:after="40"/>
            </w:pPr>
            <w:r/>
            <w:r>
              <w:rPr>
                <w:b/>
                <w:color w:val="FFFFFF"/>
                <w:sz w:val="19"/>
              </w:rPr>
              <w:t>Pipe diameter (mm)</w:t>
            </w:r>
          </w:p>
        </w:tc>
        <w:tc>
          <w:tcPr>
            <w:tcW w:type="dxa" w:w="4706"/>
            <w:shd w:val="clear" w:color="auto" w:fill="1F3B63"/>
          </w:tcPr>
          <w:p>
            <w:pPr>
              <w:spacing w:after="40"/>
            </w:pPr>
            <w:r/>
            <w:r>
              <w:rPr>
                <w:b/>
                <w:color w:val="FFFFFF"/>
                <w:sz w:val="19"/>
              </w:rPr>
              <w:t>Maximum spacing (m)</w:t>
            </w:r>
          </w:p>
        </w:tc>
      </w:tr>
      <w:tr>
        <w:tc>
          <w:tcPr>
            <w:tcW w:type="dxa" w:w="4649"/>
          </w:tcPr>
          <w:p>
            <w:pPr>
              <w:spacing w:after="40"/>
            </w:pPr>
            <w:r/>
            <w:r>
              <w:rPr>
                <w:b w:val="0"/>
                <w:sz w:val="19"/>
              </w:rPr>
              <w:t>200 to 315</w:t>
            </w:r>
          </w:p>
        </w:tc>
        <w:tc>
          <w:tcPr>
            <w:tcW w:type="dxa" w:w="4706"/>
          </w:tcPr>
          <w:p>
            <w:pPr>
              <w:spacing w:after="40"/>
            </w:pPr>
            <w:r/>
            <w:r>
              <w:rPr>
                <w:b w:val="0"/>
                <w:sz w:val="19"/>
              </w:rPr>
              <w:t>100</w:t>
            </w:r>
          </w:p>
        </w:tc>
      </w:tr>
      <w:tr>
        <w:tc>
          <w:tcPr>
            <w:tcW w:type="dxa" w:w="4649"/>
          </w:tcPr>
          <w:p>
            <w:pPr>
              <w:spacing w:after="40"/>
            </w:pPr>
            <w:r/>
            <w:r>
              <w:rPr>
                <w:b w:val="0"/>
                <w:sz w:val="19"/>
              </w:rPr>
              <w:t>350 to 900</w:t>
            </w:r>
          </w:p>
        </w:tc>
        <w:tc>
          <w:tcPr>
            <w:tcW w:type="dxa" w:w="4706"/>
          </w:tcPr>
          <w:p>
            <w:pPr>
              <w:spacing w:after="40"/>
            </w:pPr>
            <w:r/>
            <w:r>
              <w:rPr>
                <w:b w:val="0"/>
                <w:sz w:val="19"/>
              </w:rPr>
              <w:t>120</w:t>
            </w:r>
          </w:p>
        </w:tc>
      </w:tr>
      <w:tr>
        <w:tc>
          <w:tcPr>
            <w:tcW w:type="dxa" w:w="4649"/>
          </w:tcPr>
          <w:p>
            <w:pPr>
              <w:spacing w:after="40"/>
            </w:pPr>
            <w:r/>
            <w:r>
              <w:rPr>
                <w:b w:val="0"/>
                <w:sz w:val="19"/>
              </w:rPr>
              <w:t>1000 to 1400</w:t>
            </w:r>
          </w:p>
        </w:tc>
        <w:tc>
          <w:tcPr>
            <w:tcW w:type="dxa" w:w="4706"/>
          </w:tcPr>
          <w:p>
            <w:pPr>
              <w:spacing w:after="40"/>
            </w:pPr>
            <w:r/>
            <w:r>
              <w:rPr>
                <w:b w:val="0"/>
                <w:sz w:val="19"/>
              </w:rPr>
              <w:t>150</w:t>
            </w:r>
          </w:p>
        </w:tc>
      </w:tr>
      <w:tr>
        <w:tc>
          <w:tcPr>
            <w:tcW w:type="dxa" w:w="4649"/>
          </w:tcPr>
          <w:p>
            <w:pPr>
              <w:spacing w:after="40"/>
            </w:pPr>
            <w:r/>
            <w:r>
              <w:rPr>
                <w:b w:val="0"/>
                <w:sz w:val="19"/>
              </w:rPr>
              <w:t>above 1400</w:t>
            </w:r>
          </w:p>
        </w:tc>
        <w:tc>
          <w:tcPr>
            <w:tcW w:type="dxa" w:w="4706"/>
          </w:tcPr>
          <w:p>
            <w:pPr>
              <w:spacing w:after="40"/>
            </w:pPr>
            <w:r/>
            <w:r>
              <w:rPr>
                <w:b w:val="0"/>
                <w:sz w:val="19"/>
              </w:rPr>
              <w:t>200</w:t>
            </w:r>
          </w:p>
        </w:tc>
      </w:tr>
    </w:tbl>
    <w:p/>
    <w:p>
      <w:r>
        <w:rPr>
          <w:b w:val="0"/>
          <w:i w:val="0"/>
        </w:rPr>
        <w:t>Any departure from this spacing needs NWS approval in advance. Manholes are required at every change of gradient, every change of diameter, every junction and the end of each lateral. A backdrop is required where invert levels differ by more than 600 mm, and is to be built outside the manhole.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 inlet may meet the flow at less than 90 degrees.  </w:t>
      </w:r>
      <w:r>
        <w:rPr>
          <w:sz w:val="20"/>
        </w:rPr>
        <w:t>The rule is stated twice in mandatory voice. It is a common source of non-compliance in automated layouts, because a geometrically convenient junction is often a hydraulically bad one.</w:t>
      </w:r>
    </w:p>
    <w:p>
      <w:pPr>
        <w:spacing w:after="200"/>
      </w:pPr>
      <w:r>
        <w:rPr>
          <w:b w:val="0"/>
          <w:i/>
          <w:color w:val="5A5A5A"/>
          <w:sz w:val="18"/>
        </w:rPr>
        <w:t>Source: G203 §4.4 p29-30 and §4.6.3 p33.</w:t>
      </w:r>
    </w:p>
    <w:p>
      <w:pPr>
        <w:pStyle w:val="Heading2"/>
      </w:pPr>
      <w:r>
        <w:t>9.7   Lengths and materials</w:t>
      </w:r>
    </w:p>
    <w:p>
      <w:r>
        <w:rPr>
          <w:b w:val="0"/>
          <w:i w:val="0"/>
        </w:rPr>
        <w:t>A lateral sewer has a maximum length of 45 m. A property connection should not exceed 50 m, so that it can be maintained; beyond that a manhole is added. Minimum sizes are 160 mm outside diameter for riders and property connections, and 200 mm for laterals and main sewers.</w:t>
      </w:r>
    </w:p>
    <w:p>
      <w:pPr>
        <w:spacing w:after="200"/>
      </w:pPr>
      <w:r>
        <w:rPr>
          <w:b w:val="0"/>
          <w:i/>
          <w:color w:val="5A5A5A"/>
          <w:sz w:val="18"/>
        </w:rPr>
        <w:t>Source: G203 §3.2 p17, Table 5 p18 and Table 6 p22.</w:t>
      </w:r>
    </w:p>
    <w:p>
      <w:r>
        <w:br w:type="page"/>
      </w:r>
    </w:p>
    <w:p>
      <w:pPr>
        <w:pStyle w:val="Heading1"/>
      </w:pPr>
      <w:r>
        <w:t>10   Lifting stations and force mains</w:t>
      </w:r>
    </w:p>
    <w:p>
      <w:pPr>
        <w:pStyle w:val="Heading2"/>
      </w:pPr>
      <w:r>
        <w:t>10.1   Purpose</w:t>
      </w:r>
    </w:p>
    <w:p>
      <w:r>
        <w:rPr>
          <w:b w:val="0"/>
          <w:i w:val="0"/>
        </w:rPr>
        <w:t>Where gravity cannot carry the flow onward, it is lifted and pushed through a pressure pipe to the next point at which gravity can take over again. Every such station is a permanent operating cost and a permanent failure mode, which is why the guideline treats them as a last resort.</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guideline's position is unambiguous.  </w:t>
      </w:r>
      <w:r>
        <w:rPr>
          <w:sz w:val="20"/>
        </w:rPr>
        <w:t>"The use of pumping stations and pressure mains shall be avoided whenever gravity sewer designs are feasible and cost effective." A design that reaches zero pumping stations is not an unusual outcome to be defended; it is the outcome the guideline asks for.</w:t>
      </w:r>
    </w:p>
    <w:p>
      <w:pPr>
        <w:pStyle w:val="Heading2"/>
      </w:pPr>
      <w:r>
        <w:t>10.2   When a station is required</w:t>
      </w:r>
    </w:p>
    <w:p>
      <w:r>
        <w:rPr>
          <w:b w:val="0"/>
          <w:i w:val="0"/>
        </w:rPr>
        <w:t>There is exactly one trigger in the entire guideline set, and it is a cost trigger. Where the cost of excavation becomes prohibitive, a pumping station is to be incorporated. No depth figure is attached to that obligation. The ten to twelve metre figure discussed in Section 9.6 is a separate recommendation about cover, and exceeding it obliges consultation with pipe manufacturers rather than a pump.</w:t>
      </w:r>
    </w:p>
    <w:p>
      <w:pPr>
        <w:pStyle w:val="Heading2"/>
      </w:pPr>
      <w:r>
        <w:t>10.3   Station classification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1F3B63"/>
          </w:tcPr>
          <w:p>
            <w:pPr>
              <w:spacing w:after="40"/>
            </w:pPr>
            <w:r/>
            <w:r>
              <w:rPr>
                <w:b/>
                <w:color w:val="FFFFFF"/>
                <w:sz w:val="19"/>
              </w:rPr>
              <w:t>Type</w:t>
            </w:r>
          </w:p>
        </w:tc>
        <w:tc>
          <w:tcPr>
            <w:tcW w:type="dxa" w:w="2835"/>
            <w:shd w:val="clear" w:color="auto" w:fill="1F3B63"/>
          </w:tcPr>
          <w:p>
            <w:pPr>
              <w:spacing w:after="40"/>
            </w:pPr>
            <w:r/>
            <w:r>
              <w:rPr>
                <w:b/>
                <w:color w:val="FFFFFF"/>
                <w:sz w:val="19"/>
              </w:rPr>
              <w:t>Design flow</w:t>
            </w:r>
          </w:p>
        </w:tc>
        <w:tc>
          <w:tcPr>
            <w:tcW w:type="dxa" w:w="2438"/>
            <w:shd w:val="clear" w:color="auto" w:fill="1F3B63"/>
          </w:tcPr>
          <w:p>
            <w:pPr>
              <w:spacing w:after="40"/>
            </w:pPr>
            <w:r/>
            <w:r>
              <w:rPr>
                <w:b/>
                <w:color w:val="FFFFFF"/>
                <w:sz w:val="19"/>
              </w:rPr>
              <w:t>Minimum duty pumps</w:t>
            </w:r>
          </w:p>
        </w:tc>
        <w:tc>
          <w:tcPr>
            <w:tcW w:type="dxa" w:w="2381"/>
            <w:shd w:val="clear" w:color="auto" w:fill="1F3B63"/>
          </w:tcPr>
          <w:p>
            <w:pPr>
              <w:spacing w:after="40"/>
            </w:pPr>
            <w:r/>
            <w:r>
              <w:rPr>
                <w:b/>
                <w:color w:val="FFFFFF"/>
                <w:sz w:val="19"/>
              </w:rPr>
              <w:t>Standby</w:t>
            </w:r>
          </w:p>
        </w:tc>
      </w:tr>
      <w:tr>
        <w:tc>
          <w:tcPr>
            <w:tcW w:type="dxa" w:w="1701"/>
          </w:tcPr>
          <w:p>
            <w:pPr>
              <w:spacing w:after="40"/>
            </w:pPr>
            <w:r/>
            <w:r>
              <w:rPr>
                <w:b w:val="0"/>
                <w:sz w:val="19"/>
              </w:rPr>
              <w:t>Type 1</w:t>
            </w:r>
          </w:p>
        </w:tc>
        <w:tc>
          <w:tcPr>
            <w:tcW w:type="dxa" w:w="2835"/>
          </w:tcPr>
          <w:p>
            <w:pPr>
              <w:spacing w:after="40"/>
            </w:pPr>
            <w:r/>
            <w:r>
              <w:rPr>
                <w:b w:val="0"/>
                <w:sz w:val="19"/>
              </w:rPr>
              <w:t>up to 100 l/s</w:t>
            </w:r>
          </w:p>
        </w:tc>
        <w:tc>
          <w:tcPr>
            <w:tcW w:type="dxa" w:w="2438"/>
          </w:tcPr>
          <w:p>
            <w:pPr>
              <w:spacing w:after="40"/>
            </w:pPr>
            <w:r/>
            <w:r>
              <w:rPr>
                <w:b w:val="0"/>
                <w:sz w:val="19"/>
              </w:rPr>
              <w:t>1</w:t>
            </w:r>
          </w:p>
        </w:tc>
        <w:tc>
          <w:tcPr>
            <w:tcW w:type="dxa" w:w="2381"/>
          </w:tcPr>
          <w:p>
            <w:pPr>
              <w:spacing w:after="40"/>
            </w:pPr>
            <w:r/>
            <w:r>
              <w:rPr>
                <w:b w:val="0"/>
                <w:sz w:val="19"/>
              </w:rPr>
              <w:t>1</w:t>
            </w:r>
          </w:p>
        </w:tc>
      </w:tr>
      <w:tr>
        <w:tc>
          <w:tcPr>
            <w:tcW w:type="dxa" w:w="1701"/>
          </w:tcPr>
          <w:p>
            <w:pPr>
              <w:spacing w:after="40"/>
            </w:pPr>
            <w:r/>
            <w:r>
              <w:rPr>
                <w:b w:val="0"/>
                <w:sz w:val="19"/>
              </w:rPr>
              <w:t>Type 2</w:t>
            </w:r>
          </w:p>
        </w:tc>
        <w:tc>
          <w:tcPr>
            <w:tcW w:type="dxa" w:w="2835"/>
          </w:tcPr>
          <w:p>
            <w:pPr>
              <w:spacing w:after="40"/>
            </w:pPr>
            <w:r/>
            <w:r>
              <w:rPr>
                <w:b w:val="0"/>
                <w:sz w:val="19"/>
              </w:rPr>
              <w:t>100 to 300 l/s</w:t>
            </w:r>
          </w:p>
        </w:tc>
        <w:tc>
          <w:tcPr>
            <w:tcW w:type="dxa" w:w="2438"/>
          </w:tcPr>
          <w:p>
            <w:pPr>
              <w:spacing w:after="40"/>
            </w:pPr>
            <w:r/>
            <w:r>
              <w:rPr>
                <w:b w:val="0"/>
                <w:sz w:val="19"/>
              </w:rPr>
              <w:t>2</w:t>
            </w:r>
          </w:p>
        </w:tc>
        <w:tc>
          <w:tcPr>
            <w:tcW w:type="dxa" w:w="2381"/>
          </w:tcPr>
          <w:p>
            <w:pPr>
              <w:spacing w:after="40"/>
            </w:pPr>
            <w:r/>
            <w:r>
              <w:rPr>
                <w:b w:val="0"/>
                <w:sz w:val="19"/>
              </w:rPr>
              <w:t>1</w:t>
            </w:r>
          </w:p>
        </w:tc>
      </w:tr>
      <w:tr>
        <w:tc>
          <w:tcPr>
            <w:tcW w:type="dxa" w:w="1701"/>
          </w:tcPr>
          <w:p>
            <w:pPr>
              <w:spacing w:after="40"/>
            </w:pPr>
            <w:r/>
            <w:r>
              <w:rPr>
                <w:b w:val="0"/>
                <w:sz w:val="19"/>
              </w:rPr>
              <w:t>Type 3</w:t>
            </w:r>
          </w:p>
        </w:tc>
        <w:tc>
          <w:tcPr>
            <w:tcW w:type="dxa" w:w="2835"/>
          </w:tcPr>
          <w:p>
            <w:pPr>
              <w:spacing w:after="40"/>
            </w:pPr>
            <w:r/>
            <w:r>
              <w:rPr>
                <w:b w:val="0"/>
                <w:sz w:val="19"/>
              </w:rPr>
              <w:t>above 300 l/s</w:t>
            </w:r>
          </w:p>
        </w:tc>
        <w:tc>
          <w:tcPr>
            <w:tcW w:type="dxa" w:w="2438"/>
          </w:tcPr>
          <w:p>
            <w:pPr>
              <w:spacing w:after="40"/>
            </w:pPr>
            <w:r/>
            <w:r>
              <w:rPr>
                <w:b w:val="0"/>
                <w:sz w:val="19"/>
              </w:rPr>
              <w:t>3</w:t>
            </w:r>
          </w:p>
        </w:tc>
        <w:tc>
          <w:tcPr>
            <w:tcW w:type="dxa" w:w="2381"/>
          </w:tcPr>
          <w:p>
            <w:pPr>
              <w:spacing w:after="40"/>
            </w:pPr>
            <w:r/>
            <w:r>
              <w:rPr>
                <w:b w:val="0"/>
                <w:sz w:val="19"/>
              </w:rPr>
              <w:t>1</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Two tables in the guideline disagree here.  </w:t>
      </w:r>
      <w:r>
        <w:rPr>
          <w:sz w:val="20"/>
        </w:rPr>
        <w:t>One gives a Type 3 station three duty pumps; another, two pages later, gives it two. Both are printed in the same section of the same document. The three-pump reading is the conservative one, and the two tables agree for Types 1 and 2, so the discrepancy is confined to the largest stations.</w:t>
      </w:r>
    </w:p>
    <w:p>
      <w:r>
        <w:rPr>
          <w:b w:val="0"/>
          <w:i w:val="0"/>
        </w:rPr>
        <w:t>Above the table sits the governing rule, which is independent of type: sufficient pumps must be provided that the design peak flow can still be achieved with any one pump out of service.</w:t>
      </w:r>
    </w:p>
    <w:p>
      <w:pPr>
        <w:pStyle w:val="Heading2"/>
      </w:pPr>
      <w:r>
        <w:t>10.4   Wet well volume</w:t>
      </w:r>
    </w:p>
    <w:p>
      <w:r>
        <w:rPr>
          <w:b w:val="0"/>
          <w:i w:val="0"/>
        </w:rPr>
        <w:t>The volume between the start and stop levels is set by how often the motor may be started, not by storage in any general sense.</w:t>
      </w:r>
    </w:p>
    <w:p>
      <w:pPr>
        <w:tabs>
          <w:tab w:val="center" w:pos="4320"/>
          <w:tab w:val="right" w:pos="8640"/>
        </w:tabs>
        <w:spacing w:before="120" w:after="120"/>
      </w:pPr>
      <w:r>
        <w:tab/>
      </w:r>
      <m:oMath>
        <m:r>
          <w:rPr>
            <w:rFonts w:ascii="Cambria Math" w:hAnsi="Cambria Math"/>
          </w:rPr>
          <m:t xml:space="preserve">V</m:t>
        </m:r>
        <m:r>
          <w:rPr>
            <w:rFonts w:ascii="Cambria Math" w:hAnsi="Cambria Math"/>
          </w:rPr>
          <m:t xml:space="preserve"> = </m:t>
        </m:r>
        <m:r>
          <w:rPr>
            <w:rFonts w:ascii="Cambria Math" w:hAnsi="Cambria Math"/>
          </w:rPr>
          <m:t xml:space="preserve">0.25</m:t>
        </m:r>
        <m:r>
          <w:rPr>
            <w:rFonts w:ascii="Cambria Math" w:hAnsi="Cambria Math"/>
          </w:rPr>
          <m:t xml:space="preserve"> </m:t>
        </m:r>
        <m:r>
          <w:rPr>
            <w:rFonts w:ascii="Cambria Math" w:hAnsi="Cambria Math"/>
          </w:rPr>
          <m:t xml:space="preserve">Q</m:t>
        </m:r>
        <m:r>
          <w:rPr>
            <w:rFonts w:ascii="Cambria Math" w:hAnsi="Cambria Math"/>
          </w:rPr>
          <m:t xml:space="preserve"> </m:t>
        </m:r>
        <m:r>
          <w:rPr>
            <w:rFonts w:ascii="Cambria Math" w:hAnsi="Cambria Math"/>
          </w:rPr>
          <m:t xml:space="preserve">T</m:t>
        </m:r>
      </m:oMath>
      <w:r>
        <w:tab/>
        <w:t>(21)</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V</w:t>
            </w:r>
          </w:p>
        </w:tc>
        <w:tc>
          <w:tcPr>
            <w:tcW w:type="dxa" w:w="5896"/>
          </w:tcPr>
          <w:p>
            <w:pPr>
              <w:spacing w:after="40"/>
            </w:pPr>
            <w:r/>
            <w:r>
              <w:rPr>
                <w:b w:val="0"/>
                <w:sz w:val="18"/>
              </w:rPr>
              <w:t>live volume, between pump start and stop levels</w:t>
            </w:r>
          </w:p>
        </w:tc>
        <w:tc>
          <w:tcPr>
            <w:tcW w:type="dxa" w:w="1984"/>
          </w:tcPr>
          <w:p>
            <w:pPr>
              <w:spacing w:after="40"/>
            </w:pPr>
            <w:r/>
            <w:r>
              <w:rPr>
                <w:b w:val="0"/>
                <w:sz w:val="18"/>
              </w:rPr>
              <w:t>m³</w:t>
            </w:r>
          </w:p>
        </w:tc>
      </w:tr>
      <w:tr>
        <w:tc>
          <w:tcPr>
            <w:tcW w:type="dxa" w:w="1474"/>
          </w:tcPr>
          <w:p>
            <w:pPr>
              <w:spacing w:after="40"/>
            </w:pPr>
            <w:r/>
            <w:r>
              <w:rPr>
                <w:b w:val="0"/>
                <w:sz w:val="18"/>
              </w:rPr>
              <w:t>Q</w:t>
            </w:r>
          </w:p>
        </w:tc>
        <w:tc>
          <w:tcPr>
            <w:tcW w:type="dxa" w:w="5896"/>
          </w:tcPr>
          <w:p>
            <w:pPr>
              <w:spacing w:after="40"/>
            </w:pPr>
            <w:r/>
            <w:r>
              <w:rPr>
                <w:b w:val="0"/>
                <w:sz w:val="18"/>
              </w:rPr>
              <w:t>capacity of a single pump</w:t>
            </w:r>
          </w:p>
        </w:tc>
        <w:tc>
          <w:tcPr>
            <w:tcW w:type="dxa" w:w="1984"/>
          </w:tcPr>
          <w:p>
            <w:pPr>
              <w:spacing w:after="40"/>
            </w:pPr>
            <w:r/>
            <w:r>
              <w:rPr>
                <w:b w:val="0"/>
                <w:sz w:val="18"/>
              </w:rPr>
              <w:t>m³/s</w:t>
            </w:r>
          </w:p>
        </w:tc>
      </w:tr>
      <w:tr>
        <w:tc>
          <w:tcPr>
            <w:tcW w:type="dxa" w:w="1474"/>
          </w:tcPr>
          <w:p>
            <w:pPr>
              <w:spacing w:after="40"/>
            </w:pPr>
            <w:r/>
            <w:r>
              <w:rPr>
                <w:b w:val="0"/>
                <w:sz w:val="18"/>
              </w:rPr>
              <w:t>T</w:t>
            </w:r>
          </w:p>
        </w:tc>
        <w:tc>
          <w:tcPr>
            <w:tcW w:type="dxa" w:w="5896"/>
          </w:tcPr>
          <w:p>
            <w:pPr>
              <w:spacing w:after="40"/>
            </w:pPr>
            <w:r/>
            <w:r>
              <w:rPr>
                <w:b w:val="0"/>
                <w:sz w:val="18"/>
              </w:rPr>
              <w:t>on-off cycle time, 3600 divided by permitted starts per hour</w:t>
            </w:r>
          </w:p>
        </w:tc>
        <w:tc>
          <w:tcPr>
            <w:tcW w:type="dxa" w:w="1984"/>
          </w:tcPr>
          <w:p>
            <w:pPr>
              <w:spacing w:after="40"/>
            </w:pPr>
            <w:r/>
            <w:r>
              <w:rPr>
                <w:b w:val="0"/>
                <w:sz w:val="18"/>
              </w:rPr>
              <w:t>s</w:t>
            </w:r>
          </w:p>
        </w:tc>
      </w:tr>
    </w:tbl>
    <w:p>
      <w:r>
        <w:rPr>
          <w:b w:val="0"/>
          <w:i w:val="0"/>
        </w:rPr>
        <w:t>The guideline sets a minimum of ten starts per hour for motors up to 30 kW, and refers larger motors to the manufacturer and to NEMA MG 1. At ten starts per hour the cycle time is 360 seconds and the live volume becomes ninety times the pump capacity in cubic metres per second.</w:t>
      </w:r>
    </w:p>
    <w:p>
      <w:r>
        <w:rPr>
          <w:b w:val="0"/>
          <w:i w:val="0"/>
        </w:rPr>
        <w:t>The equation applies to a single constant-speed pump. The guideline gives no equivalent for variable-speed or duty-assist arrangements.</w:t>
      </w:r>
    </w:p>
    <w:p>
      <w:pPr>
        <w:spacing w:after="200"/>
      </w:pPr>
      <w:r>
        <w:rPr>
          <w:b w:val="0"/>
          <w:i/>
          <w:color w:val="5A5A5A"/>
          <w:sz w:val="18"/>
        </w:rPr>
        <w:t>Source: G203 §7.8 p48.</w:t>
      </w:r>
    </w:p>
    <w:p>
      <w:pPr>
        <w:pStyle w:val="Heading2"/>
      </w:pPr>
      <w:r>
        <w:t>10.5   Suction conditions</w:t>
      </w:r>
    </w:p>
    <w:p>
      <w:pPr>
        <w:tabs>
          <w:tab w:val="center" w:pos="4320"/>
          <w:tab w:val="right" w:pos="8640"/>
        </w:tabs>
        <w:spacing w:before="120" w:after="120"/>
      </w:pPr>
      <w:r>
        <w:tab/>
      </w:r>
      <m:oMath>
        <m:r>
          <m:rPr>
            <m:sty m:val="p"/>
          </m:rPr>
          <w:rPr>
            <w:rFonts w:ascii="Cambria Math" w:hAnsi="Cambria Math"/>
          </w:rPr>
          <m:t xml:space="preserve">NPSH</m:t>
        </m:r>
        <m:sSub>
          <m:e>
            <m:r>
              <w:rPr>
                <w:rFonts w:ascii="Cambria Math" w:hAnsi="Cambria Math"/>
              </w:rPr>
              <m:t xml:space="preserve"/>
            </m:r>
          </m:e>
          <m:sub>
            <m:r>
              <m:rPr>
                <m:sty m:val="p"/>
              </m:rP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vpa</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st</m:t>
            </m:r>
          </m:sub>
        </m:sSub>
        <m:r>
          <w:rPr>
            <w:rFonts w:ascii="Cambria Math" w:hAnsi="Cambria Math"/>
          </w:rPr>
          <m:t xml:space="preserve"> − </m:t>
        </m:r>
        <m:sSub>
          <m:e>
            <m:r>
              <w:rPr>
                <w:rFonts w:ascii="Cambria Math" w:hAnsi="Cambria Math"/>
              </w:rPr>
              <m:t xml:space="preserve">H</m:t>
            </m:r>
          </m:e>
          <m:sub>
            <m:r>
              <m:rPr>
                <m:sty m:val="p"/>
              </m:rPr>
              <w:rPr>
                <w:rFonts w:ascii="Cambria Math" w:hAnsi="Cambria Math"/>
              </w:rPr>
              <m:t xml:space="preserve">f</m:t>
            </m:r>
          </m:sub>
        </m:sSub>
      </m:oMath>
      <w:r>
        <w:tab/>
        <w:t>(22)</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H a</w:t>
            </w:r>
          </w:p>
        </w:tc>
        <w:tc>
          <w:tcPr>
            <w:tcW w:type="dxa" w:w="5896"/>
          </w:tcPr>
          <w:p>
            <w:pPr>
              <w:spacing w:after="40"/>
            </w:pPr>
            <w:r/>
            <w:r>
              <w:rPr>
                <w:b w:val="0"/>
                <w:sz w:val="18"/>
              </w:rPr>
              <w:t>absolute pressure on the liquid surface</w:t>
            </w:r>
          </w:p>
        </w:tc>
        <w:tc>
          <w:tcPr>
            <w:tcW w:type="dxa" w:w="1984"/>
          </w:tcPr>
          <w:p>
            <w:pPr>
              <w:spacing w:after="40"/>
            </w:pPr>
            <w:r/>
            <w:r>
              <w:rPr>
                <w:b w:val="0"/>
                <w:sz w:val="18"/>
              </w:rPr>
              <w:t>m (not stated in source)</w:t>
            </w:r>
          </w:p>
        </w:tc>
      </w:tr>
      <w:tr>
        <w:tc>
          <w:tcPr>
            <w:tcW w:type="dxa" w:w="1474"/>
          </w:tcPr>
          <w:p>
            <w:pPr>
              <w:spacing w:after="40"/>
            </w:pPr>
            <w:r/>
            <w:r>
              <w:rPr>
                <w:b w:val="0"/>
                <w:sz w:val="18"/>
              </w:rPr>
              <w:t>H vpa</w:t>
            </w:r>
          </w:p>
        </w:tc>
        <w:tc>
          <w:tcPr>
            <w:tcW w:type="dxa" w:w="5896"/>
          </w:tcPr>
          <w:p>
            <w:pPr>
              <w:spacing w:after="40"/>
            </w:pPr>
            <w:r/>
            <w:r>
              <w:rPr>
                <w:b w:val="0"/>
                <w:sz w:val="18"/>
              </w:rPr>
              <w:t>vapour pressure</w:t>
            </w:r>
          </w:p>
        </w:tc>
        <w:tc>
          <w:tcPr>
            <w:tcW w:type="dxa" w:w="1984"/>
          </w:tcPr>
          <w:p>
            <w:pPr>
              <w:spacing w:after="40"/>
            </w:pPr>
            <w:r/>
            <w:r>
              <w:rPr>
                <w:b w:val="0"/>
                <w:sz w:val="18"/>
              </w:rPr>
              <w:t>m</w:t>
            </w:r>
          </w:p>
        </w:tc>
      </w:tr>
      <w:tr>
        <w:tc>
          <w:tcPr>
            <w:tcW w:type="dxa" w:w="1474"/>
          </w:tcPr>
          <w:p>
            <w:pPr>
              <w:spacing w:after="40"/>
            </w:pPr>
            <w:r/>
            <w:r>
              <w:rPr>
                <w:b w:val="0"/>
                <w:sz w:val="18"/>
              </w:rPr>
              <w:t>H st</w:t>
            </w:r>
          </w:p>
        </w:tc>
        <w:tc>
          <w:tcPr>
            <w:tcW w:type="dxa" w:w="5896"/>
          </w:tcPr>
          <w:p>
            <w:pPr>
              <w:spacing w:after="40"/>
            </w:pPr>
            <w:r/>
            <w:r>
              <w:rPr>
                <w:b w:val="0"/>
                <w:sz w:val="18"/>
              </w:rPr>
              <w:t>static head</w:t>
            </w:r>
          </w:p>
        </w:tc>
        <w:tc>
          <w:tcPr>
            <w:tcW w:type="dxa" w:w="1984"/>
          </w:tcPr>
          <w:p>
            <w:pPr>
              <w:spacing w:after="40"/>
            </w:pPr>
            <w:r/>
            <w:r>
              <w:rPr>
                <w:b w:val="0"/>
                <w:sz w:val="18"/>
              </w:rPr>
              <w:t>m</w:t>
            </w:r>
          </w:p>
        </w:tc>
      </w:tr>
      <w:tr>
        <w:tc>
          <w:tcPr>
            <w:tcW w:type="dxa" w:w="1474"/>
          </w:tcPr>
          <w:p>
            <w:pPr>
              <w:spacing w:after="40"/>
            </w:pPr>
            <w:r/>
            <w:r>
              <w:rPr>
                <w:b w:val="0"/>
                <w:sz w:val="18"/>
              </w:rPr>
              <w:t>H f</w:t>
            </w:r>
          </w:p>
        </w:tc>
        <w:tc>
          <w:tcPr>
            <w:tcW w:type="dxa" w:w="5896"/>
          </w:tcPr>
          <w:p>
            <w:pPr>
              <w:spacing w:after="40"/>
            </w:pPr>
            <w:r/>
            <w:r>
              <w:rPr>
                <w:b w:val="0"/>
                <w:sz w:val="18"/>
              </w:rPr>
              <w:t>friction head</w:t>
            </w:r>
          </w:p>
        </w:tc>
        <w:tc>
          <w:tcPr>
            <w:tcW w:type="dxa" w:w="1984"/>
          </w:tcPr>
          <w:p>
            <w:pPr>
              <w:spacing w:after="40"/>
            </w:pPr>
            <w:r/>
            <w:r>
              <w:rPr>
                <w:b w:val="0"/>
                <w:sz w:val="18"/>
              </w:rPr>
              <w:t>m</w:t>
            </w:r>
          </w:p>
        </w:tc>
      </w:tr>
    </w:tbl>
    <w:p>
      <w:r>
        <w:rPr>
          <w:b w:val="0"/>
          <w:i w:val="0"/>
        </w:rPr>
        <w:t>A margin of at least one metre over the pump's required suction head is to be provided. The guideline gives no units and no sign convention; the form as printed assumes a suction lift, and for a flooded suction the static term is additive.</w:t>
      </w:r>
    </w:p>
    <w:p>
      <w:pPr>
        <w:pStyle w:val="Heading2"/>
      </w:pPr>
      <w:r>
        <w:t>10.6   Force mains</w:t>
      </w:r>
    </w:p>
    <w:p>
      <w:pPr>
        <w:spacing w:before="160" w:after="60"/>
      </w:pPr>
      <w:r>
        <w:rPr>
          <w:b/>
          <w:color w:val="2E629E"/>
          <w:sz w:val="18"/>
        </w:rPr>
        <w:t>Table 7   Force main velocity and gradient criteria</w:t>
      </w:r>
    </w:p>
    <w:tbl>
      <w:tblPr>
        <w:tblStyle w:val="TableGrid"/>
        <w:tblW w:type="auto" w:w="0"/>
        <w:jc w:val="center"/>
        <w:tblLook w:firstColumn="1" w:firstRow="1" w:lastColumn="0" w:lastRow="0" w:noHBand="0" w:noVBand="1" w:val="04A0"/>
      </w:tblPr>
      <w:tblGrid>
        <w:gridCol w:w="3137"/>
        <w:gridCol w:w="3137"/>
        <w:gridCol w:w="3137"/>
      </w:tblGrid>
      <w:tr>
        <w:tc>
          <w:tcPr>
            <w:tcW w:type="dxa" w:w="3628"/>
            <w:shd w:val="clear" w:color="auto" w:fill="1F3B63"/>
          </w:tcPr>
          <w:p>
            <w:pPr>
              <w:spacing w:after="40"/>
            </w:pPr>
            <w:r/>
            <w:r>
              <w:rPr>
                <w:b/>
                <w:color w:val="FFFFFF"/>
                <w:sz w:val="18"/>
              </w:rPr>
              <w:t>Criterion</w:t>
            </w:r>
          </w:p>
        </w:tc>
        <w:tc>
          <w:tcPr>
            <w:tcW w:type="dxa" w:w="3402"/>
            <w:shd w:val="clear" w:color="auto" w:fill="1F3B63"/>
          </w:tcPr>
          <w:p>
            <w:pPr>
              <w:spacing w:after="40"/>
            </w:pPr>
            <w:r/>
            <w:r>
              <w:rPr>
                <w:b/>
                <w:color w:val="FFFFFF"/>
                <w:sz w:val="18"/>
              </w:rPr>
              <w:t>Value</w:t>
            </w:r>
          </w:p>
        </w:tc>
        <w:tc>
          <w:tcPr>
            <w:tcW w:type="dxa" w:w="2324"/>
            <w:shd w:val="clear" w:color="auto" w:fill="1F3B63"/>
          </w:tcPr>
          <w:p>
            <w:pPr>
              <w:spacing w:after="40"/>
            </w:pPr>
            <w:r/>
            <w:r>
              <w:rPr>
                <w:b/>
                <w:color w:val="FFFFFF"/>
                <w:sz w:val="18"/>
              </w:rPr>
              <w:t>Force</w:t>
            </w:r>
          </w:p>
        </w:tc>
      </w:tr>
      <w:tr>
        <w:tc>
          <w:tcPr>
            <w:tcW w:type="dxa" w:w="3628"/>
          </w:tcPr>
          <w:p>
            <w:pPr>
              <w:spacing w:after="40"/>
            </w:pPr>
            <w:r/>
            <w:r>
              <w:rPr>
                <w:b w:val="0"/>
                <w:sz w:val="18"/>
              </w:rPr>
              <w:t>Minimum velocity, raw sewage</w:t>
            </w:r>
          </w:p>
        </w:tc>
        <w:tc>
          <w:tcPr>
            <w:tcW w:type="dxa" w:w="3402"/>
          </w:tcPr>
          <w:p>
            <w:pPr>
              <w:spacing w:after="40"/>
            </w:pPr>
            <w:r/>
            <w:r>
              <w:rPr>
                <w:b w:val="0"/>
                <w:sz w:val="18"/>
              </w:rPr>
              <w:t>0.75 m/s at minimum flow</w:t>
            </w:r>
          </w:p>
        </w:tc>
        <w:tc>
          <w:tcPr>
            <w:tcW w:type="dxa" w:w="2324"/>
          </w:tcPr>
          <w:p>
            <w:pPr>
              <w:spacing w:after="40"/>
            </w:pPr>
            <w:r/>
            <w:r>
              <w:rPr>
                <w:b w:val="0"/>
                <w:sz w:val="18"/>
              </w:rPr>
              <w:t>shall</w:t>
            </w:r>
          </w:p>
        </w:tc>
      </w:tr>
      <w:tr>
        <w:tc>
          <w:tcPr>
            <w:tcW w:type="dxa" w:w="3628"/>
          </w:tcPr>
          <w:p>
            <w:pPr>
              <w:spacing w:after="40"/>
            </w:pPr>
            <w:r/>
            <w:r>
              <w:rPr>
                <w:b w:val="0"/>
                <w:sz w:val="18"/>
              </w:rPr>
              <w:t>Minimum velocity, intermittent flow</w:t>
            </w:r>
          </w:p>
        </w:tc>
        <w:tc>
          <w:tcPr>
            <w:tcW w:type="dxa" w:w="3402"/>
          </w:tcPr>
          <w:p>
            <w:pPr>
              <w:spacing w:after="40"/>
            </w:pPr>
            <w:r/>
            <w:r>
              <w:rPr>
                <w:b w:val="0"/>
                <w:sz w:val="18"/>
              </w:rPr>
              <w:t>1.0 m/s</w:t>
            </w:r>
          </w:p>
        </w:tc>
        <w:tc>
          <w:tcPr>
            <w:tcW w:type="dxa" w:w="2324"/>
          </w:tcPr>
          <w:p>
            <w:pPr>
              <w:spacing w:after="40"/>
            </w:pPr>
            <w:r/>
            <w:r>
              <w:rPr>
                <w:b w:val="0"/>
                <w:sz w:val="18"/>
              </w:rPr>
              <w:t>shall</w:t>
            </w:r>
          </w:p>
        </w:tc>
      </w:tr>
      <w:tr>
        <w:tc>
          <w:tcPr>
            <w:tcW w:type="dxa" w:w="3628"/>
          </w:tcPr>
          <w:p>
            <w:pPr>
              <w:spacing w:after="40"/>
            </w:pPr>
            <w:r/>
            <w:r>
              <w:rPr>
                <w:b w:val="0"/>
                <w:sz w:val="18"/>
              </w:rPr>
              <w:t>Minimum velocity, vertical mains</w:t>
            </w:r>
          </w:p>
        </w:tc>
        <w:tc>
          <w:tcPr>
            <w:tcW w:type="dxa" w:w="3402"/>
          </w:tcPr>
          <w:p>
            <w:pPr>
              <w:spacing w:after="40"/>
            </w:pPr>
            <w:r/>
            <w:r>
              <w:rPr>
                <w:b w:val="0"/>
                <w:sz w:val="18"/>
              </w:rPr>
              <w:t>1.2 m/s</w:t>
            </w:r>
          </w:p>
        </w:tc>
        <w:tc>
          <w:tcPr>
            <w:tcW w:type="dxa" w:w="2324"/>
          </w:tcPr>
          <w:p>
            <w:pPr>
              <w:spacing w:after="40"/>
            </w:pPr>
            <w:r/>
            <w:r>
              <w:rPr>
                <w:b w:val="0"/>
                <w:sz w:val="18"/>
              </w:rPr>
              <w:t>shall</w:t>
            </w:r>
          </w:p>
        </w:tc>
      </w:tr>
      <w:tr>
        <w:tc>
          <w:tcPr>
            <w:tcW w:type="dxa" w:w="3628"/>
          </w:tcPr>
          <w:p>
            <w:pPr>
              <w:spacing w:after="40"/>
            </w:pPr>
            <w:r/>
            <w:r>
              <w:rPr>
                <w:b w:val="0"/>
                <w:sz w:val="18"/>
              </w:rPr>
              <w:t>Maximum velocity</w:t>
            </w:r>
          </w:p>
        </w:tc>
        <w:tc>
          <w:tcPr>
            <w:tcW w:type="dxa" w:w="3402"/>
          </w:tcPr>
          <w:p>
            <w:pPr>
              <w:spacing w:after="40"/>
            </w:pPr>
            <w:r/>
            <w:r>
              <w:rPr>
                <w:b w:val="0"/>
                <w:sz w:val="18"/>
              </w:rPr>
              <w:t>2.5 m/s</w:t>
            </w:r>
          </w:p>
        </w:tc>
        <w:tc>
          <w:tcPr>
            <w:tcW w:type="dxa" w:w="2324"/>
          </w:tcPr>
          <w:p>
            <w:pPr>
              <w:spacing w:after="40"/>
            </w:pPr>
            <w:r/>
            <w:r>
              <w:rPr>
                <w:b w:val="0"/>
                <w:sz w:val="18"/>
              </w:rPr>
              <w:t>shall</w:t>
            </w:r>
          </w:p>
        </w:tc>
      </w:tr>
      <w:tr>
        <w:tc>
          <w:tcPr>
            <w:tcW w:type="dxa" w:w="3628"/>
          </w:tcPr>
          <w:p>
            <w:pPr>
              <w:spacing w:after="40"/>
            </w:pPr>
            <w:r/>
            <w:r>
              <w:rPr>
                <w:b w:val="0"/>
                <w:sz w:val="18"/>
              </w:rPr>
              <w:t>Minimum internal diameter</w:t>
            </w:r>
          </w:p>
        </w:tc>
        <w:tc>
          <w:tcPr>
            <w:tcW w:type="dxa" w:w="3402"/>
          </w:tcPr>
          <w:p>
            <w:pPr>
              <w:spacing w:after="40"/>
            </w:pPr>
            <w:r/>
            <w:r>
              <w:rPr>
                <w:b w:val="0"/>
                <w:sz w:val="18"/>
              </w:rPr>
              <w:t>75 mm; 50 mm with grinder pumps</w:t>
            </w:r>
          </w:p>
        </w:tc>
        <w:tc>
          <w:tcPr>
            <w:tcW w:type="dxa" w:w="2324"/>
          </w:tcPr>
          <w:p>
            <w:pPr>
              <w:spacing w:after="40"/>
            </w:pPr>
            <w:r/>
            <w:r>
              <w:rPr>
                <w:b w:val="0"/>
                <w:sz w:val="18"/>
              </w:rPr>
              <w:t>shall</w:t>
            </w:r>
          </w:p>
        </w:tc>
      </w:tr>
      <w:tr>
        <w:tc>
          <w:tcPr>
            <w:tcW w:type="dxa" w:w="3628"/>
          </w:tcPr>
          <w:p>
            <w:pPr>
              <w:spacing w:after="40"/>
            </w:pPr>
            <w:r/>
            <w:r>
              <w:rPr>
                <w:b w:val="0"/>
                <w:sz w:val="18"/>
              </w:rPr>
              <w:t>Gradient rising</w:t>
            </w:r>
          </w:p>
        </w:tc>
        <w:tc>
          <w:tcPr>
            <w:tcW w:type="dxa" w:w="3402"/>
          </w:tcPr>
          <w:p>
            <w:pPr>
              <w:spacing w:after="40"/>
            </w:pPr>
            <w:r/>
            <w:r>
              <w:rPr>
                <w:b w:val="0"/>
                <w:sz w:val="18"/>
              </w:rPr>
              <w:t>1:500 recommended</w:t>
            </w:r>
          </w:p>
        </w:tc>
        <w:tc>
          <w:tcPr>
            <w:tcW w:type="dxa" w:w="2324"/>
          </w:tcPr>
          <w:p>
            <w:pPr>
              <w:spacing w:after="40"/>
            </w:pPr>
            <w:r/>
            <w:r>
              <w:rPr>
                <w:b w:val="0"/>
                <w:sz w:val="18"/>
              </w:rPr>
              <w:t>recommended</w:t>
            </w:r>
          </w:p>
        </w:tc>
      </w:tr>
      <w:tr>
        <w:tc>
          <w:tcPr>
            <w:tcW w:type="dxa" w:w="3628"/>
          </w:tcPr>
          <w:p>
            <w:pPr>
              <w:spacing w:after="40"/>
            </w:pPr>
            <w:r/>
            <w:r>
              <w:rPr>
                <w:b w:val="0"/>
                <w:sz w:val="18"/>
              </w:rPr>
              <w:t>Gradient falling</w:t>
            </w:r>
          </w:p>
        </w:tc>
        <w:tc>
          <w:tcPr>
            <w:tcW w:type="dxa" w:w="3402"/>
          </w:tcPr>
          <w:p>
            <w:pPr>
              <w:spacing w:after="40"/>
            </w:pPr>
            <w:r/>
            <w:r>
              <w:rPr>
                <w:b w:val="0"/>
                <w:sz w:val="18"/>
              </w:rPr>
              <w:t>1:300 recommended</w:t>
            </w:r>
          </w:p>
        </w:tc>
        <w:tc>
          <w:tcPr>
            <w:tcW w:type="dxa" w:w="2324"/>
          </w:tcPr>
          <w:p>
            <w:pPr>
              <w:spacing w:after="40"/>
            </w:pPr>
            <w:r/>
            <w:r>
              <w:rPr>
                <w:b w:val="0"/>
                <w:sz w:val="18"/>
              </w:rPr>
              <w:t>recommended</w:t>
            </w:r>
          </w:p>
        </w:tc>
      </w:tr>
      <w:tr>
        <w:tc>
          <w:tcPr>
            <w:tcW w:type="dxa" w:w="3628"/>
          </w:tcPr>
          <w:p>
            <w:pPr>
              <w:spacing w:after="40"/>
            </w:pPr>
            <w:r/>
            <w:r>
              <w:rPr>
                <w:b w:val="0"/>
                <w:sz w:val="18"/>
              </w:rPr>
              <w:t>Gradient, absolute floor</w:t>
            </w:r>
          </w:p>
        </w:tc>
        <w:tc>
          <w:tcPr>
            <w:tcW w:type="dxa" w:w="3402"/>
          </w:tcPr>
          <w:p>
            <w:pPr>
              <w:spacing w:after="40"/>
            </w:pPr>
            <w:r/>
            <w:r>
              <w:rPr>
                <w:b w:val="0"/>
                <w:sz w:val="18"/>
              </w:rPr>
              <w:t>never below 1:750</w:t>
            </w:r>
          </w:p>
        </w:tc>
        <w:tc>
          <w:tcPr>
            <w:tcW w:type="dxa" w:w="2324"/>
          </w:tcPr>
          <w:p>
            <w:pPr>
              <w:spacing w:after="40"/>
            </w:pPr>
            <w:r/>
            <w:r>
              <w:rPr>
                <w:b w:val="0"/>
                <w:sz w:val="18"/>
              </w:rPr>
              <w:t>in all cases</w:t>
            </w:r>
          </w:p>
        </w:tc>
      </w:tr>
      <w:tr>
        <w:tc>
          <w:tcPr>
            <w:tcW w:type="dxa" w:w="3628"/>
          </w:tcPr>
          <w:p>
            <w:pPr>
              <w:spacing w:after="40"/>
            </w:pPr>
            <w:r/>
            <w:r>
              <w:rPr>
                <w:b w:val="0"/>
                <w:sz w:val="18"/>
              </w:rPr>
              <w:t>Retention time</w:t>
            </w:r>
          </w:p>
        </w:tc>
        <w:tc>
          <w:tcPr>
            <w:tcW w:type="dxa" w:w="3402"/>
          </w:tcPr>
          <w:p>
            <w:pPr>
              <w:spacing w:after="40"/>
            </w:pPr>
            <w:r/>
            <w:r>
              <w:rPr>
                <w:b w:val="0"/>
                <w:sz w:val="18"/>
              </w:rPr>
              <w:t>ideally under half an hour</w:t>
            </w:r>
          </w:p>
        </w:tc>
        <w:tc>
          <w:tcPr>
            <w:tcW w:type="dxa" w:w="2324"/>
          </w:tcPr>
          <w:p>
            <w:pPr>
              <w:spacing w:after="40"/>
            </w:pPr>
            <w:r/>
            <w:r>
              <w:rPr>
                <w:b w:val="0"/>
                <w:sz w:val="18"/>
              </w:rPr>
              <w:t>ideally</w:t>
            </w:r>
          </w:p>
        </w:tc>
      </w:tr>
    </w:tbl>
    <w:p/>
    <w:p>
      <w:r>
        <w:rPr>
          <w:b w:val="0"/>
          <w:i w:val="0"/>
        </w:rPr>
        <w:t>Diameter is not selected by a formula. The guideline requires that alternative diameters producing velocities across the permitted range be considered, and that a cost comparison determine which gives the optimum whole life cost. Where initial flows are far below future flows, two mains may be warranted rather than one.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friction equations are named but never written.  </w:t>
      </w:r>
      <w:r>
        <w:rPr>
          <w:sz w:val="20"/>
        </w:rPr>
        <w:t>Head loss is to be calculated by Darcy-Weisbach for larger pipes and higher velocities, or Hazen-Williams for smaller diameters, with any other equation needing NWS approval. Neither formula is printed anywhere in the three guidelines — only their coefficients are tabulated. Cite the standard form, not NWS. There is also no roughness value published for a raw sewage force main; the coefficient table covers potable water and treated effluent only.</w:t>
      </w:r>
    </w:p>
    <w:p>
      <w:r>
        <w:rPr>
          <w:b w:val="0"/>
          <w:i w:val="0"/>
        </w:rPr>
        <w:t>There is likewise no total dynamic head equation and no pump power equation in the guidelines. The components NWS names are static lift, friction loss, fitting losses and the velocity head difference; assembling them is standard hydraulics and should be cited as such.</w:t>
      </w:r>
    </w:p>
    <w:p>
      <w:pPr>
        <w:spacing w:after="200"/>
      </w:pPr>
      <w:r>
        <w:rPr>
          <w:b w:val="0"/>
          <w:i/>
          <w:color w:val="5A5A5A"/>
          <w:sz w:val="18"/>
        </w:rPr>
        <w:t>Source: G203 §8 p50-55; head loss cross-referenced to G202 §7.1.3.2 p104.</w:t>
      </w:r>
    </w:p>
    <w:p>
      <w:pPr>
        <w:pStyle w:val="Heading2"/>
      </w:pPr>
      <w:r>
        <w:t>10.7   Surge</w:t>
      </w:r>
    </w:p>
    <w:p>
      <w:pPr>
        <w:tabs>
          <w:tab w:val="center" w:pos="4320"/>
          <w:tab w:val="right" w:pos="8640"/>
        </w:tabs>
        <w:spacing w:before="120" w:after="120"/>
      </w:pPr>
      <w:r>
        <w:tab/>
      </w:r>
      <m:oMath>
        <m:r>
          <w:rPr>
            <w:rFonts w:ascii="Cambria Math" w:hAnsi="Cambria Math"/>
          </w:rPr>
          <m:t xml:space="preserve">Δ</m:t>
        </m:r>
        <m:r>
          <w:rPr>
            <w:rFonts w:ascii="Cambria Math" w:hAnsi="Cambria Math"/>
          </w:rPr>
          <m:t xml:space="preserve">H</m:t>
        </m:r>
        <m:r>
          <w:rPr>
            <w:rFonts w:ascii="Cambria Math" w:hAnsi="Cambria Math"/>
          </w:rPr>
          <m:t xml:space="preserve"> = </m:t>
        </m:r>
        <m:f>
          <m:num>
            <m:r>
              <w:rPr>
                <w:rFonts w:ascii="Cambria Math" w:hAnsi="Cambria Math"/>
              </w:rPr>
              <m:t xml:space="preserve">c</m:t>
            </m:r>
          </m:num>
          <m:den>
            <m:r>
              <w:rPr>
                <w:rFonts w:ascii="Cambria Math" w:hAnsi="Cambria Math"/>
              </w:rPr>
              <m:t xml:space="preserve">g</m:t>
            </m:r>
          </m:den>
        </m:f>
        <m:r>
          <w:rPr>
            <w:rFonts w:ascii="Cambria Math" w:hAnsi="Cambria Math"/>
          </w:rPr>
          <m:t xml:space="preserve">Δ</m:t>
        </m:r>
        <m:r>
          <w:rPr>
            <w:rFonts w:ascii="Cambria Math" w:hAnsi="Cambria Math"/>
          </w:rPr>
          <m:t xml:space="preserve">v</m:t>
        </m:r>
      </m:oMath>
      <w:r>
        <w:tab/>
        <w:t>(23)</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ΔH</w:t>
            </w:r>
          </w:p>
        </w:tc>
        <w:tc>
          <w:tcPr>
            <w:tcW w:type="dxa" w:w="5896"/>
          </w:tcPr>
          <w:p>
            <w:pPr>
              <w:spacing w:after="40"/>
            </w:pPr>
            <w:r/>
            <w:r>
              <w:rPr>
                <w:b w:val="0"/>
                <w:sz w:val="18"/>
              </w:rPr>
              <w:t>change in pressure</w:t>
            </w:r>
          </w:p>
        </w:tc>
        <w:tc>
          <w:tcPr>
            <w:tcW w:type="dxa" w:w="1984"/>
          </w:tcPr>
          <w:p>
            <w:pPr>
              <w:spacing w:after="40"/>
            </w:pPr>
            <w:r/>
            <w:r>
              <w:rPr>
                <w:b w:val="0"/>
                <w:sz w:val="18"/>
              </w:rPr>
              <w:t>m</w:t>
            </w:r>
          </w:p>
        </w:tc>
      </w:tr>
      <w:tr>
        <w:tc>
          <w:tcPr>
            <w:tcW w:type="dxa" w:w="1474"/>
          </w:tcPr>
          <w:p>
            <w:pPr>
              <w:spacing w:after="40"/>
            </w:pPr>
            <w:r/>
            <w:r>
              <w:rPr>
                <w:b w:val="0"/>
                <w:sz w:val="18"/>
              </w:rPr>
              <w:t>c</w:t>
            </w:r>
          </w:p>
        </w:tc>
        <w:tc>
          <w:tcPr>
            <w:tcW w:type="dxa" w:w="5896"/>
          </w:tcPr>
          <w:p>
            <w:pPr>
              <w:spacing w:after="40"/>
            </w:pPr>
            <w:r/>
            <w:r>
              <w:rPr>
                <w:b w:val="0"/>
                <w:sz w:val="18"/>
              </w:rPr>
              <w:t>wave propagation speed</w:t>
            </w:r>
          </w:p>
        </w:tc>
        <w:tc>
          <w:tcPr>
            <w:tcW w:type="dxa" w:w="1984"/>
          </w:tcPr>
          <w:p>
            <w:pPr>
              <w:spacing w:after="40"/>
            </w:pPr>
            <w:r/>
            <w:r>
              <w:rPr>
                <w:b w:val="0"/>
                <w:sz w:val="18"/>
              </w:rPr>
              <w:t>m/s</w:t>
            </w:r>
          </w:p>
        </w:tc>
      </w:tr>
      <w:tr>
        <w:tc>
          <w:tcPr>
            <w:tcW w:type="dxa" w:w="1474"/>
          </w:tcPr>
          <w:p>
            <w:pPr>
              <w:spacing w:after="40"/>
            </w:pPr>
            <w:r/>
            <w:r>
              <w:rPr>
                <w:b w:val="0"/>
                <w:sz w:val="18"/>
              </w:rPr>
              <w:t>g</w:t>
            </w:r>
          </w:p>
        </w:tc>
        <w:tc>
          <w:tcPr>
            <w:tcW w:type="dxa" w:w="5896"/>
          </w:tcPr>
          <w:p>
            <w:pPr>
              <w:spacing w:after="40"/>
            </w:pPr>
            <w:r/>
            <w:r>
              <w:rPr>
                <w:b w:val="0"/>
                <w:sz w:val="18"/>
              </w:rPr>
              <w:t>acceleration due to gravity</w:t>
            </w:r>
          </w:p>
        </w:tc>
        <w:tc>
          <w:tcPr>
            <w:tcW w:type="dxa" w:w="1984"/>
          </w:tcPr>
          <w:p>
            <w:pPr>
              <w:spacing w:after="40"/>
            </w:pPr>
            <w:r/>
            <w:r>
              <w:rPr>
                <w:b w:val="0"/>
                <w:sz w:val="18"/>
              </w:rPr>
              <w:t>m/s²</w:t>
            </w:r>
          </w:p>
        </w:tc>
      </w:tr>
      <w:tr>
        <w:tc>
          <w:tcPr>
            <w:tcW w:type="dxa" w:w="1474"/>
          </w:tcPr>
          <w:p>
            <w:pPr>
              <w:spacing w:after="40"/>
            </w:pPr>
            <w:r/>
            <w:r>
              <w:rPr>
                <w:b w:val="0"/>
                <w:sz w:val="18"/>
              </w:rPr>
              <w:t>Δv</w:t>
            </w:r>
          </w:p>
        </w:tc>
        <w:tc>
          <w:tcPr>
            <w:tcW w:type="dxa" w:w="5896"/>
          </w:tcPr>
          <w:p>
            <w:pPr>
              <w:spacing w:after="40"/>
            </w:pPr>
            <w:r/>
            <w:r>
              <w:rPr>
                <w:b w:val="0"/>
                <w:sz w:val="18"/>
              </w:rPr>
              <w:t>change in flow velocity</w:t>
            </w:r>
          </w:p>
        </w:tc>
        <w:tc>
          <w:tcPr>
            <w:tcW w:type="dxa" w:w="1984"/>
          </w:tcPr>
          <w:p>
            <w:pPr>
              <w:spacing w:after="40"/>
            </w:pPr>
            <w:r/>
            <w:r>
              <w:rPr>
                <w:b w:val="0"/>
                <w:sz w:val="18"/>
              </w:rPr>
              <w:t>m/s</w:t>
            </w:r>
          </w:p>
        </w:tc>
      </w:tr>
    </w:tbl>
    <w:p>
      <w:r>
        <w:rPr>
          <w:b w:val="0"/>
          <w:i w:val="0"/>
        </w:rPr>
        <w:t>The wave speed is described qualitatively as depending on the properties of the pipe and the liquid. No celerity equation is given anywhere in the guidelines, so it must come from standard theory.</w:t>
      </w:r>
    </w:p>
    <w:p>
      <w:r>
        <w:rPr>
          <w:b w:val="0"/>
          <w:i w:val="0"/>
        </w:rPr>
        <w:t>Transient analysis must be carried out in NWS-approved licensed software; the equation is for checking, not for design. The number of simultaneous pump startups and shutdowns modelled follows N+1, so that reflected waves from earlier events can combine and reveal the true worst case. Models are first run with roughness set to near zero to capture the maximum swing, then re-run with realistic roughness.</w:t>
      </w:r>
    </w:p>
    <w:p>
      <w:r>
        <w:rPr>
          <w:b w:val="0"/>
          <w:i w:val="0"/>
        </w:rPr>
        <w:t>One concession applies uniquely to wastewater: negative pressure, with air entering at an air valve, can be acceptable on a force main provided the protection and equipment are adapted to it.</w:t>
      </w:r>
    </w:p>
    <w:p>
      <w:pPr>
        <w:spacing w:after="200"/>
      </w:pPr>
      <w:r>
        <w:rPr>
          <w:b w:val="0"/>
          <w:i/>
          <w:color w:val="5A5A5A"/>
          <w:sz w:val="18"/>
        </w:rPr>
        <w:t>Source: G201 Appendix III p145-147. G202 §10 is a one-line cross-reference to it and contains no surge content of its own.</w:t>
      </w:r>
    </w:p>
    <w:p>
      <w:pPr>
        <w:pStyle w:val="Heading2"/>
      </w:pPr>
      <w:r>
        <w:t>10.8   Emergency provision</w:t>
      </w:r>
    </w:p>
    <w:p>
      <w:r>
        <w:rPr>
          <w:b w:val="0"/>
          <w:i w:val="0"/>
        </w:rPr>
        <w:t>Every pumping station must have an emergency overflow to prevent flooding of the station or of connected dwellings, and overflows require Environmental Authority approval. Only extreme events should result in one, and a method to prevent or minimise overflows must be submitted for approval — chosen on least cost and least operational complexity.</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 emergency storage duration is specified.  </w:t>
      </w:r>
      <w:r>
        <w:rPr>
          <w:sz w:val="20"/>
        </w:rPr>
        <w:t>Emergency storage is named as one of four permitted methods, with no duration and no sizing method attached. The 48 to 72 hour figure that appears elsewhere in the guidelines applies to a lagoon at a treatment plant, not to a pumping station, and should not be transplanted. The designer proposes and NWS approves.</w:t>
      </w:r>
    </w:p>
    <w:p>
      <w:r>
        <w:br w:type="page"/>
      </w:r>
    </w:p>
    <w:p>
      <w:pPr>
        <w:pStyle w:val="Heading1"/>
      </w:pPr>
      <w:r>
        <w:t>11   Treatment plant sizing and phasing</w:t>
      </w:r>
    </w:p>
    <w:p>
      <w:pPr>
        <w:pStyle w:val="Heading2"/>
      </w:pPr>
      <w:r>
        <w:t>11.1   Purpose</w:t>
      </w:r>
    </w:p>
    <w:p>
      <w:r>
        <w:rPr>
          <w:b w:val="0"/>
          <w:i w:val="0"/>
        </w:rPr>
        <w:t>Converting flows and loads into a plant capacity, a technology, a land area and a phasing plan.</w:t>
      </w:r>
    </w:p>
    <w:p>
      <w:pPr>
        <w:pStyle w:val="Heading2"/>
      </w:pPr>
      <w:r>
        <w:t>11.2   Size categories, and why they matter</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1F3B63"/>
          </w:tcPr>
          <w:p>
            <w:pPr>
              <w:spacing w:after="40"/>
            </w:pPr>
            <w:r/>
            <w:r>
              <w:rPr>
                <w:b/>
                <w:color w:val="FFFFFF"/>
                <w:sz w:val="19"/>
              </w:rPr>
              <w:t>Category</w:t>
            </w:r>
          </w:p>
        </w:tc>
        <w:tc>
          <w:tcPr>
            <w:tcW w:type="dxa" w:w="5953"/>
            <w:shd w:val="clear" w:color="auto" w:fill="1F3B63"/>
          </w:tcPr>
          <w:p>
            <w:pPr>
              <w:spacing w:after="40"/>
            </w:pPr>
            <w:r/>
            <w:r>
              <w:rPr>
                <w:b/>
                <w:color w:val="FFFFFF"/>
                <w:sz w:val="19"/>
              </w:rPr>
              <w:t>Capacity</w:t>
            </w:r>
          </w:p>
        </w:tc>
      </w:tr>
      <w:tr>
        <w:tc>
          <w:tcPr>
            <w:tcW w:type="dxa" w:w="3402"/>
          </w:tcPr>
          <w:p>
            <w:pPr>
              <w:spacing w:after="40"/>
            </w:pPr>
            <w:r/>
            <w:r>
              <w:rPr>
                <w:b w:val="0"/>
                <w:sz w:val="19"/>
              </w:rPr>
              <w:t>Small</w:t>
            </w:r>
          </w:p>
        </w:tc>
        <w:tc>
          <w:tcPr>
            <w:tcW w:type="dxa" w:w="5953"/>
          </w:tcPr>
          <w:p>
            <w:pPr>
              <w:spacing w:after="40"/>
            </w:pPr>
            <w:r/>
            <w:r>
              <w:rPr>
                <w:b w:val="0"/>
                <w:sz w:val="19"/>
              </w:rPr>
              <w:t>below 500 m³/d</w:t>
            </w:r>
          </w:p>
        </w:tc>
      </w:tr>
      <w:tr>
        <w:tc>
          <w:tcPr>
            <w:tcW w:type="dxa" w:w="3402"/>
          </w:tcPr>
          <w:p>
            <w:pPr>
              <w:spacing w:after="40"/>
            </w:pPr>
            <w:r/>
            <w:r>
              <w:rPr>
                <w:b w:val="0"/>
                <w:sz w:val="19"/>
              </w:rPr>
              <w:t>Medium</w:t>
            </w:r>
          </w:p>
        </w:tc>
        <w:tc>
          <w:tcPr>
            <w:tcW w:type="dxa" w:w="5953"/>
          </w:tcPr>
          <w:p>
            <w:pPr>
              <w:spacing w:after="40"/>
            </w:pPr>
            <w:r/>
            <w:r>
              <w:rPr>
                <w:b w:val="0"/>
                <w:sz w:val="19"/>
              </w:rPr>
              <w:t>500 up to 20,000 m³/d</w:t>
            </w:r>
          </w:p>
        </w:tc>
      </w:tr>
      <w:tr>
        <w:tc>
          <w:tcPr>
            <w:tcW w:type="dxa" w:w="3402"/>
          </w:tcPr>
          <w:p>
            <w:pPr>
              <w:spacing w:after="40"/>
            </w:pPr>
            <w:r/>
            <w:r>
              <w:rPr>
                <w:b/>
                <w:sz w:val="19"/>
              </w:rPr>
              <w:t>Large</w:t>
            </w:r>
          </w:p>
        </w:tc>
        <w:tc>
          <w:tcPr>
            <w:tcW w:type="dxa" w:w="5953"/>
          </w:tcPr>
          <w:p>
            <w:pPr>
              <w:spacing w:after="40"/>
            </w:pPr>
            <w:r/>
            <w:r>
              <w:rPr>
                <w:b/>
                <w:sz w:val="19"/>
              </w:rPr>
              <w:t>20,000 m³/d and above</w:t>
            </w:r>
          </w:p>
        </w:tc>
      </w:tr>
    </w:tbl>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large-plant classification changes four separate rules.  </w:t>
      </w:r>
      <w:r>
        <w:rPr>
          <w:sz w:val="20"/>
        </w:rPr>
        <w:t>The residential buffer stops being a flat 500 m and becomes 300 to 1000 m, set by the distance to the 5 odour-unit contour from a dispersion model. Computational fluid dynamics modelling becomes mandatory unless the TOR excludes it. The chlorine contact tank is replaced by a treated effluent storage tank performing the same function. And the organic peak factors fall to 1.2 for BOD and COD and 1.5 for nitrogen.</w:t>
      </w:r>
    </w:p>
    <w:p>
      <w:pPr>
        <w:pStyle w:val="Heading2"/>
      </w:pPr>
      <w:r>
        <w:t>11.3   Design horizon and margin</w:t>
      </w:r>
    </w:p>
    <w:p>
      <w:r>
        <w:rPr>
          <w:b w:val="0"/>
          <w:i w:val="0"/>
        </w:rPr>
        <w:t>A plant is designed for a horizon of at least fifteen years and must meet the projected population, with anticipated industrial and institutional needs taken into account. Separately, the corporate planning life cycle is twenty-five years, which is also the period over which options are compared.</w:t>
      </w:r>
    </w:p>
    <w:p>
      <w:r>
        <w:rPr>
          <w:b w:val="0"/>
          <w:i w:val="0"/>
        </w:rPr>
        <w:t>A ten per cent margin is applied to the design flow as an operational safety allowance, over and above any redundancy in the design rather than instead of it.</w:t>
      </w:r>
    </w:p>
    <w:p>
      <w:pPr>
        <w:pStyle w:val="Heading2"/>
      </w:pPr>
      <w:r>
        <w:t>11.4   Influent characterisation</w:t>
      </w:r>
    </w:p>
    <w:p>
      <w:r>
        <w:rPr>
          <w:b w:val="0"/>
          <w:i w:val="0"/>
        </w:rPr>
        <w:t>Design is to be on the basis of at least 60 g of BOD and 80 g of suspended solids per person per day. Those are floors, not typical values — the guideline's word is "at least".</w:t>
      </w:r>
    </w:p>
    <w:p>
      <w:pPr>
        <w:spacing w:before="160" w:after="60"/>
      </w:pPr>
      <w:r>
        <w:rPr>
          <w:b/>
          <w:color w:val="2E629E"/>
          <w:sz w:val="18"/>
        </w:rPr>
        <w:t>Table 8   Design raw sewage characteristics, where site data is absent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24"/>
            <w:shd w:val="clear" w:color="auto" w:fill="1F3B63"/>
          </w:tcPr>
          <w:p>
            <w:pPr>
              <w:spacing w:after="40"/>
            </w:pPr>
            <w:r/>
            <w:r>
              <w:rPr>
                <w:b/>
                <w:color w:val="FFFFFF"/>
                <w:sz w:val="18"/>
              </w:rPr>
              <w:t>Parameter</w:t>
            </w:r>
          </w:p>
        </w:tc>
        <w:tc>
          <w:tcPr>
            <w:tcW w:type="dxa" w:w="2381"/>
            <w:shd w:val="clear" w:color="auto" w:fill="1F3B63"/>
          </w:tcPr>
          <w:p>
            <w:pPr>
              <w:spacing w:after="40"/>
            </w:pPr>
            <w:r/>
            <w:r>
              <w:rPr>
                <w:b/>
                <w:color w:val="FFFFFF"/>
                <w:sz w:val="18"/>
              </w:rPr>
              <w:t>Design value</w:t>
            </w:r>
          </w:p>
        </w:tc>
        <w:tc>
          <w:tcPr>
            <w:tcW w:type="dxa" w:w="2324"/>
            <w:shd w:val="clear" w:color="auto" w:fill="1F3B63"/>
          </w:tcPr>
          <w:p>
            <w:pPr>
              <w:spacing w:after="40"/>
            </w:pPr>
            <w:r/>
            <w:r>
              <w:rPr>
                <w:b/>
                <w:color w:val="FFFFFF"/>
                <w:sz w:val="18"/>
              </w:rPr>
              <w:t>Parameter</w:t>
            </w:r>
          </w:p>
        </w:tc>
        <w:tc>
          <w:tcPr>
            <w:tcW w:type="dxa" w:w="2381"/>
            <w:shd w:val="clear" w:color="auto" w:fill="1F3B63"/>
          </w:tcPr>
          <w:p>
            <w:pPr>
              <w:spacing w:after="40"/>
            </w:pPr>
            <w:r/>
            <w:r>
              <w:rPr>
                <w:b/>
                <w:color w:val="FFFFFF"/>
                <w:sz w:val="18"/>
              </w:rPr>
              <w:t>Design value</w:t>
            </w:r>
          </w:p>
        </w:tc>
      </w:tr>
      <w:tr>
        <w:tc>
          <w:tcPr>
            <w:tcW w:type="dxa" w:w="2324"/>
          </w:tcPr>
          <w:p>
            <w:pPr>
              <w:spacing w:after="40"/>
            </w:pPr>
            <w:r/>
            <w:r>
              <w:rPr>
                <w:b w:val="0"/>
                <w:sz w:val="18"/>
              </w:rPr>
              <w:t>BOD₅</w:t>
            </w:r>
          </w:p>
        </w:tc>
        <w:tc>
          <w:tcPr>
            <w:tcW w:type="dxa" w:w="2381"/>
          </w:tcPr>
          <w:p>
            <w:pPr>
              <w:spacing w:after="40"/>
            </w:pPr>
            <w:r/>
            <w:r>
              <w:rPr>
                <w:b w:val="0"/>
                <w:sz w:val="18"/>
              </w:rPr>
              <w:t>350 – 400 mg/l</w:t>
            </w:r>
          </w:p>
        </w:tc>
        <w:tc>
          <w:tcPr>
            <w:tcW w:type="dxa" w:w="2324"/>
          </w:tcPr>
          <w:p>
            <w:pPr>
              <w:spacing w:after="40"/>
            </w:pPr>
            <w:r/>
            <w:r>
              <w:rPr>
                <w:b w:val="0"/>
                <w:sz w:val="18"/>
              </w:rPr>
              <w:t>Ammoniacal N</w:t>
            </w:r>
          </w:p>
        </w:tc>
        <w:tc>
          <w:tcPr>
            <w:tcW w:type="dxa" w:w="2381"/>
          </w:tcPr>
          <w:p>
            <w:pPr>
              <w:spacing w:after="40"/>
            </w:pPr>
            <w:r/>
            <w:r>
              <w:rPr>
                <w:b w:val="0"/>
                <w:sz w:val="18"/>
              </w:rPr>
              <w:t>40 – 50 mg/l</w:t>
            </w:r>
          </w:p>
        </w:tc>
      </w:tr>
      <w:tr>
        <w:tc>
          <w:tcPr>
            <w:tcW w:type="dxa" w:w="2324"/>
          </w:tcPr>
          <w:p>
            <w:pPr>
              <w:spacing w:after="40"/>
            </w:pPr>
            <w:r/>
            <w:r>
              <w:rPr>
                <w:b w:val="0"/>
                <w:sz w:val="18"/>
              </w:rPr>
              <w:t>COD</w:t>
            </w:r>
          </w:p>
        </w:tc>
        <w:tc>
          <w:tcPr>
            <w:tcW w:type="dxa" w:w="2381"/>
          </w:tcPr>
          <w:p>
            <w:pPr>
              <w:spacing w:after="40"/>
            </w:pPr>
            <w:r/>
            <w:r>
              <w:rPr>
                <w:b w:val="0"/>
                <w:sz w:val="18"/>
              </w:rPr>
              <w:t>700 – 900 mg/l</w:t>
            </w:r>
          </w:p>
        </w:tc>
        <w:tc>
          <w:tcPr>
            <w:tcW w:type="dxa" w:w="2324"/>
          </w:tcPr>
          <w:p>
            <w:pPr>
              <w:spacing w:after="40"/>
            </w:pPr>
            <w:r/>
            <w:r>
              <w:rPr>
                <w:b w:val="0"/>
                <w:sz w:val="18"/>
              </w:rPr>
              <w:t>Total Kjeldahl N</w:t>
            </w:r>
          </w:p>
        </w:tc>
        <w:tc>
          <w:tcPr>
            <w:tcW w:type="dxa" w:w="2381"/>
          </w:tcPr>
          <w:p>
            <w:pPr>
              <w:spacing w:after="40"/>
            </w:pPr>
            <w:r/>
            <w:r>
              <w:rPr>
                <w:b w:val="0"/>
                <w:sz w:val="18"/>
              </w:rPr>
              <w:t>60 – 80 mg/l</w:t>
            </w:r>
          </w:p>
        </w:tc>
      </w:tr>
      <w:tr>
        <w:tc>
          <w:tcPr>
            <w:tcW w:type="dxa" w:w="2324"/>
          </w:tcPr>
          <w:p>
            <w:pPr>
              <w:spacing w:after="40"/>
            </w:pPr>
            <w:r/>
            <w:r>
              <w:rPr>
                <w:b w:val="0"/>
                <w:sz w:val="18"/>
              </w:rPr>
              <w:t>Suspended solids</w:t>
            </w:r>
          </w:p>
        </w:tc>
        <w:tc>
          <w:tcPr>
            <w:tcW w:type="dxa" w:w="2381"/>
          </w:tcPr>
          <w:p>
            <w:pPr>
              <w:spacing w:after="40"/>
            </w:pPr>
            <w:r/>
            <w:r>
              <w:rPr>
                <w:b w:val="0"/>
                <w:sz w:val="18"/>
              </w:rPr>
              <w:t>400 – 500 mg/l</w:t>
            </w:r>
          </w:p>
        </w:tc>
        <w:tc>
          <w:tcPr>
            <w:tcW w:type="dxa" w:w="2324"/>
          </w:tcPr>
          <w:p>
            <w:pPr>
              <w:spacing w:after="40"/>
            </w:pPr>
            <w:r/>
            <w:r>
              <w:rPr>
                <w:b w:val="0"/>
                <w:sz w:val="18"/>
              </w:rPr>
              <w:t>Total phosphorus</w:t>
            </w:r>
          </w:p>
        </w:tc>
        <w:tc>
          <w:tcPr>
            <w:tcW w:type="dxa" w:w="2381"/>
          </w:tcPr>
          <w:p>
            <w:pPr>
              <w:spacing w:after="40"/>
            </w:pPr>
            <w:r/>
            <w:r>
              <w:rPr>
                <w:b w:val="0"/>
                <w:sz w:val="18"/>
              </w:rPr>
              <w:t>10 – 15 mg/l</w:t>
            </w:r>
          </w:p>
        </w:tc>
      </w:tr>
      <w:tr>
        <w:tc>
          <w:tcPr>
            <w:tcW w:type="dxa" w:w="2324"/>
          </w:tcPr>
          <w:p>
            <w:pPr>
              <w:spacing w:after="40"/>
            </w:pPr>
            <w:r/>
            <w:r>
              <w:rPr>
                <w:b w:val="0"/>
                <w:sz w:val="18"/>
              </w:rPr>
              <w:t>Inert solids</w:t>
            </w:r>
          </w:p>
        </w:tc>
        <w:tc>
          <w:tcPr>
            <w:tcW w:type="dxa" w:w="2381"/>
          </w:tcPr>
          <w:p>
            <w:pPr>
              <w:spacing w:after="40"/>
            </w:pPr>
            <w:r/>
            <w:r>
              <w:rPr>
                <w:b w:val="0"/>
                <w:sz w:val="18"/>
              </w:rPr>
              <w:t>20 %</w:t>
            </w:r>
          </w:p>
        </w:tc>
        <w:tc>
          <w:tcPr>
            <w:tcW w:type="dxa" w:w="2324"/>
          </w:tcPr>
          <w:p>
            <w:pPr>
              <w:spacing w:after="40"/>
            </w:pPr>
            <w:r/>
            <w:r>
              <w:rPr>
                <w:b w:val="0"/>
                <w:sz w:val="18"/>
              </w:rPr>
              <w:t>Alkalinity as CaCO₃</w:t>
            </w:r>
          </w:p>
        </w:tc>
        <w:tc>
          <w:tcPr>
            <w:tcW w:type="dxa" w:w="2381"/>
          </w:tcPr>
          <w:p>
            <w:pPr>
              <w:spacing w:after="40"/>
            </w:pPr>
            <w:r/>
            <w:r>
              <w:rPr>
                <w:b w:val="0"/>
                <w:sz w:val="18"/>
              </w:rPr>
              <w:t>200 – 400 mg/l</w:t>
            </w:r>
          </w:p>
        </w:tc>
      </w:tr>
      <w:tr>
        <w:tc>
          <w:tcPr>
            <w:tcW w:type="dxa" w:w="2324"/>
          </w:tcPr>
          <w:p>
            <w:pPr>
              <w:spacing w:after="40"/>
            </w:pPr>
            <w:r/>
            <w:r>
              <w:rPr>
                <w:b w:val="0"/>
                <w:sz w:val="18"/>
              </w:rPr>
              <w:t>Fat, oil and grease</w:t>
            </w:r>
          </w:p>
        </w:tc>
        <w:tc>
          <w:tcPr>
            <w:tcW w:type="dxa" w:w="2381"/>
          </w:tcPr>
          <w:p>
            <w:pPr>
              <w:spacing w:after="40"/>
            </w:pPr>
            <w:r/>
            <w:r>
              <w:rPr>
                <w:b w:val="0"/>
                <w:sz w:val="18"/>
              </w:rPr>
              <w:t>50 – 100 mg/l</w:t>
            </w:r>
          </w:p>
        </w:tc>
        <w:tc>
          <w:tcPr>
            <w:tcW w:type="dxa" w:w="2324"/>
          </w:tcPr>
          <w:p>
            <w:pPr>
              <w:spacing w:after="40"/>
            </w:pPr>
            <w:r/>
            <w:r>
              <w:rPr>
                <w:b w:val="0"/>
                <w:sz w:val="18"/>
              </w:rPr>
              <w:t>pH</w:t>
            </w:r>
          </w:p>
        </w:tc>
        <w:tc>
          <w:tcPr>
            <w:tcW w:type="dxa" w:w="2381"/>
          </w:tcPr>
          <w:p>
            <w:pPr>
              <w:spacing w:after="40"/>
            </w:pPr>
            <w:r/>
            <w:r>
              <w:rPr>
                <w:b w:val="0"/>
                <w:sz w:val="18"/>
              </w:rPr>
              <w:t>6.5 – 8.0</w:t>
            </w:r>
          </w:p>
        </w:tc>
      </w:tr>
      <w:tr>
        <w:tc>
          <w:tcPr>
            <w:tcW w:type="dxa" w:w="2324"/>
          </w:tcPr>
          <w:p>
            <w:pPr>
              <w:spacing w:after="40"/>
            </w:pPr>
            <w:r/>
          </w:p>
        </w:tc>
        <w:tc>
          <w:tcPr>
            <w:tcW w:type="dxa" w:w="2381"/>
          </w:tcPr>
          <w:p>
            <w:pPr>
              <w:spacing w:after="40"/>
            </w:pPr>
            <w:r/>
          </w:p>
        </w:tc>
        <w:tc>
          <w:tcPr>
            <w:tcW w:type="dxa" w:w="2324"/>
          </w:tcPr>
          <w:p>
            <w:pPr>
              <w:spacing w:after="40"/>
            </w:pPr>
            <w:r/>
            <w:r>
              <w:rPr>
                <w:b w:val="0"/>
                <w:sz w:val="18"/>
              </w:rPr>
              <w:t>Temperature</w:t>
            </w:r>
          </w:p>
        </w:tc>
        <w:tc>
          <w:tcPr>
            <w:tcW w:type="dxa" w:w="2381"/>
          </w:tcPr>
          <w:p>
            <w:pPr>
              <w:spacing w:after="40"/>
            </w:pPr>
            <w:r/>
            <w:r>
              <w:rPr>
                <w:b w:val="0"/>
                <w:sz w:val="18"/>
              </w:rPr>
              <w:t>20 / 35 °C</w:t>
            </w:r>
          </w:p>
        </w:tc>
      </w:tr>
    </w:tbl>
    <w:p/>
    <w:p>
      <w:r>
        <w:rPr>
          <w:b w:val="0"/>
          <w:i w:val="0"/>
        </w:rPr>
        <w:t>These values are indicative and are to be used after agreement with NWS, in preference to which come the specific character of the catchment and NWS's own laboratory database. Sludge liquor returns, side streams and tanker loads are not included in them and must be added.</w:t>
      </w:r>
    </w:p>
    <w:p>
      <w:pPr>
        <w:pStyle w:val="Heading3"/>
      </w:pPr>
      <w:r>
        <w:t>Tankered sewage is far stronger</w:t>
      </w:r>
    </w:p>
    <w:p>
      <w:r>
        <w:rPr>
          <w:b w:val="0"/>
          <w:i w:val="0"/>
        </w:rPr>
        <w:t>Sewage arriving by tanker carries BOD from 350 up to 1050 mg/l, COD from 1350 to 5000, and suspended solids from 900 to 4300. Septic tank contents are described as much more concentrated than network sewage. Where tankers form a significant share of the inflow, this drives the load calculation rather than the network figures.</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trigger for a separate treatment line.  </w:t>
      </w:r>
      <w:r>
        <w:rPr>
          <w:sz w:val="20"/>
        </w:rPr>
        <w:t>Domestic sewage has a COD to BOD ratio between 1.8 and 2.2. Above that, the guideline states the influent is not effectively treatable biologically, and a separate line for high-strength wastewater is required if the volumes are significant. What counts as significant is not quantified and needs NWS agreement.</w:t>
      </w:r>
    </w:p>
    <w:p>
      <w:pPr>
        <w:pStyle w:val="Heading2"/>
      </w:pPr>
      <w:r>
        <w:t>11.5   Load, and an equation the guideline does not print</w:t>
      </w:r>
    </w:p>
    <w:p>
      <w:r>
        <w:rPr>
          <w:b w:val="0"/>
          <w:i w:val="0"/>
        </w:rPr>
        <w:t>The guideline gives per-capita loads, design concentrations and peak factors, but nowhere prints the relation converting a flow and a concentration into a mass load. It is standard, and is stated here as a derivation rather than a citation.</w:t>
      </w:r>
    </w:p>
    <w:p>
      <w:pPr>
        <w:tabs>
          <w:tab w:val="center" w:pos="4320"/>
          <w:tab w:val="right" w:pos="8640"/>
        </w:tabs>
        <w:spacing w:before="120" w:after="120"/>
      </w:pPr>
      <w:r>
        <w:tab/>
      </w:r>
      <m:oMath>
        <m:r>
          <m:rPr>
            <m:sty m:val="p"/>
          </m:rPr>
          <w:rPr>
            <w:rFonts w:ascii="Cambria Math" w:hAnsi="Cambria Math"/>
          </w:rPr>
          <m:t xml:space="preserve">Load</m:t>
        </m:r>
        <m:r>
          <w:rPr>
            <w:rFonts w:ascii="Cambria Math" w:hAnsi="Cambria Math"/>
          </w:rPr>
          <m:t xml:space="preserve"> = </m:t>
        </m:r>
        <m:f>
          <m:num>
            <m:r>
              <w:rPr>
                <w:rFonts w:ascii="Cambria Math" w:hAnsi="Cambria Math"/>
              </w:rPr>
              <m:t xml:space="preserve">Q</m:t>
            </m:r>
            <m:r>
              <w:rPr>
                <w:rFonts w:ascii="Cambria Math" w:hAnsi="Cambria Math"/>
              </w:rPr>
              <m:t xml:space="preserve"> × </m:t>
            </m:r>
            <m:r>
              <w:rPr>
                <w:rFonts w:ascii="Cambria Math" w:hAnsi="Cambria Math"/>
              </w:rPr>
              <m:t xml:space="preserve">C</m:t>
            </m:r>
          </m:num>
          <m:den>
            <m:r>
              <w:rPr>
                <w:rFonts w:ascii="Cambria Math" w:hAnsi="Cambria Math"/>
              </w:rPr>
              <m:t xml:space="preserve">1000</m:t>
            </m:r>
          </m:den>
        </m:f>
      </m:oMath>
      <w:r>
        <w:tab/>
        <w:t>(24)</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Load</w:t>
            </w:r>
          </w:p>
        </w:tc>
        <w:tc>
          <w:tcPr>
            <w:tcW w:type="dxa" w:w="5896"/>
          </w:tcPr>
          <w:p>
            <w:pPr>
              <w:spacing w:after="40"/>
            </w:pPr>
            <w:r/>
            <w:r>
              <w:rPr>
                <w:b w:val="0"/>
                <w:sz w:val="18"/>
              </w:rPr>
              <w:t>mass load of the determinand</w:t>
            </w:r>
          </w:p>
        </w:tc>
        <w:tc>
          <w:tcPr>
            <w:tcW w:type="dxa" w:w="1984"/>
          </w:tcPr>
          <w:p>
            <w:pPr>
              <w:spacing w:after="40"/>
            </w:pPr>
            <w:r/>
            <w:r>
              <w:rPr>
                <w:b w:val="0"/>
                <w:sz w:val="18"/>
              </w:rPr>
              <w:t>kg/d</w:t>
            </w:r>
          </w:p>
        </w:tc>
      </w:tr>
      <w:tr>
        <w:tc>
          <w:tcPr>
            <w:tcW w:type="dxa" w:w="1474"/>
          </w:tcPr>
          <w:p>
            <w:pPr>
              <w:spacing w:after="40"/>
            </w:pPr>
            <w:r/>
            <w:r>
              <w:rPr>
                <w:b w:val="0"/>
                <w:sz w:val="18"/>
              </w:rPr>
              <w:t>Q</w:t>
            </w:r>
          </w:p>
        </w:tc>
        <w:tc>
          <w:tcPr>
            <w:tcW w:type="dxa" w:w="5896"/>
          </w:tcPr>
          <w:p>
            <w:pPr>
              <w:spacing w:after="40"/>
            </w:pPr>
            <w:r/>
            <w:r>
              <w:rPr>
                <w:b w:val="0"/>
                <w:sz w:val="18"/>
              </w:rPr>
              <w:t>flow</w:t>
            </w:r>
          </w:p>
        </w:tc>
        <w:tc>
          <w:tcPr>
            <w:tcW w:type="dxa" w:w="1984"/>
          </w:tcPr>
          <w:p>
            <w:pPr>
              <w:spacing w:after="40"/>
            </w:pPr>
            <w:r/>
            <w:r>
              <w:rPr>
                <w:b w:val="0"/>
                <w:sz w:val="18"/>
              </w:rPr>
              <w:t>m³/d</w:t>
            </w:r>
          </w:p>
        </w:tc>
      </w:tr>
      <w:tr>
        <w:tc>
          <w:tcPr>
            <w:tcW w:type="dxa" w:w="1474"/>
          </w:tcPr>
          <w:p>
            <w:pPr>
              <w:spacing w:after="40"/>
            </w:pPr>
            <w:r/>
            <w:r>
              <w:rPr>
                <w:b w:val="0"/>
                <w:sz w:val="18"/>
              </w:rPr>
              <w:t>C</w:t>
            </w:r>
          </w:p>
        </w:tc>
        <w:tc>
          <w:tcPr>
            <w:tcW w:type="dxa" w:w="5896"/>
          </w:tcPr>
          <w:p>
            <w:pPr>
              <w:spacing w:after="40"/>
            </w:pPr>
            <w:r/>
            <w:r>
              <w:rPr>
                <w:b w:val="0"/>
                <w:sz w:val="18"/>
              </w:rPr>
              <w:t>concentration</w:t>
            </w:r>
          </w:p>
        </w:tc>
        <w:tc>
          <w:tcPr>
            <w:tcW w:type="dxa" w:w="1984"/>
          </w:tcPr>
          <w:p>
            <w:pPr>
              <w:spacing w:after="40"/>
            </w:pPr>
            <w:r/>
            <w:r>
              <w:rPr>
                <w:b w:val="0"/>
                <w:sz w:val="18"/>
              </w:rPr>
              <w:t>mg/l</w:t>
            </w:r>
          </w:p>
        </w:tc>
      </w:tr>
    </w:tbl>
    <w:p>
      <w:r>
        <w:rPr>
          <w:b w:val="0"/>
          <w:i w:val="0"/>
        </w:rPr>
        <w:t>Hydraulic pass-through structures are sized on peak hourly flow. Biological treatment is sized on average annual flow and the design inlet load. Both must include recycled liquors and tanker volumes.</w:t>
      </w:r>
    </w:p>
    <w:p>
      <w:pPr>
        <w:pStyle w:val="Heading2"/>
      </w:pPr>
      <w:r>
        <w:t>11.6   Process sizing</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guidelines give ranges, not equations.  </w:t>
      </w:r>
      <w:r>
        <w:rPr>
          <w:sz w:val="20"/>
        </w:rPr>
        <w:t>No oxygen demand, sludge yield, solids retention time or clarifier area equation is printed anywhere. At concept and preliminary stage the guideline directs the designer to empirical methods — Metcalf and Eddy, or DWA, formerly ATV. At detailed design it requires verification in accredited software using IWA models. The tables in the guideline are ranges to land inside, and they are the enforceable part.</w:t>
      </w:r>
    </w:p>
    <w:p>
      <w:pPr>
        <w:spacing w:before="160" w:after="60"/>
      </w:pPr>
      <w:r>
        <w:rPr>
          <w:b/>
          <w:color w:val="2E629E"/>
          <w:sz w:val="18"/>
        </w:rPr>
        <w:t>Table 9   Activated sludge configurations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061"/>
            <w:shd w:val="clear" w:color="auto" w:fill="1F3B63"/>
          </w:tcPr>
          <w:p>
            <w:pPr>
              <w:spacing w:after="40"/>
            </w:pPr>
            <w:r/>
            <w:r>
              <w:rPr>
                <w:b/>
                <w:color w:val="FFFFFF"/>
                <w:sz w:val="18"/>
              </w:rPr>
              <w:t>Mode</w:t>
            </w:r>
          </w:p>
        </w:tc>
        <w:tc>
          <w:tcPr>
            <w:tcW w:type="dxa" w:w="2381"/>
            <w:shd w:val="clear" w:color="auto" w:fill="1F3B63"/>
          </w:tcPr>
          <w:p>
            <w:pPr>
              <w:spacing w:after="40"/>
            </w:pPr>
            <w:r/>
            <w:r>
              <w:rPr>
                <w:b/>
                <w:color w:val="FFFFFF"/>
                <w:sz w:val="18"/>
              </w:rPr>
              <w:t>F:M (kg BOD/kg MLSS/d)</w:t>
            </w:r>
          </w:p>
        </w:tc>
        <w:tc>
          <w:tcPr>
            <w:tcW w:type="dxa" w:w="1984"/>
            <w:shd w:val="clear" w:color="auto" w:fill="1F3B63"/>
          </w:tcPr>
          <w:p>
            <w:pPr>
              <w:spacing w:after="40"/>
            </w:pPr>
            <w:r/>
            <w:r>
              <w:rPr>
                <w:b/>
                <w:color w:val="FFFFFF"/>
                <w:sz w:val="18"/>
              </w:rPr>
              <w:t>MLSS (mg/l)</w:t>
            </w:r>
          </w:p>
        </w:tc>
        <w:tc>
          <w:tcPr>
            <w:tcW w:type="dxa" w:w="1928"/>
            <w:shd w:val="clear" w:color="auto" w:fill="1F3B63"/>
          </w:tcPr>
          <w:p>
            <w:pPr>
              <w:spacing w:after="40"/>
            </w:pPr>
            <w:r/>
            <w:r>
              <w:rPr>
                <w:b/>
                <w:color w:val="FFFFFF"/>
                <w:sz w:val="18"/>
              </w:rPr>
              <w:t>Minimum SRT (d)</w:t>
            </w:r>
          </w:p>
        </w:tc>
      </w:tr>
      <w:tr>
        <w:tc>
          <w:tcPr>
            <w:tcW w:type="dxa" w:w="3061"/>
          </w:tcPr>
          <w:p>
            <w:pPr>
              <w:spacing w:after="40"/>
            </w:pPr>
            <w:r/>
            <w:r>
              <w:rPr>
                <w:b w:val="0"/>
                <w:sz w:val="18"/>
              </w:rPr>
              <w:t>High rate</w:t>
            </w:r>
          </w:p>
        </w:tc>
        <w:tc>
          <w:tcPr>
            <w:tcW w:type="dxa" w:w="2381"/>
          </w:tcPr>
          <w:p>
            <w:pPr>
              <w:spacing w:after="40"/>
            </w:pPr>
            <w:r/>
            <w:r>
              <w:rPr>
                <w:b w:val="0"/>
                <w:sz w:val="18"/>
              </w:rPr>
              <w:t>above 1.0</w:t>
            </w:r>
          </w:p>
        </w:tc>
        <w:tc>
          <w:tcPr>
            <w:tcW w:type="dxa" w:w="1984"/>
          </w:tcPr>
          <w:p>
            <w:pPr>
              <w:spacing w:after="40"/>
            </w:pPr>
            <w:r/>
            <w:r>
              <w:rPr>
                <w:b w:val="0"/>
                <w:sz w:val="18"/>
              </w:rPr>
              <w:t>below 2000</w:t>
            </w:r>
          </w:p>
        </w:tc>
        <w:tc>
          <w:tcPr>
            <w:tcW w:type="dxa" w:w="1928"/>
          </w:tcPr>
          <w:p>
            <w:pPr>
              <w:spacing w:after="40"/>
            </w:pPr>
            <w:r/>
            <w:r>
              <w:rPr>
                <w:b w:val="0"/>
                <w:sz w:val="18"/>
              </w:rPr>
              <w:t>1</w:t>
            </w:r>
          </w:p>
        </w:tc>
      </w:tr>
      <w:tr>
        <w:tc>
          <w:tcPr>
            <w:tcW w:type="dxa" w:w="3061"/>
          </w:tcPr>
          <w:p>
            <w:pPr>
              <w:spacing w:after="40"/>
            </w:pPr>
            <w:r/>
            <w:r>
              <w:rPr>
                <w:b w:val="0"/>
                <w:sz w:val="18"/>
              </w:rPr>
              <w:t>Conventional, 20 mg/l BOD</w:t>
            </w:r>
          </w:p>
        </w:tc>
        <w:tc>
          <w:tcPr>
            <w:tcW w:type="dxa" w:w="2381"/>
          </w:tcPr>
          <w:p>
            <w:pPr>
              <w:spacing w:after="40"/>
            </w:pPr>
            <w:r/>
            <w:r>
              <w:rPr>
                <w:b w:val="0"/>
                <w:sz w:val="18"/>
              </w:rPr>
              <w:t>0.25 – 0.4</w:t>
            </w:r>
          </w:p>
        </w:tc>
        <w:tc>
          <w:tcPr>
            <w:tcW w:type="dxa" w:w="1984"/>
          </w:tcPr>
          <w:p>
            <w:pPr>
              <w:spacing w:after="40"/>
            </w:pPr>
            <w:r/>
            <w:r>
              <w:rPr>
                <w:b w:val="0"/>
                <w:sz w:val="18"/>
              </w:rPr>
              <w:t>2000 – 3000</w:t>
            </w:r>
          </w:p>
        </w:tc>
        <w:tc>
          <w:tcPr>
            <w:tcW w:type="dxa" w:w="1928"/>
          </w:tcPr>
          <w:p>
            <w:pPr>
              <w:spacing w:after="40"/>
            </w:pPr>
            <w:r/>
            <w:r>
              <w:rPr>
                <w:b w:val="0"/>
                <w:sz w:val="18"/>
              </w:rPr>
              <w:t>2 – 4</w:t>
            </w:r>
          </w:p>
        </w:tc>
      </w:tr>
      <w:tr>
        <w:tc>
          <w:tcPr>
            <w:tcW w:type="dxa" w:w="3061"/>
          </w:tcPr>
          <w:p>
            <w:pPr>
              <w:spacing w:after="40"/>
            </w:pPr>
            <w:r/>
            <w:r>
              <w:rPr>
                <w:b w:val="0"/>
                <w:sz w:val="18"/>
              </w:rPr>
              <w:t>Conventional, 10 mg/l BOD</w:t>
            </w:r>
          </w:p>
        </w:tc>
        <w:tc>
          <w:tcPr>
            <w:tcW w:type="dxa" w:w="2381"/>
          </w:tcPr>
          <w:p>
            <w:pPr>
              <w:spacing w:after="40"/>
            </w:pPr>
            <w:r/>
            <w:r>
              <w:rPr>
                <w:b w:val="0"/>
                <w:sz w:val="18"/>
              </w:rPr>
              <w:t>0.15 – 0.25</w:t>
            </w:r>
          </w:p>
        </w:tc>
        <w:tc>
          <w:tcPr>
            <w:tcW w:type="dxa" w:w="1984"/>
          </w:tcPr>
          <w:p>
            <w:pPr>
              <w:spacing w:after="40"/>
            </w:pPr>
            <w:r/>
            <w:r>
              <w:rPr>
                <w:b w:val="0"/>
                <w:sz w:val="18"/>
              </w:rPr>
              <w:t>2500 – 3000</w:t>
            </w:r>
          </w:p>
        </w:tc>
        <w:tc>
          <w:tcPr>
            <w:tcW w:type="dxa" w:w="1928"/>
          </w:tcPr>
          <w:p>
            <w:pPr>
              <w:spacing w:after="40"/>
            </w:pPr>
            <w:r/>
            <w:r>
              <w:rPr>
                <w:b w:val="0"/>
                <w:sz w:val="18"/>
              </w:rPr>
              <w:t>4 – 6</w:t>
            </w:r>
          </w:p>
        </w:tc>
      </w:tr>
      <w:tr>
        <w:tc>
          <w:tcPr>
            <w:tcW w:type="dxa" w:w="3061"/>
          </w:tcPr>
          <w:p>
            <w:pPr>
              <w:spacing w:after="40"/>
            </w:pPr>
            <w:r/>
            <w:r>
              <w:rPr>
                <w:b w:val="0"/>
                <w:sz w:val="18"/>
              </w:rPr>
              <w:t>Conventional with nitrification</w:t>
            </w:r>
          </w:p>
        </w:tc>
        <w:tc>
          <w:tcPr>
            <w:tcW w:type="dxa" w:w="2381"/>
          </w:tcPr>
          <w:p>
            <w:pPr>
              <w:spacing w:after="40"/>
            </w:pPr>
            <w:r/>
            <w:r>
              <w:rPr>
                <w:b w:val="0"/>
                <w:sz w:val="18"/>
              </w:rPr>
              <w:t>0.15</w:t>
            </w:r>
          </w:p>
        </w:tc>
        <w:tc>
          <w:tcPr>
            <w:tcW w:type="dxa" w:w="1984"/>
          </w:tcPr>
          <w:p>
            <w:pPr>
              <w:spacing w:after="40"/>
            </w:pPr>
            <w:r/>
            <w:r>
              <w:rPr>
                <w:b w:val="0"/>
                <w:sz w:val="18"/>
              </w:rPr>
              <w:t>3000 – 4000</w:t>
            </w:r>
          </w:p>
        </w:tc>
        <w:tc>
          <w:tcPr>
            <w:tcW w:type="dxa" w:w="1928"/>
          </w:tcPr>
          <w:p>
            <w:pPr>
              <w:spacing w:after="40"/>
            </w:pPr>
            <w:r/>
            <w:r>
              <w:rPr>
                <w:b w:val="0"/>
                <w:sz w:val="18"/>
              </w:rPr>
              <w:t>above 6</w:t>
            </w:r>
          </w:p>
        </w:tc>
      </w:tr>
      <w:tr>
        <w:tc>
          <w:tcPr>
            <w:tcW w:type="dxa" w:w="3061"/>
          </w:tcPr>
          <w:p>
            <w:pPr>
              <w:spacing w:after="40"/>
            </w:pPr>
            <w:r/>
            <w:r>
              <w:rPr>
                <w:b w:val="0"/>
                <w:sz w:val="18"/>
              </w:rPr>
              <w:t>Extended aeration / MLE</w:t>
            </w:r>
          </w:p>
        </w:tc>
        <w:tc>
          <w:tcPr>
            <w:tcW w:type="dxa" w:w="2381"/>
          </w:tcPr>
          <w:p>
            <w:pPr>
              <w:spacing w:after="40"/>
            </w:pPr>
            <w:r/>
            <w:r>
              <w:rPr>
                <w:b w:val="0"/>
                <w:sz w:val="18"/>
              </w:rPr>
              <w:t>0.05 – 0.15</w:t>
            </w:r>
          </w:p>
        </w:tc>
        <w:tc>
          <w:tcPr>
            <w:tcW w:type="dxa" w:w="1984"/>
          </w:tcPr>
          <w:p>
            <w:pPr>
              <w:spacing w:after="40"/>
            </w:pPr>
            <w:r/>
            <w:r>
              <w:rPr>
                <w:b w:val="0"/>
                <w:sz w:val="18"/>
              </w:rPr>
              <w:t>2000 – 4000</w:t>
            </w:r>
          </w:p>
        </w:tc>
        <w:tc>
          <w:tcPr>
            <w:tcW w:type="dxa" w:w="1928"/>
          </w:tcPr>
          <w:p>
            <w:pPr>
              <w:spacing w:after="40"/>
            </w:pPr>
            <w:r/>
            <w:r>
              <w:rPr>
                <w:b w:val="0"/>
                <w:sz w:val="18"/>
              </w:rPr>
              <w:t>above 10</w:t>
            </w:r>
          </w:p>
        </w:tc>
      </w:tr>
    </w:tbl>
    <w:p>
      <w:pPr>
        <w:pStyle w:val="Heading2"/>
      </w:pPr>
      <w:r>
        <w:t>11.7   Land area</w:t>
      </w:r>
    </w:p>
    <w:p>
      <w:r>
        <w:rPr>
          <w:b w:val="0"/>
          <w:i w:val="0"/>
        </w:rPr>
        <w:t>Footprint is indicative and is used for early planning, not as a compliance limit. It must cover process units, sludge handling, buffer zones and — the guideline is explicit — the land needed for energy-efficient solutions such as a solar farm inside the plant perimeter.</w:t>
      </w:r>
    </w:p>
    <w:p>
      <w:pPr>
        <w:spacing w:before="160" w:after="60"/>
      </w:pPr>
      <w:r>
        <w:rPr>
          <w:b/>
          <w:color w:val="2E629E"/>
          <w:sz w:val="18"/>
        </w:rPr>
        <w:t>Table 10   Indicative footprint by technology, m² per m³/d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721"/>
            <w:shd w:val="clear" w:color="auto" w:fill="1F3B63"/>
          </w:tcPr>
          <w:p>
            <w:pPr>
              <w:spacing w:after="40"/>
            </w:pPr>
            <w:r/>
            <w:r>
              <w:rPr>
                <w:b/>
                <w:color w:val="FFFFFF"/>
                <w:sz w:val="18"/>
              </w:rPr>
              <w:t>Technology</w:t>
            </w:r>
          </w:p>
        </w:tc>
        <w:tc>
          <w:tcPr>
            <w:tcW w:type="dxa" w:w="1984"/>
            <w:shd w:val="clear" w:color="auto" w:fill="1F3B63"/>
          </w:tcPr>
          <w:p>
            <w:pPr>
              <w:spacing w:after="40"/>
            </w:pPr>
            <w:r/>
            <w:r>
              <w:rPr>
                <w:b/>
                <w:color w:val="FFFFFF"/>
                <w:sz w:val="18"/>
              </w:rPr>
              <w:t>Footprint</w:t>
            </w:r>
          </w:p>
        </w:tc>
        <w:tc>
          <w:tcPr>
            <w:tcW w:type="dxa" w:w="2721"/>
            <w:shd w:val="clear" w:color="auto" w:fill="1F3B63"/>
          </w:tcPr>
          <w:p>
            <w:pPr>
              <w:spacing w:after="40"/>
            </w:pPr>
            <w:r/>
            <w:r>
              <w:rPr>
                <w:b/>
                <w:color w:val="FFFFFF"/>
                <w:sz w:val="18"/>
              </w:rPr>
              <w:t>Technology</w:t>
            </w:r>
          </w:p>
        </w:tc>
        <w:tc>
          <w:tcPr>
            <w:tcW w:type="dxa" w:w="1928"/>
            <w:shd w:val="clear" w:color="auto" w:fill="1F3B63"/>
          </w:tcPr>
          <w:p>
            <w:pPr>
              <w:spacing w:after="40"/>
            </w:pPr>
            <w:r/>
            <w:r>
              <w:rPr>
                <w:b/>
                <w:color w:val="FFFFFF"/>
                <w:sz w:val="18"/>
              </w:rPr>
              <w:t>Footprint</w:t>
            </w:r>
          </w:p>
        </w:tc>
      </w:tr>
      <w:tr>
        <w:tc>
          <w:tcPr>
            <w:tcW w:type="dxa" w:w="2721"/>
          </w:tcPr>
          <w:p>
            <w:pPr>
              <w:spacing w:after="40"/>
            </w:pPr>
            <w:r/>
            <w:r>
              <w:rPr>
                <w:b w:val="0"/>
                <w:sz w:val="18"/>
              </w:rPr>
              <w:t>Membrane bioreactor</w:t>
            </w:r>
          </w:p>
        </w:tc>
        <w:tc>
          <w:tcPr>
            <w:tcW w:type="dxa" w:w="1984"/>
          </w:tcPr>
          <w:p>
            <w:pPr>
              <w:spacing w:after="40"/>
            </w:pPr>
            <w:r/>
            <w:r>
              <w:rPr>
                <w:b w:val="0"/>
                <w:sz w:val="18"/>
              </w:rPr>
              <w:t>0.45 – 0.9</w:t>
            </w:r>
          </w:p>
        </w:tc>
        <w:tc>
          <w:tcPr>
            <w:tcW w:type="dxa" w:w="2721"/>
          </w:tcPr>
          <w:p>
            <w:pPr>
              <w:spacing w:after="40"/>
            </w:pPr>
            <w:r/>
            <w:r>
              <w:rPr>
                <w:b w:val="0"/>
                <w:sz w:val="18"/>
              </w:rPr>
              <w:t>Sequencing batch reactor</w:t>
            </w:r>
          </w:p>
        </w:tc>
        <w:tc>
          <w:tcPr>
            <w:tcW w:type="dxa" w:w="1928"/>
          </w:tcPr>
          <w:p>
            <w:pPr>
              <w:spacing w:after="40"/>
            </w:pPr>
            <w:r/>
            <w:r>
              <w:rPr>
                <w:b w:val="0"/>
                <w:sz w:val="18"/>
              </w:rPr>
              <w:t>0.9 – 1.8</w:t>
            </w:r>
          </w:p>
        </w:tc>
      </w:tr>
      <w:tr>
        <w:tc>
          <w:tcPr>
            <w:tcW w:type="dxa" w:w="2721"/>
          </w:tcPr>
          <w:p>
            <w:pPr>
              <w:spacing w:after="40"/>
            </w:pPr>
            <w:r/>
            <w:r>
              <w:rPr>
                <w:b w:val="0"/>
                <w:sz w:val="18"/>
              </w:rPr>
              <w:t>Moving bed biofilm reactor</w:t>
            </w:r>
          </w:p>
        </w:tc>
        <w:tc>
          <w:tcPr>
            <w:tcW w:type="dxa" w:w="1984"/>
          </w:tcPr>
          <w:p>
            <w:pPr>
              <w:spacing w:after="40"/>
            </w:pPr>
            <w:r/>
            <w:r>
              <w:rPr>
                <w:b w:val="0"/>
                <w:sz w:val="18"/>
              </w:rPr>
              <w:t>0.9 – 1.8</w:t>
            </w:r>
          </w:p>
        </w:tc>
        <w:tc>
          <w:tcPr>
            <w:tcW w:type="dxa" w:w="2721"/>
          </w:tcPr>
          <w:p>
            <w:pPr>
              <w:spacing w:after="40"/>
            </w:pPr>
            <w:r/>
            <w:r>
              <w:rPr>
                <w:b w:val="0"/>
                <w:sz w:val="18"/>
              </w:rPr>
              <w:t>Conventional activated sludge</w:t>
            </w:r>
          </w:p>
        </w:tc>
        <w:tc>
          <w:tcPr>
            <w:tcW w:type="dxa" w:w="1928"/>
          </w:tcPr>
          <w:p>
            <w:pPr>
              <w:spacing w:after="40"/>
            </w:pPr>
            <w:r/>
            <w:r>
              <w:rPr>
                <w:b w:val="0"/>
                <w:sz w:val="18"/>
              </w:rPr>
              <w:t>1.8 – 3.6</w:t>
            </w:r>
          </w:p>
        </w:tc>
      </w:tr>
      <w:tr>
        <w:tc>
          <w:tcPr>
            <w:tcW w:type="dxa" w:w="2721"/>
          </w:tcPr>
          <w:p>
            <w:pPr>
              <w:spacing w:after="40"/>
            </w:pPr>
            <w:r/>
            <w:r>
              <w:rPr>
                <w:b w:val="0"/>
                <w:sz w:val="18"/>
              </w:rPr>
              <w:t>Integrated fixed film</w:t>
            </w:r>
          </w:p>
        </w:tc>
        <w:tc>
          <w:tcPr>
            <w:tcW w:type="dxa" w:w="1984"/>
          </w:tcPr>
          <w:p>
            <w:pPr>
              <w:spacing w:after="40"/>
            </w:pPr>
            <w:r/>
            <w:r>
              <w:rPr>
                <w:b w:val="0"/>
                <w:sz w:val="18"/>
              </w:rPr>
              <w:t>1.2 – 2.5</w:t>
            </w:r>
          </w:p>
        </w:tc>
        <w:tc>
          <w:tcPr>
            <w:tcW w:type="dxa" w:w="2721"/>
          </w:tcPr>
          <w:p>
            <w:pPr>
              <w:spacing w:after="40"/>
            </w:pPr>
            <w:r/>
            <w:r>
              <w:rPr>
                <w:b w:val="0"/>
                <w:sz w:val="18"/>
              </w:rPr>
              <w:t>Constructed wetland</w:t>
            </w:r>
          </w:p>
        </w:tc>
        <w:tc>
          <w:tcPr>
            <w:tcW w:type="dxa" w:w="1928"/>
          </w:tcPr>
          <w:p>
            <w:pPr>
              <w:spacing w:after="40"/>
            </w:pPr>
            <w:r/>
            <w:r>
              <w:rPr>
                <w:b w:val="0"/>
                <w:sz w:val="18"/>
              </w:rPr>
              <w:t>above 10</w:t>
            </w:r>
          </w:p>
        </w:tc>
      </w:tr>
    </w:tbl>
    <w:p/>
    <w:p>
      <w:r>
        <w:rPr>
          <w:b w:val="0"/>
          <w:i w:val="0"/>
        </w:rPr>
        <w:t>Built structures may not occupy more than 35 % of the allocated land, with a minimum five-metre setback from site boundaries.</w:t>
      </w:r>
    </w:p>
    <w:p>
      <w:pPr>
        <w:pStyle w:val="Heading2"/>
      </w:pPr>
      <w:r>
        <w:t>11.8   Effluent quality</w:t>
      </w:r>
    </w:p>
    <w:p>
      <w:r>
        <w:rPr>
          <w:b w:val="0"/>
          <w:i w:val="0"/>
        </w:rPr>
        <w:t>The process must be capable of meeting Class A or Class B of Ministerial Decision 145/1993. The headline Class A values are 15 mg/l BOD, 150 COD, 15 suspended solids, 200 MPN per 100 ml faecal coliforms and fewer than one nematode ovum per litre.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Total nitrogen is the parameter that actually drives the process.  </w:t>
      </w:r>
      <w:r>
        <w:rPr>
          <w:sz w:val="20"/>
        </w:rPr>
        <w:t>NWS overlays a limit of below 15 mg/l total nitrogen, which Ministerial Decision 145/93 does not contain. Class A on its own would permit around 21 mg/l once organic nitrogen, ammonia and nitrate are added. Full nitrification and denitrification are therefore mandatory in practice, and nitrogen rather than BOD or solids governs technology selection and sludge age.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If discharge to a wadi is contemplated, the standard tightens sharply.  </w:t>
      </w:r>
      <w:r>
        <w:rPr>
          <w:sz w:val="20"/>
        </w:rPr>
        <w:t>Effluent to a wadi must meet Class A, and where the wadi reaches the sea, ammonia, nitrogen and phosphorus instead take the values of Decision 159/2005. Total phosphorus falls from 30 to 2 mg/l and ammoniacal nitrogen from 5 to 1. That forces enhanced biological phosphorus removal with chemical polishing. Any wadi discharge is subject to Environmental Authority and APSR approval.</w:t>
      </w:r>
    </w:p>
    <w:p>
      <w:pPr>
        <w:pStyle w:val="Heading2"/>
      </w:pPr>
      <w:r>
        <w:t>11.9   Siting and buffer</w:t>
      </w:r>
    </w:p>
    <w:p>
      <w:r>
        <w:rPr>
          <w:b w:val="0"/>
          <w:i w:val="0"/>
        </w:rPr>
        <w:t>Site selection is assessed against fifteen criteria grouped under accessibility, physical characteristics, environmental and climate impact, social impact and cost. Two carry hard numbers: the site must consider the 25 and 100 year flood levels, and plants must be fully operational during floods.</w:t>
      </w:r>
    </w:p>
    <w:p>
      <w:r>
        <w:rPr>
          <w:b w:val="0"/>
          <w:i w:val="0"/>
        </w:rPr>
        <w:t>For a large plant the residential buffer is not a fixed figure. It is the distance to the 5 odour-unit contour from a dispersion model, bounded between 300 and 1000 m. Odour modelling therefore has to precede siting, not follow it.</w:t>
      </w:r>
    </w:p>
    <w:p>
      <w:pPr>
        <w:spacing w:after="200"/>
      </w:pPr>
      <w:r>
        <w:rPr>
          <w:b w:val="0"/>
          <w:i/>
          <w:color w:val="5A5A5A"/>
          <w:sz w:val="18"/>
        </w:rPr>
        <w:t>Source: G203 §10.2 p63-67, §10.3 p74-77, Table 27 p63, Table 28 p64; G201 Table 8 p43-44.</w:t>
      </w:r>
    </w:p>
    <w:p>
      <w:r>
        <w:br w:type="page"/>
      </w:r>
    </w:p>
    <w:p>
      <w:pPr>
        <w:pStyle w:val="Heading1"/>
      </w:pPr>
      <w:r>
        <w:t>12   Treated effluent</w:t>
      </w:r>
    </w:p>
    <w:p>
      <w:pPr>
        <w:pStyle w:val="Heading2"/>
      </w:pPr>
      <w:r>
        <w:t>12.1   How much is produced</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TSE</m:t>
            </m:r>
          </m:sub>
        </m:sSub>
        <m:r>
          <w:rPr>
            <w:rFonts w:ascii="Cambria Math" w:hAnsi="Cambria Math"/>
          </w:rPr>
          <m:t xml:space="preserve"> = </m:t>
        </m:r>
        <m:r>
          <w:rPr>
            <w:rFonts w:ascii="Cambria Math" w:hAnsi="Cambria Math"/>
          </w:rPr>
          <m:t xml:space="preserve">0.95</m:t>
        </m:r>
        <m:sSub>
          <m:e>
            <m:r>
              <w:rPr>
                <w:rFonts w:ascii="Cambria Math" w:hAnsi="Cambria Math"/>
              </w:rPr>
              <m:t xml:space="preserve">Q</m:t>
            </m:r>
          </m:e>
          <m:sub>
            <m:r>
              <m:rPr>
                <m:sty m:val="p"/>
              </m:rPr>
              <w:rPr>
                <w:rFonts w:ascii="Cambria Math" w:hAnsi="Cambria Math"/>
              </w:rPr>
              <m:t xml:space="preserve">inlet</m:t>
            </m:r>
          </m:sub>
        </m:sSub>
      </m:oMath>
      <w:r>
        <w:tab/>
        <w:t>(25)</w:t>
      </w:r>
    </w:p>
    <w:p>
      <w:r>
        <w:rPr>
          <w:b w:val="0"/>
          <w:i w:val="0"/>
        </w:rPr>
        <w:t>The missing five per cent covers evaporation, reuse within the process, and the plant's own consumption for landscaping and dust control.</w:t>
      </w:r>
    </w:p>
    <w:p>
      <w:pPr>
        <w:tabs>
          <w:tab w:val="center" w:pos="4320"/>
          <w:tab w:val="right" w:pos="8640"/>
        </w:tabs>
        <w:spacing w:before="120" w:after="120"/>
      </w:pPr>
      <w:r>
        <w:tab/>
      </w:r>
      <m:oMath>
        <m:sSub>
          <m:e>
            <m:r>
              <w:rPr>
                <w:rFonts w:ascii="Cambria Math" w:hAnsi="Cambria Math"/>
              </w:rPr>
              <m:t xml:space="preserve">Q</m:t>
            </m:r>
          </m:e>
          <m:sub>
            <m:r>
              <m:rPr>
                <m:sty m:val="p"/>
              </m:rPr>
              <w:rPr>
                <w:rFonts w:ascii="Cambria Math" w:hAnsi="Cambria Math"/>
              </w:rPr>
              <m:t xml:space="preserve">delivered</m:t>
            </m:r>
          </m:sub>
        </m:sSub>
        <m:r>
          <w:rPr>
            <w:rFonts w:ascii="Cambria Math" w:hAnsi="Cambria Math"/>
          </w:rPr>
          <m:t xml:space="preserve"> = </m:t>
        </m:r>
        <m:r>
          <w:rPr>
            <w:rFonts w:ascii="Cambria Math" w:hAnsi="Cambria Math"/>
          </w:rPr>
          <m:t xml:space="preserve">0.90</m:t>
        </m:r>
        <m:sSub>
          <m:e>
            <m:r>
              <w:rPr>
                <w:rFonts w:ascii="Cambria Math" w:hAnsi="Cambria Math"/>
              </w:rPr>
              <m:t xml:space="preserve">Q</m:t>
            </m:r>
          </m:e>
          <m:sub>
            <m:r>
              <m:rPr>
                <m:sty m:val="p"/>
              </m:rPr>
              <w:rPr>
                <w:rFonts w:ascii="Cambria Math" w:hAnsi="Cambria Math"/>
              </w:rPr>
              <m:t xml:space="preserve">TSE</m:t>
            </m:r>
          </m:sub>
        </m:sSub>
        <m:r>
          <w:rPr>
            <w:rFonts w:ascii="Cambria Math" w:hAnsi="Cambria Math"/>
          </w:rPr>
          <m:t xml:space="preserve"> = </m:t>
        </m:r>
        <m:r>
          <w:rPr>
            <w:rFonts w:ascii="Cambria Math" w:hAnsi="Cambria Math"/>
          </w:rPr>
          <m:t xml:space="preserve">0.855</m:t>
        </m:r>
        <m:sSub>
          <m:e>
            <m:r>
              <w:rPr>
                <w:rFonts w:ascii="Cambria Math" w:hAnsi="Cambria Math"/>
              </w:rPr>
              <m:t xml:space="preserve">Q</m:t>
            </m:r>
          </m:e>
          <m:sub>
            <m:r>
              <m:rPr>
                <m:sty m:val="p"/>
              </m:rPr>
              <w:rPr>
                <w:rFonts w:ascii="Cambria Math" w:hAnsi="Cambria Math"/>
              </w:rPr>
              <m:t xml:space="preserve">inlet</m:t>
            </m:r>
          </m:sub>
        </m:sSub>
      </m:oMath>
      <w:r>
        <w:tab/>
        <w:t>(26)</w:t>
      </w:r>
    </w:p>
    <w:p>
      <w:r>
        <w:rPr>
          <w:b w:val="0"/>
          <w:i w:val="0"/>
        </w:rPr>
        <w:t>A further ten per cent is lost in the distribution network, chiefly at joints and connections. Note the difference in force: the 95 % production ratio is an assumption the guideline permits, while the 10 % network loss is one it requires.</w:t>
      </w:r>
    </w:p>
    <w:p>
      <w:pPr>
        <w:spacing w:after="200"/>
      </w:pPr>
      <w:r>
        <w:rPr>
          <w:b w:val="0"/>
          <w:i/>
          <w:color w:val="5A5A5A"/>
          <w:sz w:val="18"/>
        </w:rPr>
        <w:t>Source: G201 §7.4.6.1 p73 and §7.4.6.3 p75-76.</w:t>
      </w:r>
    </w:p>
    <w:p>
      <w:pPr>
        <w:pStyle w:val="Heading2"/>
      </w:pPr>
      <w:r>
        <w:t>12.2   Who takes it</w:t>
      </w:r>
    </w:p>
    <w:p>
      <w:r>
        <w:rPr>
          <w:b w:val="0"/>
          <w:i w:val="0"/>
        </w:rPr>
        <w:t>The TOR does not name customers. Identifying them is the consultant's task, and the guideline classifies them in two groups.</w:t>
      </w:r>
    </w:p>
    <w:tbl>
      <w:tblPr>
        <w:tblStyle w:val="TableGrid"/>
        <w:tblW w:type="auto" w:w="0"/>
        <w:jc w:val="center"/>
        <w:tblLook w:firstColumn="1" w:firstRow="1" w:lastColumn="0" w:lastRow="0" w:noHBand="0" w:noVBand="1" w:val="04A0"/>
      </w:tblPr>
      <w:tblGrid>
        <w:gridCol w:w="4706"/>
        <w:gridCol w:w="4706"/>
      </w:tblGrid>
      <w:tr>
        <w:tc>
          <w:tcPr>
            <w:tcW w:type="dxa" w:w="4649"/>
            <w:shd w:val="clear" w:color="auto" w:fill="1F3B63"/>
          </w:tcPr>
          <w:p>
            <w:pPr>
              <w:spacing w:after="40"/>
            </w:pPr>
            <w:r/>
            <w:r>
              <w:rPr>
                <w:b/>
                <w:color w:val="FFFFFF"/>
                <w:sz w:val="19"/>
              </w:rPr>
              <w:t>Public consumers</w:t>
            </w:r>
          </w:p>
        </w:tc>
        <w:tc>
          <w:tcPr>
            <w:tcW w:type="dxa" w:w="4706"/>
            <w:shd w:val="clear" w:color="auto" w:fill="1F3B63"/>
          </w:tcPr>
          <w:p>
            <w:pPr>
              <w:spacing w:after="40"/>
            </w:pPr>
            <w:r/>
            <w:r>
              <w:rPr>
                <w:b/>
                <w:color w:val="FFFFFF"/>
                <w:sz w:val="19"/>
              </w:rPr>
              <w:t>Private consumers</w:t>
            </w:r>
          </w:p>
        </w:tc>
      </w:tr>
      <w:tr>
        <w:tc>
          <w:tcPr>
            <w:tcW w:type="dxa" w:w="4649"/>
          </w:tcPr>
          <w:p>
            <w:pPr>
              <w:spacing w:after="40"/>
            </w:pPr>
            <w:r/>
            <w:r>
              <w:rPr>
                <w:b w:val="0"/>
                <w:sz w:val="19"/>
              </w:rPr>
              <w:t>Beautification of highways and main roads</w:t>
            </w:r>
          </w:p>
        </w:tc>
        <w:tc>
          <w:tcPr>
            <w:tcW w:type="dxa" w:w="4706"/>
          </w:tcPr>
          <w:p>
            <w:pPr>
              <w:spacing w:after="40"/>
            </w:pPr>
            <w:r/>
            <w:r>
              <w:rPr>
                <w:b w:val="0"/>
                <w:sz w:val="19"/>
              </w:rPr>
              <w:t>Community parks</w:t>
            </w:r>
          </w:p>
        </w:tc>
      </w:tr>
      <w:tr>
        <w:tc>
          <w:tcPr>
            <w:tcW w:type="dxa" w:w="4649"/>
          </w:tcPr>
          <w:p>
            <w:pPr>
              <w:spacing w:after="40"/>
            </w:pPr>
            <w:r/>
            <w:r>
              <w:rPr>
                <w:b w:val="0"/>
                <w:sz w:val="19"/>
              </w:rPr>
              <w:t>Beautification of secondary roads</w:t>
            </w:r>
          </w:p>
        </w:tc>
        <w:tc>
          <w:tcPr>
            <w:tcW w:type="dxa" w:w="4706"/>
          </w:tcPr>
          <w:p>
            <w:pPr>
              <w:spacing w:after="40"/>
            </w:pPr>
            <w:r/>
            <w:r>
              <w:rPr>
                <w:b w:val="0"/>
                <w:sz w:val="19"/>
              </w:rPr>
              <w:t>Golf courses</w:t>
            </w:r>
          </w:p>
        </w:tc>
      </w:tr>
      <w:tr>
        <w:tc>
          <w:tcPr>
            <w:tcW w:type="dxa" w:w="4649"/>
          </w:tcPr>
          <w:p>
            <w:pPr>
              <w:spacing w:after="40"/>
            </w:pPr>
            <w:r/>
            <w:r>
              <w:rPr>
                <w:b w:val="0"/>
                <w:sz w:val="19"/>
              </w:rPr>
              <w:t>Beautification of interchanges and roundabouts</w:t>
            </w:r>
          </w:p>
        </w:tc>
        <w:tc>
          <w:tcPr>
            <w:tcW w:type="dxa" w:w="4706"/>
          </w:tcPr>
          <w:p>
            <w:pPr>
              <w:spacing w:after="40"/>
            </w:pPr>
            <w:r/>
            <w:r>
              <w:rPr>
                <w:b w:val="0"/>
                <w:sz w:val="19"/>
              </w:rPr>
              <w:t>Private gardens</w:t>
            </w:r>
          </w:p>
        </w:tc>
      </w:tr>
      <w:tr>
        <w:tc>
          <w:tcPr>
            <w:tcW w:type="dxa" w:w="4649"/>
          </w:tcPr>
          <w:p>
            <w:pPr>
              <w:spacing w:after="40"/>
            </w:pPr>
            <w:r/>
            <w:r>
              <w:rPr>
                <w:b w:val="0"/>
                <w:sz w:val="19"/>
              </w:rPr>
              <w:t>Public parks</w:t>
            </w:r>
          </w:p>
        </w:tc>
        <w:tc>
          <w:tcPr>
            <w:tcW w:type="dxa" w:w="4706"/>
          </w:tcPr>
          <w:p>
            <w:pPr>
              <w:spacing w:after="40"/>
            </w:pPr>
            <w:r/>
            <w:r>
              <w:rPr>
                <w:b w:val="0"/>
                <w:sz w:val="19"/>
              </w:rPr>
              <w:t>Nurseries and farms</w:t>
            </w:r>
          </w:p>
        </w:tc>
      </w:tr>
    </w:tbl>
    <w:p>
      <w:pPr>
        <w:pStyle w:val="Heading2"/>
      </w:pPr>
      <w:r>
        <w:t>12.3   How much each needs</w:t>
      </w:r>
    </w:p>
    <w:p>
      <w:pPr>
        <w:spacing w:before="160" w:after="60"/>
      </w:pPr>
      <w:r>
        <w:rPr>
          <w:b/>
          <w:color w:val="2E629E"/>
          <w:sz w:val="18"/>
        </w:rPr>
        <w:t>Table 11   Summer irrigation demand, for concept planning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438"/>
            <w:shd w:val="clear" w:color="auto" w:fill="1F3B63"/>
          </w:tcPr>
          <w:p>
            <w:pPr>
              <w:spacing w:after="40"/>
            </w:pPr>
            <w:r/>
            <w:r>
              <w:rPr>
                <w:b/>
                <w:color w:val="FFFFFF"/>
                <w:sz w:val="18"/>
              </w:rPr>
              <w:t>Planting</w:t>
            </w:r>
          </w:p>
        </w:tc>
        <w:tc>
          <w:tcPr>
            <w:tcW w:type="dxa" w:w="2268"/>
            <w:shd w:val="clear" w:color="auto" w:fill="1F3B63"/>
          </w:tcPr>
          <w:p>
            <w:pPr>
              <w:spacing w:after="40"/>
            </w:pPr>
            <w:r/>
            <w:r>
              <w:rPr>
                <w:b/>
                <w:color w:val="FFFFFF"/>
                <w:sz w:val="18"/>
              </w:rPr>
              <w:t>Demand</w:t>
            </w:r>
          </w:p>
        </w:tc>
        <w:tc>
          <w:tcPr>
            <w:tcW w:type="dxa" w:w="2438"/>
            <w:shd w:val="clear" w:color="auto" w:fill="1F3B63"/>
          </w:tcPr>
          <w:p>
            <w:pPr>
              <w:spacing w:after="40"/>
            </w:pPr>
            <w:r/>
            <w:r>
              <w:rPr>
                <w:b/>
                <w:color w:val="FFFFFF"/>
                <w:sz w:val="18"/>
              </w:rPr>
              <w:t>Planting</w:t>
            </w:r>
          </w:p>
        </w:tc>
        <w:tc>
          <w:tcPr>
            <w:tcW w:type="dxa" w:w="2211"/>
            <w:shd w:val="clear" w:color="auto" w:fill="1F3B63"/>
          </w:tcPr>
          <w:p>
            <w:pPr>
              <w:spacing w:after="40"/>
            </w:pPr>
            <w:r/>
            <w:r>
              <w:rPr>
                <w:b/>
                <w:color w:val="FFFFFF"/>
                <w:sz w:val="18"/>
              </w:rPr>
              <w:t>Demand</w:t>
            </w:r>
          </w:p>
        </w:tc>
      </w:tr>
      <w:tr>
        <w:tc>
          <w:tcPr>
            <w:tcW w:type="dxa" w:w="2438"/>
          </w:tcPr>
          <w:p>
            <w:pPr>
              <w:spacing w:after="40"/>
            </w:pPr>
            <w:r/>
            <w:r>
              <w:rPr>
                <w:b w:val="0"/>
                <w:sz w:val="18"/>
              </w:rPr>
              <w:t>Shrubs</w:t>
            </w:r>
          </w:p>
        </w:tc>
        <w:tc>
          <w:tcPr>
            <w:tcW w:type="dxa" w:w="2268"/>
          </w:tcPr>
          <w:p>
            <w:pPr>
              <w:spacing w:after="40"/>
            </w:pPr>
            <w:r/>
            <w:r>
              <w:rPr>
                <w:b w:val="0"/>
                <w:sz w:val="18"/>
              </w:rPr>
              <w:t>20 – 40 l/plant/d</w:t>
            </w:r>
          </w:p>
        </w:tc>
        <w:tc>
          <w:tcPr>
            <w:tcW w:type="dxa" w:w="2438"/>
          </w:tcPr>
          <w:p>
            <w:pPr>
              <w:spacing w:after="40"/>
            </w:pPr>
            <w:r/>
            <w:r>
              <w:rPr>
                <w:b w:val="0"/>
                <w:sz w:val="18"/>
              </w:rPr>
              <w:t>Ground cover</w:t>
            </w:r>
          </w:p>
        </w:tc>
        <w:tc>
          <w:tcPr>
            <w:tcW w:type="dxa" w:w="2211"/>
          </w:tcPr>
          <w:p>
            <w:pPr>
              <w:spacing w:after="40"/>
            </w:pPr>
            <w:r/>
            <w:r>
              <w:rPr>
                <w:b w:val="0"/>
                <w:sz w:val="18"/>
              </w:rPr>
              <w:t>10 l/m²/d</w:t>
            </w:r>
          </w:p>
        </w:tc>
      </w:tr>
      <w:tr>
        <w:tc>
          <w:tcPr>
            <w:tcW w:type="dxa" w:w="2438"/>
          </w:tcPr>
          <w:p>
            <w:pPr>
              <w:spacing w:after="40"/>
            </w:pPr>
            <w:r/>
            <w:r>
              <w:rPr>
                <w:b w:val="0"/>
                <w:sz w:val="18"/>
              </w:rPr>
              <w:t>Palm trees</w:t>
            </w:r>
          </w:p>
        </w:tc>
        <w:tc>
          <w:tcPr>
            <w:tcW w:type="dxa" w:w="2268"/>
          </w:tcPr>
          <w:p>
            <w:pPr>
              <w:spacing w:after="40"/>
            </w:pPr>
            <w:r/>
            <w:r>
              <w:rPr>
                <w:b w:val="0"/>
                <w:sz w:val="18"/>
              </w:rPr>
              <w:t>120 – 165 l/plant/d</w:t>
            </w:r>
          </w:p>
        </w:tc>
        <w:tc>
          <w:tcPr>
            <w:tcW w:type="dxa" w:w="2438"/>
          </w:tcPr>
          <w:p>
            <w:pPr>
              <w:spacing w:after="40"/>
            </w:pPr>
            <w:r/>
            <w:r>
              <w:rPr>
                <w:b w:val="0"/>
                <w:sz w:val="18"/>
              </w:rPr>
              <w:t>Seasonal flowers</w:t>
            </w:r>
          </w:p>
        </w:tc>
        <w:tc>
          <w:tcPr>
            <w:tcW w:type="dxa" w:w="2211"/>
          </w:tcPr>
          <w:p>
            <w:pPr>
              <w:spacing w:after="40"/>
            </w:pPr>
            <w:r/>
            <w:r>
              <w:rPr>
                <w:b w:val="0"/>
                <w:sz w:val="18"/>
              </w:rPr>
              <w:t>10 l/m²/d</w:t>
            </w:r>
          </w:p>
        </w:tc>
      </w:tr>
      <w:tr>
        <w:tc>
          <w:tcPr>
            <w:tcW w:type="dxa" w:w="2438"/>
          </w:tcPr>
          <w:p>
            <w:pPr>
              <w:spacing w:after="40"/>
            </w:pPr>
            <w:r/>
            <w:r>
              <w:rPr>
                <w:b w:val="0"/>
                <w:sz w:val="18"/>
              </w:rPr>
              <w:t>Other trees</w:t>
            </w:r>
          </w:p>
        </w:tc>
        <w:tc>
          <w:tcPr>
            <w:tcW w:type="dxa" w:w="2268"/>
          </w:tcPr>
          <w:p>
            <w:pPr>
              <w:spacing w:after="40"/>
            </w:pPr>
            <w:r/>
            <w:r>
              <w:rPr>
                <w:b w:val="0"/>
                <w:sz w:val="18"/>
              </w:rPr>
              <w:t>40 – 80 l/plant/d</w:t>
            </w:r>
          </w:p>
        </w:tc>
        <w:tc>
          <w:tcPr>
            <w:tcW w:type="dxa" w:w="2438"/>
          </w:tcPr>
          <w:p>
            <w:pPr>
              <w:spacing w:after="40"/>
            </w:pPr>
            <w:r/>
            <w:r>
              <w:rPr>
                <w:b w:val="0"/>
                <w:sz w:val="18"/>
              </w:rPr>
              <w:t>Grass</w:t>
            </w:r>
          </w:p>
        </w:tc>
        <w:tc>
          <w:tcPr>
            <w:tcW w:type="dxa" w:w="2211"/>
          </w:tcPr>
          <w:p>
            <w:pPr>
              <w:spacing w:after="40"/>
            </w:pPr>
            <w:r/>
            <w:r>
              <w:rPr>
                <w:b w:val="0"/>
                <w:sz w:val="18"/>
              </w:rPr>
              <w:t>12 l/m²/d</w:t>
            </w:r>
          </w:p>
        </w:tc>
      </w:tr>
      <w:tr>
        <w:tc>
          <w:tcPr>
            <w:tcW w:type="dxa" w:w="2438"/>
          </w:tcPr>
          <w:p>
            <w:pPr>
              <w:spacing w:after="40"/>
            </w:pPr>
            <w:r/>
            <w:r>
              <w:rPr>
                <w:b w:val="0"/>
                <w:sz w:val="18"/>
              </w:rPr>
              <w:t>Hedges</w:t>
            </w:r>
          </w:p>
        </w:tc>
        <w:tc>
          <w:tcPr>
            <w:tcW w:type="dxa" w:w="2268"/>
          </w:tcPr>
          <w:p>
            <w:pPr>
              <w:spacing w:after="40"/>
            </w:pPr>
            <w:r/>
            <w:r>
              <w:rPr>
                <w:b w:val="0"/>
                <w:sz w:val="18"/>
              </w:rPr>
              <w:t>10 l/m/d</w:t>
            </w:r>
          </w:p>
        </w:tc>
        <w:tc>
          <w:tcPr>
            <w:tcW w:type="dxa" w:w="2438"/>
          </w:tcPr>
          <w:p>
            <w:pPr>
              <w:spacing w:after="40"/>
            </w:pPr>
            <w:r/>
            <w:r>
              <w:rPr>
                <w:b w:val="0"/>
                <w:sz w:val="18"/>
              </w:rPr>
              <w:t>Roads and junctions</w:t>
            </w:r>
          </w:p>
        </w:tc>
        <w:tc>
          <w:tcPr>
            <w:tcW w:type="dxa" w:w="2211"/>
          </w:tcPr>
          <w:p>
            <w:pPr>
              <w:spacing w:after="40"/>
            </w:pPr>
            <w:r/>
            <w:r>
              <w:rPr>
                <w:b w:val="0"/>
                <w:sz w:val="18"/>
              </w:rPr>
              <w:t>10 l/m²/d</w:t>
            </w:r>
          </w:p>
        </w:tc>
      </w:tr>
    </w:tbl>
    <w:p/>
    <w:p>
      <w:r>
        <w:rPr>
          <w:b w:val="0"/>
          <w:i w:val="0"/>
        </w:rPr>
        <w:t>Planting densities are 15 m for trees and 3 m for shrubs. The rate for roads and junctions applies where the vegetation type is unknown and is subject to the municipality's approval.</w:t>
      </w:r>
    </w:p>
    <w:p>
      <w:pPr>
        <w:pStyle w:val="Heading2"/>
      </w:pPr>
      <w:r>
        <w:t>12.4   Seasonality and sizing</w:t>
      </w:r>
    </w:p>
    <w:p>
      <w:r>
        <w:rPr>
          <w:b w:val="0"/>
          <w:i w:val="0"/>
        </w:rPr>
        <w:t>Demand runs at 100 % from June to August, 75 % in spring and autumn, and 50 % from December to February. The system is sized on the summer peak. Any consumer averaging more than 500 m³/d is to be studied individually with its own irrigation timing pattern. Reservoirs are designed for a minimum of 24 hours storage.</w:t>
      </w:r>
    </w:p>
    <w:p>
      <w:pPr>
        <w:spacing w:after="200"/>
      </w:pPr>
      <w:r>
        <w:rPr>
          <w:b w:val="0"/>
          <w:i/>
          <w:color w:val="5A5A5A"/>
          <w:sz w:val="18"/>
        </w:rPr>
        <w:t>Source: G201 §7.4.6 p73-77, Tables 20 to 23.</w:t>
      </w:r>
    </w:p>
    <w:p>
      <w:r>
        <w:br w:type="page"/>
      </w:r>
    </w:p>
    <w:p>
      <w:pPr>
        <w:pStyle w:val="Heading1"/>
      </w:pPr>
      <w:r>
        <w:t>13   Sludge</w:t>
      </w:r>
    </w:p>
    <w:p>
      <w:pPr>
        <w:pStyle w:val="Heading2"/>
      </w:pPr>
      <w:r>
        <w:t>13.1   Purpose</w:t>
      </w:r>
    </w:p>
    <w:p>
      <w:r>
        <w:rPr>
          <w:b w:val="0"/>
          <w:i w:val="0"/>
        </w:rPr>
        <w:t>Sludge handling and disposal must be considered an integral part of the treatment system, and plans and specifications for it must be incorporated into the design of every plant. It is not an appendix to the process design.</w:t>
      </w:r>
    </w:p>
    <w:p>
      <w:pPr>
        <w:pStyle w:val="Heading2"/>
      </w:pPr>
      <w:r>
        <w:t>13.2   How much</w:t>
      </w:r>
    </w:p>
    <w:p>
      <w:pPr>
        <w:tabs>
          <w:tab w:val="center" w:pos="4320"/>
          <w:tab w:val="right" w:pos="8640"/>
        </w:tabs>
        <w:spacing w:before="120" w:after="120"/>
      </w:pPr>
      <w:r>
        <w:tab/>
      </w:r>
      <m:oMath>
        <m:r>
          <m:rPr>
            <m:sty m:val="p"/>
          </m:rPr>
          <w:rPr>
            <w:rFonts w:ascii="Cambria Math" w:hAnsi="Cambria Math"/>
          </w:rPr>
          <m:t xml:space="preserve">Sludge</m:t>
        </m:r>
        <m:r>
          <w:rPr>
            <w:rFonts w:ascii="Cambria Math" w:hAnsi="Cambria Math"/>
          </w:rPr>
          <m:t xml:space="preserve"> = </m:t>
        </m:r>
        <m:r>
          <w:rPr>
            <w:rFonts w:ascii="Cambria Math" w:hAnsi="Cambria Math"/>
          </w:rPr>
          <m:t xml:space="preserve">0.25</m:t>
        </m:r>
        <m:r>
          <w:rPr>
            <w:rFonts w:ascii="Cambria Math" w:hAnsi="Cambria Math"/>
          </w:rPr>
          <m:t xml:space="preserve"> × </m:t>
        </m:r>
        <m:sSub>
          <m:e>
            <m:r>
              <w:rPr>
                <w:rFonts w:ascii="Cambria Math" w:hAnsi="Cambria Math"/>
              </w:rPr>
              <m:t xml:space="preserve">Q</m:t>
            </m:r>
          </m:e>
          <m:sub>
            <m:r>
              <m:rPr>
                <m:sty m:val="p"/>
              </m:rPr>
              <w:rPr>
                <w:rFonts w:ascii="Cambria Math" w:hAnsi="Cambria Math"/>
              </w:rPr>
              <m:t xml:space="preserve">inlet</m:t>
            </m:r>
          </m:sub>
        </m:sSub>
      </m:oMath>
      <w:r>
        <w:tab/>
        <w:t>(27)</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Sludge</w:t>
            </w:r>
          </w:p>
        </w:tc>
        <w:tc>
          <w:tcPr>
            <w:tcW w:type="dxa" w:w="5896"/>
          </w:tcPr>
          <w:p>
            <w:pPr>
              <w:spacing w:after="40"/>
            </w:pPr>
            <w:r/>
            <w:r>
              <w:rPr>
                <w:b w:val="0"/>
                <w:sz w:val="18"/>
              </w:rPr>
              <w:t>sludge produced, dry solids</w:t>
            </w:r>
          </w:p>
        </w:tc>
        <w:tc>
          <w:tcPr>
            <w:tcW w:type="dxa" w:w="1984"/>
          </w:tcPr>
          <w:p>
            <w:pPr>
              <w:spacing w:after="40"/>
            </w:pPr>
            <w:r/>
            <w:r>
              <w:rPr>
                <w:b w:val="0"/>
                <w:sz w:val="18"/>
              </w:rPr>
              <w:t>kg/d</w:t>
            </w:r>
          </w:p>
        </w:tc>
      </w:tr>
      <w:tr>
        <w:tc>
          <w:tcPr>
            <w:tcW w:type="dxa" w:w="1474"/>
          </w:tcPr>
          <w:p>
            <w:pPr>
              <w:spacing w:after="40"/>
            </w:pPr>
            <w:r/>
            <w:r>
              <w:rPr>
                <w:b w:val="0"/>
                <w:sz w:val="18"/>
              </w:rPr>
              <w:t>Q inlet</w:t>
            </w:r>
          </w:p>
        </w:tc>
        <w:tc>
          <w:tcPr>
            <w:tcW w:type="dxa" w:w="5896"/>
          </w:tcPr>
          <w:p>
            <w:pPr>
              <w:spacing w:after="40"/>
            </w:pPr>
            <w:r/>
            <w:r>
              <w:rPr>
                <w:b w:val="0"/>
                <w:sz w:val="18"/>
              </w:rPr>
              <w:t>plant inflow</w:t>
            </w:r>
          </w:p>
        </w:tc>
        <w:tc>
          <w:tcPr>
            <w:tcW w:type="dxa" w:w="1984"/>
          </w:tcPr>
          <w:p>
            <w:pPr>
              <w:spacing w:after="40"/>
            </w:pPr>
            <w:r/>
            <w:r>
              <w:rPr>
                <w:b w:val="0"/>
                <w:sz w:val="18"/>
              </w:rPr>
              <w:t>m³/d</w:t>
            </w:r>
          </w:p>
        </w:tc>
      </w:tr>
    </w:tbl>
    <w:p>
      <w:r>
        <w:rPr>
          <w:b w:val="0"/>
          <w:i w:val="0"/>
        </w:rPr>
        <w:t>This is a master-plan baseline and an explicit starting point, not a design figure. It is a volumetric yield tied to inflow rather than the conventional yield per kilogram of BOD removed, and the guideline does not state whether it is dry solids or wet cake — read as dry solids. The wastewater guideline gives no yield factor at all; sludge production is instead a required output of the process model.</w:t>
      </w:r>
    </w:p>
    <w:p>
      <w:pPr>
        <w:pStyle w:val="Heading2"/>
      </w:pPr>
      <w:r>
        <w:t>13.3   Where it goes</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Ibri is named as the governorate's sludge treatment centre.  </w:t>
      </w:r>
      <w:r>
        <w:rPr>
          <w:sz w:val="20"/>
        </w:rPr>
        <w:t>NWS's own sludge management plan lists, for Adh Dhahirah, a sludge treatment centre performing composting at Ibri STP. The plant is a receiver for the governorate, not merely a producer of its own sludge. That has consequences for land area, odour buffer, and vehicle access which must be carried into the site selection and the footprint.</w:t>
      </w:r>
    </w:p>
    <w:p>
      <w:r>
        <w:rPr>
          <w:b w:val="0"/>
          <w:i w:val="0"/>
        </w:rPr>
        <w:t>Reuse is the default: Ministerial Decision 145/93 requires sludge to be reused unless no form of reuse is possible, and quality must comply with its heavy metal limits — which are referenced by the guideline but not reproduced in it, and must be obtained from the Decision itself. Sludge exceeding those limits may go to landfill only with prior ministerial approval.</w:t>
      </w:r>
    </w:p>
    <w:p>
      <w:pPr>
        <w:spacing w:before="160" w:after="60"/>
      </w:pPr>
      <w:r>
        <w:rPr>
          <w:b/>
          <w:color w:val="2E629E"/>
          <w:sz w:val="18"/>
        </w:rPr>
        <w:t>Table 12   Be'ah landfill acceptance criteria</w:t>
      </w:r>
    </w:p>
    <w:tbl>
      <w:tblPr>
        <w:tblStyle w:val="TableGrid"/>
        <w:tblW w:type="auto" w:w="0"/>
        <w:jc w:val="center"/>
        <w:tblLook w:firstColumn="1" w:firstRow="1" w:lastColumn="0" w:lastRow="0" w:noHBand="0" w:noVBand="1" w:val="04A0"/>
      </w:tblPr>
      <w:tblGrid>
        <w:gridCol w:w="4706"/>
        <w:gridCol w:w="4706"/>
      </w:tblGrid>
      <w:tr>
        <w:tc>
          <w:tcPr>
            <w:tcW w:type="dxa" w:w="3118"/>
            <w:shd w:val="clear" w:color="auto" w:fill="1F3B63"/>
          </w:tcPr>
          <w:p>
            <w:pPr>
              <w:spacing w:after="40"/>
            </w:pPr>
            <w:r/>
            <w:r>
              <w:rPr>
                <w:b/>
                <w:color w:val="FFFFFF"/>
                <w:sz w:val="19"/>
              </w:rPr>
              <w:t>Criterion</w:t>
            </w:r>
          </w:p>
        </w:tc>
        <w:tc>
          <w:tcPr>
            <w:tcW w:type="dxa" w:w="6236"/>
            <w:shd w:val="clear" w:color="auto" w:fill="1F3B63"/>
          </w:tcPr>
          <w:p>
            <w:pPr>
              <w:spacing w:after="40"/>
            </w:pPr>
            <w:r/>
            <w:r>
              <w:rPr>
                <w:b/>
                <w:color w:val="FFFFFF"/>
                <w:sz w:val="19"/>
              </w:rPr>
              <w:t>Requirement</w:t>
            </w:r>
          </w:p>
        </w:tc>
      </w:tr>
      <w:tr>
        <w:tc>
          <w:tcPr>
            <w:tcW w:type="dxa" w:w="3118"/>
          </w:tcPr>
          <w:p>
            <w:pPr>
              <w:spacing w:after="40"/>
            </w:pPr>
            <w:r/>
            <w:r>
              <w:rPr>
                <w:b w:val="0"/>
                <w:sz w:val="19"/>
              </w:rPr>
              <w:t>Solids content</w:t>
            </w:r>
          </w:p>
        </w:tc>
        <w:tc>
          <w:tcPr>
            <w:tcW w:type="dxa" w:w="6236"/>
          </w:tcPr>
          <w:p>
            <w:pPr>
              <w:spacing w:after="40"/>
            </w:pPr>
            <w:r/>
            <w:r>
              <w:rPr>
                <w:b/>
                <w:sz w:val="19"/>
              </w:rPr>
              <w:t>minimum 80 %, dried before disposal</w:t>
            </w:r>
          </w:p>
        </w:tc>
      </w:tr>
      <w:tr>
        <w:tc>
          <w:tcPr>
            <w:tcW w:type="dxa" w:w="3118"/>
          </w:tcPr>
          <w:p>
            <w:pPr>
              <w:spacing w:after="40"/>
            </w:pPr>
            <w:r/>
            <w:r>
              <w:rPr>
                <w:b w:val="0"/>
                <w:sz w:val="19"/>
              </w:rPr>
              <w:t>pH</w:t>
            </w:r>
          </w:p>
        </w:tc>
        <w:tc>
          <w:tcPr>
            <w:tcW w:type="dxa" w:w="6236"/>
          </w:tcPr>
          <w:p>
            <w:pPr>
              <w:spacing w:after="40"/>
            </w:pPr>
            <w:r/>
            <w:r>
              <w:rPr>
                <w:b w:val="0"/>
                <w:sz w:val="19"/>
              </w:rPr>
              <w:t>neutral</w:t>
            </w:r>
          </w:p>
        </w:tc>
      </w:tr>
      <w:tr>
        <w:tc>
          <w:tcPr>
            <w:tcW w:type="dxa" w:w="3118"/>
          </w:tcPr>
          <w:p>
            <w:pPr>
              <w:spacing w:after="40"/>
            </w:pPr>
            <w:r/>
            <w:r>
              <w:rPr>
                <w:b w:val="0"/>
                <w:sz w:val="19"/>
              </w:rPr>
              <w:t>Temperature</w:t>
            </w:r>
          </w:p>
        </w:tc>
        <w:tc>
          <w:tcPr>
            <w:tcW w:type="dxa" w:w="6236"/>
          </w:tcPr>
          <w:p>
            <w:pPr>
              <w:spacing w:after="40"/>
            </w:pPr>
            <w:r/>
            <w:r>
              <w:rPr>
                <w:b w:val="0"/>
                <w:sz w:val="19"/>
              </w:rPr>
              <w:t>ambient</w:t>
            </w:r>
          </w:p>
        </w:tc>
      </w:tr>
      <w:tr>
        <w:tc>
          <w:tcPr>
            <w:tcW w:type="dxa" w:w="3118"/>
          </w:tcPr>
          <w:p>
            <w:pPr>
              <w:spacing w:after="40"/>
            </w:pPr>
            <w:r/>
            <w:r>
              <w:rPr>
                <w:b w:val="0"/>
                <w:sz w:val="19"/>
              </w:rPr>
              <w:t>Daily quantity</w:t>
            </w:r>
          </w:p>
        </w:tc>
        <w:tc>
          <w:tcPr>
            <w:tcW w:type="dxa" w:w="6236"/>
          </w:tcPr>
          <w:p>
            <w:pPr>
              <w:spacing w:after="40"/>
            </w:pPr>
            <w:r/>
            <w:r>
              <w:rPr>
                <w:b w:val="0"/>
                <w:sz w:val="19"/>
              </w:rPr>
              <w:t>not exceeding 60 tonnes per day</w:t>
            </w:r>
          </w:p>
        </w:tc>
      </w:tr>
      <w:tr>
        <w:tc>
          <w:tcPr>
            <w:tcW w:type="dxa" w:w="3118"/>
          </w:tcPr>
          <w:p>
            <w:pPr>
              <w:spacing w:after="40"/>
            </w:pPr>
            <w:r/>
            <w:r>
              <w:rPr>
                <w:b w:val="0"/>
                <w:sz w:val="19"/>
              </w:rPr>
              <w:t>Standing</w:t>
            </w:r>
          </w:p>
        </w:tc>
        <w:tc>
          <w:tcPr>
            <w:tcW w:type="dxa" w:w="6236"/>
          </w:tcPr>
          <w:p>
            <w:pPr>
              <w:spacing w:after="40"/>
            </w:pPr>
            <w:r/>
            <w:r>
              <w:rPr>
                <w:b w:val="0"/>
                <w:sz w:val="19"/>
              </w:rPr>
              <w:t>Be'ah may stop receiving sludge at any time</w:t>
            </w:r>
          </w:p>
        </w:tc>
      </w:tr>
    </w:tbl>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The 80 % threshold rules out mechanical dewatering alone.  </w:t>
      </w:r>
      <w:r>
        <w:rPr>
          <w:sz w:val="20"/>
        </w:rPr>
        <w:t>The best performance in the guideline's own tables is a plate filter press at 40 to 45 % dry solids. Drying beds reach 60 to 75 %, still short. Thermal or solar drying, or composting, is therefore effectively forced if landfill is the outlet — which aligns with the composting centre already designated for Ibri.</w:t>
      </w:r>
    </w:p>
    <w:p>
      <w:r>
        <w:rPr>
          <w:b w:val="0"/>
          <w:i w:val="0"/>
        </w:rPr>
        <w:t>Onsite dewatering facilities are required at all plants unless NWS states otherwise, sized on peak weekly average flow at eleven hours a day, seven days a week, with a standby unit and solids recovery of at least 95 %.</w:t>
      </w:r>
    </w:p>
    <w:p>
      <w:pPr>
        <w:spacing w:after="200"/>
      </w:pPr>
      <w:r>
        <w:rPr>
          <w:b w:val="0"/>
          <w:i/>
          <w:color w:val="5A5A5A"/>
          <w:sz w:val="18"/>
        </w:rPr>
        <w:t>Source: G201 §7.4.7 p78; G203 §10.6.8 p135-137 and p151-155.</w:t>
      </w:r>
    </w:p>
    <w:p>
      <w:r>
        <w:br w:type="page"/>
      </w:r>
    </w:p>
    <w:p>
      <w:pPr>
        <w:pStyle w:val="Heading1"/>
      </w:pPr>
      <w:r>
        <w:t>14   Options and appraisal</w:t>
      </w:r>
    </w:p>
    <w:p>
      <w:pPr>
        <w:pStyle w:val="Heading2"/>
      </w:pPr>
      <w:r>
        <w:t>14.1   How many options, and of what kind</w:t>
      </w:r>
    </w:p>
    <w:p>
      <w:r>
        <w:rPr>
          <w:b w:val="0"/>
          <w:i w:val="0"/>
        </w:rPr>
        <w:t>A minimum of three options is required, and separately for the sewer network, the treated effluent network and the plant. The guideline also states what kind they should be.</w:t>
      </w:r>
    </w:p>
    <w:p>
      <w:pPr>
        <w:spacing w:after="60"/>
        <w:ind w:left="510" w:hanging="510"/>
      </w:pPr>
      <w:r>
        <w:rPr>
          <w:b/>
        </w:rPr>
        <w:t xml:space="preserve">1.   </w:t>
      </w:r>
      <w:r>
        <w:t>an option that pushes environmental sustainability, including nature-based solutions</w:t>
      </w:r>
    </w:p>
    <w:p>
      <w:pPr>
        <w:spacing w:after="60"/>
        <w:ind w:left="510" w:hanging="510"/>
      </w:pPr>
      <w:r>
        <w:rPr>
          <w:b/>
        </w:rPr>
        <w:t xml:space="preserve">2.   </w:t>
      </w:r>
      <w:r>
        <w:t>an internationally best-in-class, state-of-the-art solution</w:t>
      </w:r>
    </w:p>
    <w:p>
      <w:pPr>
        <w:spacing w:after="60"/>
        <w:ind w:left="510" w:hanging="510"/>
      </w:pPr>
      <w:r>
        <w:rPr>
          <w:b/>
        </w:rPr>
        <w:t xml:space="preserve">3.   </w:t>
      </w:r>
      <w:r>
        <w:t>a standard solution using practice and technology already established in Oman</w:t>
      </w:r>
    </w:p>
    <w:p>
      <w:r>
        <w:rPr>
          <w:b w:val="0"/>
          <w:i w:val="0"/>
        </w:rPr>
        <w:t>The three-option minimum is mandatory; the archetypes are offered as guidance. Each option must present equivalent functional requirements and comparable reliability and redundancy, so that the comparison is unbiased.</w:t>
      </w:r>
    </w:p>
    <w:p>
      <w:pPr>
        <w:pStyle w:val="Heading2"/>
      </w:pPr>
      <w:r>
        <w:t>14.2   The appraisal parameters</w:t>
      </w:r>
    </w:p>
    <w:p>
      <w:r>
        <w:rPr>
          <w:b w:val="0"/>
          <w:i w:val="0"/>
        </w:rPr>
        <w:t>Capital and operating cost; life cycle cost; carbon footprint over the project lifetime; resource efficiency under a circular economy approach including decommissioning; in-country value; and the degree of nature-based solution. The evaluation horizon is twenty-five years for every parameter, and NWS sets the weighting.</w:t>
      </w:r>
    </w:p>
    <w:p>
      <w:pPr>
        <w:pStyle w:val="Heading2"/>
      </w:pPr>
      <w:r>
        <w:t>14.3   Net present value</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No formula for this exists in the guidelines.  </w:t>
      </w:r>
      <w:r>
        <w:rPr>
          <w:sz w:val="20"/>
        </w:rPr>
        <w:t>Net present value, life cycle cost, carbon footprint and the multi-criteria score are all named and specified in scope, and none is written as an equation anywhere in the three documents. This was verified by full-text search and by checking every page for equations dropped as images. Cite ISO 15686-5 for life cycle cost and the GHG Protocol and ISO 14064 for carbon. What the guideline does fix is the discount rate and the horizon.</w:t>
      </w:r>
    </w:p>
    <w:p>
      <w:pPr>
        <w:tabs>
          <w:tab w:val="center" w:pos="4320"/>
          <w:tab w:val="right" w:pos="8640"/>
        </w:tabs>
        <w:spacing w:before="120" w:after="120"/>
      </w:pPr>
      <w:r>
        <w:tab/>
      </w:r>
      <m:oMath>
        <m:r>
          <m:rPr>
            <m:sty m:val="p"/>
          </m:rPr>
          <w:rPr>
            <w:rFonts w:ascii="Cambria Math" w:hAnsi="Cambria Math"/>
          </w:rPr>
          <m:t xml:space="preserve">NPV</m:t>
        </m:r>
        <m:r>
          <w:rPr>
            <w:rFonts w:ascii="Cambria Math" w:hAnsi="Cambria Math"/>
          </w:rPr>
          <m:t xml:space="preserve"> = </m:t>
        </m:r>
        <m:nary>
          <m:naryPr>
            <m:chr m:val="∑"/>
            <m:limLoc m:val="undOvr"/>
            <m:subHide m:val="0"/>
            <m:supHide m:val="0"/>
          </m:naryPr>
          <m:sub>
            <m:r>
              <w:rPr>
                <w:rFonts w:ascii="Cambria Math" w:hAnsi="Cambria Math"/>
              </w:rPr>
              <m:t xml:space="preserve">t</m:t>
            </m:r>
            <m:r>
              <w:rPr>
                <w:rFonts w:ascii="Cambria Math" w:hAnsi="Cambria Math"/>
              </w:rPr>
              <m:t xml:space="preserve">=1</m:t>
            </m:r>
          </m:sub>
          <m:sup>
            <m:r>
              <w:rPr>
                <w:rFonts w:ascii="Cambria Math" w:hAnsi="Cambria Math"/>
              </w:rPr>
              <m:t xml:space="preserve">n</m:t>
            </m:r>
          </m:sup>
          <m:e>
            <m:f>
              <m:num>
                <m:sSub>
                  <m:e>
                    <m:r>
                      <w:rPr>
                        <w:rFonts w:ascii="Cambria Math" w:hAnsi="Cambria Math"/>
                      </w:rPr>
                      <m:t xml:space="preserve">C</m:t>
                    </m:r>
                  </m:e>
                  <m:sub>
                    <m:r>
                      <w:rPr>
                        <w:rFonts w:ascii="Cambria Math" w:hAnsi="Cambria Math"/>
                      </w:rPr>
                      <m:t xml:space="preserve">t</m:t>
                    </m:r>
                  </m:sub>
                </m:sSub>
              </m:num>
              <m:den>
                <m:sSup>
                  <m:e>
                    <m:d>
                      <m:dPr>
                        <m:begChr m:val="("/>
                        <m:endChr m:val=")"/>
                      </m:dPr>
                      <m:e>
                        <m:r>
                          <w:rPr>
                            <w:rFonts w:ascii="Cambria Math" w:hAnsi="Cambria Math"/>
                          </w:rPr>
                          <m:t xml:space="preserve">1</m:t>
                        </m:r>
                        <m:r>
                          <w:rPr>
                            <w:rFonts w:ascii="Cambria Math" w:hAnsi="Cambria Math"/>
                          </w:rPr>
                          <m:t xml:space="preserve"> + </m:t>
                        </m:r>
                        <m:r>
                          <w:rPr>
                            <w:rFonts w:ascii="Cambria Math" w:hAnsi="Cambria Math"/>
                          </w:rPr>
                          <m:t xml:space="preserve">i</m:t>
                        </m:r>
                      </m:e>
                    </m:d>
                  </m:e>
                  <m:sup>
                    <m:r>
                      <w:rPr>
                        <w:rFonts w:ascii="Cambria Math" w:hAnsi="Cambria Math"/>
                      </w:rPr>
                      <m:t xml:space="preserve">t</m:t>
                    </m:r>
                  </m:sup>
                </m:sSup>
              </m:den>
            </m:f>
          </m:e>
        </m:nary>
      </m:oMath>
      <w:r>
        <w:tab/>
        <w:t>(28)</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8"/>
              </w:rPr>
              <w:t>Symbol</w:t>
            </w:r>
          </w:p>
        </w:tc>
        <w:tc>
          <w:tcPr>
            <w:tcW w:type="dxa" w:w="5896"/>
            <w:shd w:val="clear" w:color="auto" w:fill="1F3B63"/>
          </w:tcPr>
          <w:p>
            <w:pPr>
              <w:spacing w:after="40"/>
            </w:pPr>
            <w:r/>
            <w:r>
              <w:rPr>
                <w:b/>
                <w:color w:val="FFFFFF"/>
                <w:sz w:val="18"/>
              </w:rPr>
              <w:t>Meaning</w:t>
            </w:r>
          </w:p>
        </w:tc>
        <w:tc>
          <w:tcPr>
            <w:tcW w:type="dxa" w:w="1984"/>
            <w:shd w:val="clear" w:color="auto" w:fill="1F3B63"/>
          </w:tcPr>
          <w:p>
            <w:pPr>
              <w:spacing w:after="40"/>
            </w:pPr>
            <w:r/>
            <w:r>
              <w:rPr>
                <w:b/>
                <w:color w:val="FFFFFF"/>
                <w:sz w:val="18"/>
              </w:rPr>
              <w:t>Unit</w:t>
            </w:r>
          </w:p>
        </w:tc>
      </w:tr>
      <w:tr>
        <w:tc>
          <w:tcPr>
            <w:tcW w:type="dxa" w:w="1474"/>
          </w:tcPr>
          <w:p>
            <w:pPr>
              <w:spacing w:after="40"/>
            </w:pPr>
            <w:r/>
            <w:r>
              <w:rPr>
                <w:b w:val="0"/>
                <w:sz w:val="18"/>
              </w:rPr>
              <w:t>C t</w:t>
            </w:r>
          </w:p>
        </w:tc>
        <w:tc>
          <w:tcPr>
            <w:tcW w:type="dxa" w:w="5896"/>
          </w:tcPr>
          <w:p>
            <w:pPr>
              <w:spacing w:after="40"/>
            </w:pPr>
            <w:r/>
            <w:r>
              <w:rPr>
                <w:b w:val="0"/>
                <w:sz w:val="18"/>
              </w:rPr>
              <w:t>net cash flow in year t</w:t>
            </w:r>
          </w:p>
        </w:tc>
        <w:tc>
          <w:tcPr>
            <w:tcW w:type="dxa" w:w="1984"/>
          </w:tcPr>
          <w:p>
            <w:pPr>
              <w:spacing w:after="40"/>
            </w:pPr>
            <w:r/>
            <w:r>
              <w:rPr>
                <w:b w:val="0"/>
                <w:sz w:val="18"/>
              </w:rPr>
              <w:t>OMR</w:t>
            </w:r>
          </w:p>
        </w:tc>
      </w:tr>
      <w:tr>
        <w:tc>
          <w:tcPr>
            <w:tcW w:type="dxa" w:w="1474"/>
          </w:tcPr>
          <w:p>
            <w:pPr>
              <w:spacing w:after="40"/>
            </w:pPr>
            <w:r/>
            <w:r>
              <w:rPr>
                <w:b w:val="0"/>
                <w:sz w:val="18"/>
              </w:rPr>
              <w:t>i</w:t>
            </w:r>
          </w:p>
        </w:tc>
        <w:tc>
          <w:tcPr>
            <w:tcW w:type="dxa" w:w="5896"/>
          </w:tcPr>
          <w:p>
            <w:pPr>
              <w:spacing w:after="40"/>
            </w:pPr>
            <w:r/>
            <w:r>
              <w:rPr>
                <w:b w:val="0"/>
                <w:sz w:val="18"/>
              </w:rPr>
              <w:t xml:space="preserve">discount rate — </w:t>
            </w:r>
            <w:r>
              <w:rPr>
                <w:b/>
                <w:sz w:val="18"/>
              </w:rPr>
              <w:t>5 %, unless NWS instructs otherwise</w:t>
            </w:r>
          </w:p>
        </w:tc>
        <w:tc>
          <w:tcPr>
            <w:tcW w:type="dxa" w:w="1984"/>
          </w:tcPr>
          <w:p>
            <w:pPr>
              <w:spacing w:after="40"/>
            </w:pPr>
            <w:r/>
            <w:r>
              <w:rPr>
                <w:b w:val="0"/>
                <w:sz w:val="18"/>
              </w:rPr>
              <w:t>fraction</w:t>
            </w:r>
          </w:p>
        </w:tc>
      </w:tr>
      <w:tr>
        <w:tc>
          <w:tcPr>
            <w:tcW w:type="dxa" w:w="1474"/>
          </w:tcPr>
          <w:p>
            <w:pPr>
              <w:spacing w:after="40"/>
            </w:pPr>
            <w:r/>
            <w:r>
              <w:rPr>
                <w:b w:val="0"/>
                <w:sz w:val="18"/>
              </w:rPr>
              <w:t>n</w:t>
            </w:r>
          </w:p>
        </w:tc>
        <w:tc>
          <w:tcPr>
            <w:tcW w:type="dxa" w:w="5896"/>
          </w:tcPr>
          <w:p>
            <w:pPr>
              <w:spacing w:after="40"/>
            </w:pPr>
            <w:r/>
            <w:r>
              <w:rPr>
                <w:b w:val="0"/>
                <w:sz w:val="18"/>
              </w:rPr>
              <w:t xml:space="preserve">evaluation period — </w:t>
            </w:r>
            <w:r>
              <w:rPr>
                <w:b/>
                <w:sz w:val="18"/>
              </w:rPr>
              <w:t>25 years</w:t>
            </w:r>
          </w:p>
        </w:tc>
        <w:tc>
          <w:tcPr>
            <w:tcW w:type="dxa" w:w="1984"/>
          </w:tcPr>
          <w:p>
            <w:pPr>
              <w:spacing w:after="40"/>
            </w:pPr>
            <w:r/>
            <w:r>
              <w:rPr>
                <w:b w:val="0"/>
                <w:sz w:val="18"/>
              </w:rPr>
              <w:t>years</w:t>
            </w:r>
          </w:p>
        </w:tc>
      </w:tr>
    </w:tbl>
    <w:p>
      <w:r>
        <w:rPr>
          <w:b w:val="0"/>
          <w:i w:val="0"/>
        </w:rPr>
        <w:t>The equation above is the standard form, given for completeness. It is not a guideline citation.</w:t>
      </w:r>
    </w:p>
    <w:p>
      <w:pPr>
        <w:pStyle w:val="Heading2"/>
      </w:pPr>
      <w:r>
        <w:t>14.4   Operating cost</w:t>
      </w:r>
    </w:p>
    <w:p>
      <w:r>
        <w:rPr>
          <w:b w:val="0"/>
          <w:i w:val="0"/>
        </w:rPr>
        <w:t>The guideline lists what operating cost must include: labour and staffing, vehicles and equipment, power and utilities at the current APSR tariff, spare parts and consumables, chemicals, and general maintenance and repair. The tariff itself is not in the guideline and must be obtained.</w:t>
      </w:r>
    </w:p>
    <w:p>
      <w:pPr>
        <w:pStyle w:val="Heading2"/>
      </w:pPr>
      <w:r>
        <w:t>14.5   Carbon</w:t>
      </w:r>
    </w:p>
    <w:p>
      <w:r>
        <w:rPr>
          <w:b w:val="0"/>
          <w:i w:val="0"/>
        </w:rPr>
        <w:t>Carbon footprint is to be evaluated for construction and operation in accordance with ISO 14064 and the GHG Protocol, expressed in tonnes of carbon dioxide equivalent per year and per cubic metre produced. Scopes 1 and 2 are counted in full; Scope 3 is counted for significant elements where information is available or can be reasonably estimated. The benchmark for treated effluent is 1.17 × 10⁻³ tonnes per cubic metre.</w:t>
      </w:r>
    </w:p>
    <w:p>
      <w:r>
        <w:rPr>
          <w:b w:val="0"/>
          <w:i w:val="0"/>
        </w:rPr>
        <w:t>One of the options must include a carbon reduction plan comparing a conventional base case with an optimised scenario, against NWS targets of 52 % reduction by 2030 and 96 % by 2050. Since more than eighty per cent of NWS operational emissions come from electricity, the levers that matter are gravity flow, minimised lift, efficient equipment and renewable generation.</w:t>
      </w:r>
    </w:p>
    <w:p>
      <w:pPr>
        <w:pStyle w:val="Heading2"/>
      </w:pPr>
      <w:r>
        <w:t>14.6   Choosing</w:t>
      </w:r>
    </w:p>
    <w:p>
      <w:r>
        <w:rPr>
          <w:b w:val="0"/>
          <w:i w:val="0"/>
        </w:rPr>
        <w:t>A weighted multi-criteria analysis compares the options against total lifetime cost, sustainability (carbon, circular economy and nature-based solutions), social development and in-country value, adaptability and resilience, operability, constructability, and environmental impact. No scoring scale or normalisation rule is specified, so the method must be proposed and agreed.</w:t>
      </w:r>
    </w:p>
    <w:p>
      <w:r>
        <w:rPr>
          <w:b w:val="0"/>
          <w:i w:val="0"/>
        </w:rPr>
        <w:t>Sensitivity analysis varies exactly three things: the weighting between categories, the discount rate, and the input design criteria.</w:t>
      </w:r>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The tie-break rule.  </w:t>
      </w:r>
      <w:r>
        <w:rPr>
          <w:sz w:val="20"/>
        </w:rPr>
        <w:t>Where options fall within ten per cent of each other on total lifetime cost, the more sustainable option is to be adopted. This makes the sustainability assessment decisive rather than decorative whenever the costs are close.</w:t>
      </w:r>
    </w:p>
    <w:p>
      <w:pPr>
        <w:pStyle w:val="Heading2"/>
      </w:pPr>
      <w:r>
        <w:t>14.7   Cost accuracy and value engineering</w:t>
      </w:r>
    </w:p>
    <w:p>
      <w:r>
        <w:rPr>
          <w:b w:val="0"/>
          <w:i w:val="0"/>
        </w:rPr>
        <w:t>Concept-stage estimates carry an accuracy of plus or minus twenty per cent, and the report must state its accuracy class. Measurement follows CESMM3.</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Formal value engineering is triggered at concept for this project.  </w:t>
      </w:r>
      <w:r>
        <w:rPr>
          <w:sz w:val="20"/>
        </w:rPr>
        <w:t>The threshold table places a general value engineering study at concept stage, led by the design team, for projects below five million rials. Its footnote overrides that for treatment plants and pumping stations above two million, which require a formal study by an independent certified consultant at both concept and preliminary stage. The Ibri plant clears that threshold, so an external appointment falls inside the concept programme.</w:t>
      </w:r>
    </w:p>
    <w:p>
      <w:pPr>
        <w:spacing w:after="200"/>
      </w:pPr>
      <w:r>
        <w:rPr>
          <w:b w:val="0"/>
          <w:i/>
          <w:color w:val="5A5A5A"/>
          <w:sz w:val="18"/>
        </w:rPr>
        <w:t>Source: G201 §11 p92-94 and §12 p95-106.</w:t>
      </w:r>
    </w:p>
    <w:p>
      <w:r>
        <w:br w:type="page"/>
      </w:r>
    </w:p>
    <w:p>
      <w:pPr>
        <w:pStyle w:val="Heading1"/>
      </w:pPr>
      <w:r>
        <w:t>15   Where the guidelines cannot be relied on</w:t>
      </w:r>
    </w:p>
    <w:p>
      <w:r>
        <w:rPr>
          <w:b w:val="0"/>
          <w:i w:val="0"/>
        </w:rPr>
        <w:t>This section exists because a reference document that presents its source as flawless is not usable. Everything below was verified at the page. Where the guideline is wrong, this document reproduces what it prints and says what is wrong with it; it does not silently correct the client's own standard.</w:t>
      </w:r>
    </w:p>
    <w:p>
      <w:pPr>
        <w:pStyle w:val="Heading2"/>
      </w:pPr>
      <w:r>
        <w:t>15.1   Formulae that do not exist in the guidelines</w:t>
      </w:r>
    </w:p>
    <w:p>
      <w:r>
        <w:rPr>
          <w:b w:val="0"/>
          <w:i w:val="0"/>
        </w:rPr>
        <w:t>Each of these is commonly assumed to be in the guidelines and is not. Citing NWS for any of them would be a fabricated reference.</w:t>
      </w:r>
    </w:p>
    <w:tbl>
      <w:tblPr>
        <w:tblStyle w:val="TableGrid"/>
        <w:tblW w:type="auto" w:w="0"/>
        <w:jc w:val="center"/>
        <w:tblLook w:firstColumn="1" w:firstRow="1" w:lastColumn="0" w:lastRow="0" w:noHBand="0" w:noVBand="1" w:val="04A0"/>
      </w:tblPr>
      <w:tblGrid>
        <w:gridCol w:w="3137"/>
        <w:gridCol w:w="3137"/>
        <w:gridCol w:w="3137"/>
      </w:tblGrid>
      <w:tr>
        <w:tc>
          <w:tcPr>
            <w:tcW w:type="dxa" w:w="3175"/>
            <w:shd w:val="clear" w:color="auto" w:fill="1F3B63"/>
          </w:tcPr>
          <w:p>
            <w:pPr>
              <w:spacing w:after="40"/>
            </w:pPr>
            <w:r/>
            <w:r>
              <w:rPr>
                <w:b/>
                <w:color w:val="FFFFFF"/>
                <w:sz w:val="17"/>
              </w:rPr>
              <w:t>Formula</w:t>
            </w:r>
          </w:p>
        </w:tc>
        <w:tc>
          <w:tcPr>
            <w:tcW w:type="dxa" w:w="2721"/>
            <w:shd w:val="clear" w:color="auto" w:fill="1F3B63"/>
          </w:tcPr>
          <w:p>
            <w:pPr>
              <w:spacing w:after="40"/>
            </w:pPr>
            <w:r/>
            <w:r>
              <w:rPr>
                <w:b/>
                <w:color w:val="FFFFFF"/>
                <w:sz w:val="17"/>
              </w:rPr>
              <w:t>Cite instead</w:t>
            </w:r>
          </w:p>
        </w:tc>
        <w:tc>
          <w:tcPr>
            <w:tcW w:type="dxa" w:w="3458"/>
            <w:shd w:val="clear" w:color="auto" w:fill="1F3B63"/>
          </w:tcPr>
          <w:p>
            <w:pPr>
              <w:spacing w:after="40"/>
            </w:pPr>
            <w:r/>
            <w:r>
              <w:rPr>
                <w:b/>
                <w:color w:val="FFFFFF"/>
                <w:sz w:val="17"/>
              </w:rPr>
              <w:t>What NWS does supply</w:t>
            </w:r>
          </w:p>
        </w:tc>
      </w:tr>
      <w:tr>
        <w:tc>
          <w:tcPr>
            <w:tcW w:type="dxa" w:w="3175"/>
          </w:tcPr>
          <w:p>
            <w:pPr>
              <w:spacing w:after="40"/>
            </w:pPr>
            <w:r/>
            <w:r>
              <w:rPr>
                <w:b w:val="0"/>
                <w:sz w:val="17"/>
              </w:rPr>
              <w:t>Net present value</w:t>
            </w:r>
          </w:p>
        </w:tc>
        <w:tc>
          <w:tcPr>
            <w:tcW w:type="dxa" w:w="2721"/>
          </w:tcPr>
          <w:p>
            <w:pPr>
              <w:spacing w:after="40"/>
            </w:pPr>
            <w:r/>
            <w:r>
              <w:rPr>
                <w:b w:val="0"/>
                <w:sz w:val="17"/>
              </w:rPr>
              <w:t>ISO 15686-5</w:t>
            </w:r>
          </w:p>
        </w:tc>
        <w:tc>
          <w:tcPr>
            <w:tcW w:type="dxa" w:w="3458"/>
          </w:tcPr>
          <w:p>
            <w:pPr>
              <w:spacing w:after="40"/>
            </w:pPr>
            <w:r/>
            <w:r>
              <w:rPr>
                <w:b w:val="0"/>
                <w:sz w:val="17"/>
              </w:rPr>
              <w:t>5 % discount rate, 25 year horizon</w:t>
            </w:r>
          </w:p>
        </w:tc>
      </w:tr>
      <w:tr>
        <w:tc>
          <w:tcPr>
            <w:tcW w:type="dxa" w:w="3175"/>
          </w:tcPr>
          <w:p>
            <w:pPr>
              <w:spacing w:after="40"/>
            </w:pPr>
            <w:r/>
            <w:r>
              <w:rPr>
                <w:b w:val="0"/>
                <w:sz w:val="17"/>
              </w:rPr>
              <w:t>Life cycle cost</w:t>
            </w:r>
          </w:p>
        </w:tc>
        <w:tc>
          <w:tcPr>
            <w:tcW w:type="dxa" w:w="2721"/>
          </w:tcPr>
          <w:p>
            <w:pPr>
              <w:spacing w:after="40"/>
            </w:pPr>
            <w:r/>
            <w:r>
              <w:rPr>
                <w:b w:val="0"/>
                <w:sz w:val="17"/>
              </w:rPr>
              <w:t>ISO 15686-5</w:t>
            </w:r>
          </w:p>
        </w:tc>
        <w:tc>
          <w:tcPr>
            <w:tcW w:type="dxa" w:w="3458"/>
          </w:tcPr>
          <w:p>
            <w:pPr>
              <w:spacing w:after="40"/>
            </w:pPr>
            <w:r/>
            <w:r>
              <w:rPr>
                <w:b w:val="0"/>
                <w:sz w:val="17"/>
              </w:rPr>
              <w:t>the cost-stage scope list</w:t>
            </w:r>
          </w:p>
        </w:tc>
      </w:tr>
      <w:tr>
        <w:tc>
          <w:tcPr>
            <w:tcW w:type="dxa" w:w="3175"/>
          </w:tcPr>
          <w:p>
            <w:pPr>
              <w:spacing w:after="40"/>
            </w:pPr>
            <w:r/>
            <w:r>
              <w:rPr>
                <w:b w:val="0"/>
                <w:sz w:val="17"/>
              </w:rPr>
              <w:t>Carbon footprint</w:t>
            </w:r>
          </w:p>
        </w:tc>
        <w:tc>
          <w:tcPr>
            <w:tcW w:type="dxa" w:w="2721"/>
          </w:tcPr>
          <w:p>
            <w:pPr>
              <w:spacing w:after="40"/>
            </w:pPr>
            <w:r/>
            <w:r>
              <w:rPr>
                <w:b w:val="0"/>
                <w:sz w:val="17"/>
              </w:rPr>
              <w:t>ISO 14064, GHG Protocol</w:t>
            </w:r>
          </w:p>
        </w:tc>
        <w:tc>
          <w:tcPr>
            <w:tcW w:type="dxa" w:w="3458"/>
          </w:tcPr>
          <w:p>
            <w:pPr>
              <w:spacing w:after="40"/>
            </w:pPr>
            <w:r/>
            <w:r>
              <w:rPr>
                <w:b w:val="0"/>
                <w:sz w:val="17"/>
              </w:rPr>
              <w:t>units and benchmark values</w:t>
            </w:r>
          </w:p>
        </w:tc>
      </w:tr>
      <w:tr>
        <w:tc>
          <w:tcPr>
            <w:tcW w:type="dxa" w:w="3175"/>
          </w:tcPr>
          <w:p>
            <w:pPr>
              <w:spacing w:after="40"/>
            </w:pPr>
            <w:r/>
            <w:r>
              <w:rPr>
                <w:b w:val="0"/>
                <w:sz w:val="17"/>
              </w:rPr>
              <w:t>Multi-criteria score</w:t>
            </w:r>
          </w:p>
        </w:tc>
        <w:tc>
          <w:tcPr>
            <w:tcW w:type="dxa" w:w="2721"/>
          </w:tcPr>
          <w:p>
            <w:pPr>
              <w:spacing w:after="40"/>
            </w:pPr>
            <w:r/>
            <w:r>
              <w:rPr>
                <w:b w:val="0"/>
                <w:sz w:val="17"/>
              </w:rPr>
              <w:t>designer's own, agreed with NWS</w:t>
            </w:r>
          </w:p>
        </w:tc>
        <w:tc>
          <w:tcPr>
            <w:tcW w:type="dxa" w:w="3458"/>
          </w:tcPr>
          <w:p>
            <w:pPr>
              <w:spacing w:after="40"/>
            </w:pPr>
            <w:r/>
            <w:r>
              <w:rPr>
                <w:b w:val="0"/>
                <w:sz w:val="17"/>
              </w:rPr>
              <w:t>the criteria and who weights them</w:t>
            </w:r>
          </w:p>
        </w:tc>
      </w:tr>
      <w:tr>
        <w:tc>
          <w:tcPr>
            <w:tcW w:type="dxa" w:w="3175"/>
          </w:tcPr>
          <w:p>
            <w:pPr>
              <w:spacing w:after="40"/>
            </w:pPr>
            <w:r/>
            <w:r>
              <w:rPr>
                <w:b w:val="0"/>
                <w:sz w:val="17"/>
              </w:rPr>
              <w:t>Total dynamic head</w:t>
            </w:r>
          </w:p>
        </w:tc>
        <w:tc>
          <w:tcPr>
            <w:tcW w:type="dxa" w:w="2721"/>
          </w:tcPr>
          <w:p>
            <w:pPr>
              <w:spacing w:after="40"/>
            </w:pPr>
            <w:r/>
            <w:r>
              <w:rPr>
                <w:b w:val="0"/>
                <w:sz w:val="17"/>
              </w:rPr>
              <w:t>standard hydraulics</w:t>
            </w:r>
          </w:p>
        </w:tc>
        <w:tc>
          <w:tcPr>
            <w:tcW w:type="dxa" w:w="3458"/>
          </w:tcPr>
          <w:p>
            <w:pPr>
              <w:spacing w:after="40"/>
            </w:pPr>
            <w:r/>
            <w:r>
              <w:rPr>
                <w:b w:val="0"/>
                <w:sz w:val="17"/>
              </w:rPr>
              <w:t>the component list, in prose</w:t>
            </w:r>
          </w:p>
        </w:tc>
      </w:tr>
      <w:tr>
        <w:tc>
          <w:tcPr>
            <w:tcW w:type="dxa" w:w="3175"/>
          </w:tcPr>
          <w:p>
            <w:pPr>
              <w:spacing w:after="40"/>
            </w:pPr>
            <w:r/>
            <w:r>
              <w:rPr>
                <w:b w:val="0"/>
                <w:sz w:val="17"/>
              </w:rPr>
              <w:t>Pump power</w:t>
            </w:r>
          </w:p>
        </w:tc>
        <w:tc>
          <w:tcPr>
            <w:tcW w:type="dxa" w:w="2721"/>
          </w:tcPr>
          <w:p>
            <w:pPr>
              <w:spacing w:after="40"/>
            </w:pPr>
            <w:r/>
            <w:r>
              <w:rPr>
                <w:b w:val="0"/>
                <w:sz w:val="17"/>
              </w:rPr>
              <w:t>standard hydraulics</w:t>
            </w:r>
          </w:p>
        </w:tc>
        <w:tc>
          <w:tcPr>
            <w:tcW w:type="dxa" w:w="3458"/>
          </w:tcPr>
          <w:p>
            <w:pPr>
              <w:spacing w:after="40"/>
            </w:pPr>
            <w:r/>
            <w:r>
              <w:rPr>
                <w:b w:val="0"/>
                <w:sz w:val="17"/>
              </w:rPr>
              <w:t>nothing; no efficiency assumption</w:t>
            </w:r>
          </w:p>
        </w:tc>
      </w:tr>
      <w:tr>
        <w:tc>
          <w:tcPr>
            <w:tcW w:type="dxa" w:w="3175"/>
          </w:tcPr>
          <w:p>
            <w:pPr>
              <w:spacing w:after="40"/>
            </w:pPr>
            <w:r/>
            <w:r>
              <w:rPr>
                <w:b w:val="0"/>
                <w:sz w:val="17"/>
              </w:rPr>
              <w:t>Darcy-Weisbach</w:t>
            </w:r>
          </w:p>
        </w:tc>
        <w:tc>
          <w:tcPr>
            <w:tcW w:type="dxa" w:w="2721"/>
          </w:tcPr>
          <w:p>
            <w:pPr>
              <w:spacing w:after="40"/>
            </w:pPr>
            <w:r/>
            <w:r>
              <w:rPr>
                <w:b w:val="0"/>
                <w:sz w:val="17"/>
              </w:rPr>
              <w:t>standard form</w:t>
            </w:r>
          </w:p>
        </w:tc>
        <w:tc>
          <w:tcPr>
            <w:tcW w:type="dxa" w:w="3458"/>
          </w:tcPr>
          <w:p>
            <w:pPr>
              <w:spacing w:after="40"/>
            </w:pPr>
            <w:r/>
            <w:r>
              <w:rPr>
                <w:b w:val="0"/>
                <w:sz w:val="17"/>
              </w:rPr>
              <w:t>roughness coefficients only</w:t>
            </w:r>
          </w:p>
        </w:tc>
      </w:tr>
      <w:tr>
        <w:tc>
          <w:tcPr>
            <w:tcW w:type="dxa" w:w="3175"/>
          </w:tcPr>
          <w:p>
            <w:pPr>
              <w:spacing w:after="40"/>
            </w:pPr>
            <w:r/>
            <w:r>
              <w:rPr>
                <w:b w:val="0"/>
                <w:sz w:val="17"/>
              </w:rPr>
              <w:t>Hazen-Williams</w:t>
            </w:r>
          </w:p>
        </w:tc>
        <w:tc>
          <w:tcPr>
            <w:tcW w:type="dxa" w:w="2721"/>
          </w:tcPr>
          <w:p>
            <w:pPr>
              <w:spacing w:after="40"/>
            </w:pPr>
            <w:r/>
            <w:r>
              <w:rPr>
                <w:b w:val="0"/>
                <w:sz w:val="17"/>
              </w:rPr>
              <w:t>standard form</w:t>
            </w:r>
          </w:p>
        </w:tc>
        <w:tc>
          <w:tcPr>
            <w:tcW w:type="dxa" w:w="3458"/>
          </w:tcPr>
          <w:p>
            <w:pPr>
              <w:spacing w:after="40"/>
            </w:pPr>
            <w:r/>
            <w:r>
              <w:rPr>
                <w:b w:val="0"/>
                <w:sz w:val="17"/>
              </w:rPr>
              <w:t>C values only</w:t>
            </w:r>
          </w:p>
        </w:tc>
      </w:tr>
      <w:tr>
        <w:tc>
          <w:tcPr>
            <w:tcW w:type="dxa" w:w="3175"/>
          </w:tcPr>
          <w:p>
            <w:pPr>
              <w:spacing w:after="40"/>
            </w:pPr>
            <w:r/>
            <w:r>
              <w:rPr>
                <w:b w:val="0"/>
                <w:sz w:val="17"/>
              </w:rPr>
              <w:t>Wave celerity</w:t>
            </w:r>
          </w:p>
        </w:tc>
        <w:tc>
          <w:tcPr>
            <w:tcW w:type="dxa" w:w="2721"/>
          </w:tcPr>
          <w:p>
            <w:pPr>
              <w:spacing w:after="40"/>
            </w:pPr>
            <w:r/>
            <w:r>
              <w:rPr>
                <w:b w:val="0"/>
                <w:sz w:val="17"/>
              </w:rPr>
              <w:t>Korteweg</w:t>
            </w:r>
          </w:p>
        </w:tc>
        <w:tc>
          <w:tcPr>
            <w:tcW w:type="dxa" w:w="3458"/>
          </w:tcPr>
          <w:p>
            <w:pPr>
              <w:spacing w:after="40"/>
            </w:pPr>
            <w:r/>
            <w:r>
              <w:rPr>
                <w:b w:val="0"/>
                <w:sz w:val="17"/>
              </w:rPr>
              <w:t>a qualitative description</w:t>
            </w:r>
          </w:p>
        </w:tc>
      </w:tr>
      <w:tr>
        <w:tc>
          <w:tcPr>
            <w:tcW w:type="dxa" w:w="3175"/>
          </w:tcPr>
          <w:p>
            <w:pPr>
              <w:spacing w:after="40"/>
            </w:pPr>
            <w:r/>
            <w:r>
              <w:rPr>
                <w:b w:val="0"/>
                <w:sz w:val="17"/>
              </w:rPr>
              <w:t>Mass load from flow and concentration</w:t>
            </w:r>
          </w:p>
        </w:tc>
        <w:tc>
          <w:tcPr>
            <w:tcW w:type="dxa" w:w="2721"/>
          </w:tcPr>
          <w:p>
            <w:pPr>
              <w:spacing w:after="40"/>
            </w:pPr>
            <w:r/>
            <w:r>
              <w:rPr>
                <w:b w:val="0"/>
                <w:sz w:val="17"/>
              </w:rPr>
              <w:t>standard</w:t>
            </w:r>
          </w:p>
        </w:tc>
        <w:tc>
          <w:tcPr>
            <w:tcW w:type="dxa" w:w="3458"/>
          </w:tcPr>
          <w:p>
            <w:pPr>
              <w:spacing w:after="40"/>
            </w:pPr>
            <w:r/>
            <w:r>
              <w:rPr>
                <w:b w:val="0"/>
                <w:sz w:val="17"/>
              </w:rPr>
              <w:t>loads and concentrations separately</w:t>
            </w:r>
          </w:p>
        </w:tc>
      </w:tr>
      <w:tr>
        <w:tc>
          <w:tcPr>
            <w:tcW w:type="dxa" w:w="3175"/>
          </w:tcPr>
          <w:p>
            <w:pPr>
              <w:spacing w:after="40"/>
            </w:pPr>
            <w:r/>
            <w:r>
              <w:rPr>
                <w:b w:val="0"/>
                <w:sz w:val="17"/>
              </w:rPr>
              <w:t>Oxygen demand, SRT, clarifier area</w:t>
            </w:r>
          </w:p>
        </w:tc>
        <w:tc>
          <w:tcPr>
            <w:tcW w:type="dxa" w:w="2721"/>
          </w:tcPr>
          <w:p>
            <w:pPr>
              <w:spacing w:after="40"/>
            </w:pPr>
            <w:r/>
            <w:r>
              <w:rPr>
                <w:b w:val="0"/>
                <w:sz w:val="17"/>
              </w:rPr>
              <w:t>Metcalf and Eddy, or DWA</w:t>
            </w:r>
          </w:p>
        </w:tc>
        <w:tc>
          <w:tcPr>
            <w:tcW w:type="dxa" w:w="3458"/>
          </w:tcPr>
          <w:p>
            <w:pPr>
              <w:spacing w:after="40"/>
            </w:pPr>
            <w:r/>
            <w:r>
              <w:rPr>
                <w:b w:val="0"/>
                <w:sz w:val="17"/>
              </w:rPr>
              <w:t>ranges to land inside</w:t>
            </w:r>
          </w:p>
        </w:tc>
      </w:tr>
      <w:tr>
        <w:tc>
          <w:tcPr>
            <w:tcW w:type="dxa" w:w="3175"/>
          </w:tcPr>
          <w:p>
            <w:pPr>
              <w:spacing w:after="40"/>
            </w:pPr>
            <w:r/>
            <w:r>
              <w:rPr>
                <w:b w:val="0"/>
                <w:sz w:val="17"/>
              </w:rPr>
              <w:t>Surge vessel volume</w:t>
            </w:r>
          </w:p>
        </w:tc>
        <w:tc>
          <w:tcPr>
            <w:tcW w:type="dxa" w:w="2721"/>
          </w:tcPr>
          <w:p>
            <w:pPr>
              <w:spacing w:after="40"/>
            </w:pPr>
            <w:r/>
            <w:r>
              <w:rPr>
                <w:b w:val="0"/>
                <w:sz w:val="17"/>
              </w:rPr>
              <w:t>—</w:t>
            </w:r>
          </w:p>
        </w:tc>
        <w:tc>
          <w:tcPr>
            <w:tcW w:type="dxa" w:w="3458"/>
          </w:tcPr>
          <w:p>
            <w:pPr>
              <w:spacing w:after="40"/>
            </w:pPr>
            <w:r/>
            <w:r>
              <w:rPr>
                <w:b w:val="0"/>
                <w:sz w:val="17"/>
              </w:rPr>
              <w:t>a 20 % minimum allowance</w:t>
            </w:r>
          </w:p>
        </w:tc>
      </w:tr>
      <w:tr>
        <w:tc>
          <w:tcPr>
            <w:tcW w:type="dxa" w:w="3175"/>
          </w:tcPr>
          <w:p>
            <w:pPr>
              <w:spacing w:after="40"/>
            </w:pPr>
            <w:r/>
            <w:r>
              <w:rPr>
                <w:b w:val="0"/>
                <w:sz w:val="17"/>
              </w:rPr>
              <w:t>Emergency storage at a pumping station</w:t>
            </w:r>
          </w:p>
        </w:tc>
        <w:tc>
          <w:tcPr>
            <w:tcW w:type="dxa" w:w="2721"/>
          </w:tcPr>
          <w:p>
            <w:pPr>
              <w:spacing w:after="40"/>
            </w:pPr>
            <w:r/>
            <w:r>
              <w:rPr>
                <w:b w:val="0"/>
                <w:sz w:val="17"/>
              </w:rPr>
              <w:t>—</w:t>
            </w:r>
          </w:p>
        </w:tc>
        <w:tc>
          <w:tcPr>
            <w:tcW w:type="dxa" w:w="3458"/>
          </w:tcPr>
          <w:p>
            <w:pPr>
              <w:spacing w:after="40"/>
            </w:pPr>
            <w:r/>
            <w:r>
              <w:rPr>
                <w:b w:val="0"/>
                <w:sz w:val="17"/>
              </w:rPr>
              <w:t>nothing; propose and get approval</w:t>
            </w:r>
          </w:p>
        </w:tc>
      </w:tr>
      <w:tr>
        <w:tc>
          <w:tcPr>
            <w:tcW w:type="dxa" w:w="3175"/>
          </w:tcPr>
          <w:p>
            <w:pPr>
              <w:spacing w:after="40"/>
            </w:pPr>
            <w:r/>
            <w:r>
              <w:rPr>
                <w:b w:val="0"/>
                <w:sz w:val="17"/>
              </w:rPr>
              <w:t>Roughness for a raw sewage force main</w:t>
            </w:r>
          </w:p>
        </w:tc>
        <w:tc>
          <w:tcPr>
            <w:tcW w:type="dxa" w:w="2721"/>
          </w:tcPr>
          <w:p>
            <w:pPr>
              <w:spacing w:after="40"/>
            </w:pPr>
            <w:r/>
            <w:r>
              <w:rPr>
                <w:b w:val="0"/>
                <w:sz w:val="17"/>
              </w:rPr>
              <w:t>—</w:t>
            </w:r>
          </w:p>
        </w:tc>
        <w:tc>
          <w:tcPr>
            <w:tcW w:type="dxa" w:w="3458"/>
          </w:tcPr>
          <w:p>
            <w:pPr>
              <w:spacing w:after="40"/>
            </w:pPr>
            <w:r/>
            <w:r>
              <w:rPr>
                <w:b w:val="0"/>
                <w:sz w:val="17"/>
              </w:rPr>
              <w:t>potable and treated effluent only</w:t>
            </w:r>
          </w:p>
        </w:tc>
      </w:tr>
      <w:tr>
        <w:tc>
          <w:tcPr>
            <w:tcW w:type="dxa" w:w="3175"/>
          </w:tcPr>
          <w:p>
            <w:pPr>
              <w:spacing w:after="40"/>
            </w:pPr>
            <w:r/>
            <w:r>
              <w:rPr>
                <w:b w:val="0"/>
                <w:sz w:val="17"/>
              </w:rPr>
              <w:t>Aquifer recharge criteria</w:t>
            </w:r>
          </w:p>
        </w:tc>
        <w:tc>
          <w:tcPr>
            <w:tcW w:type="dxa" w:w="2721"/>
          </w:tcPr>
          <w:p>
            <w:pPr>
              <w:spacing w:after="40"/>
            </w:pPr>
            <w:r/>
            <w:r>
              <w:rPr>
                <w:b w:val="0"/>
                <w:sz w:val="17"/>
              </w:rPr>
              <w:t>—</w:t>
            </w:r>
          </w:p>
        </w:tc>
        <w:tc>
          <w:tcPr>
            <w:tcW w:type="dxa" w:w="3458"/>
          </w:tcPr>
          <w:p>
            <w:pPr>
              <w:spacing w:after="40"/>
            </w:pPr>
            <w:r/>
            <w:r>
              <w:rPr>
                <w:b w:val="0"/>
                <w:sz w:val="17"/>
              </w:rPr>
              <w:t>absent from all three documents</w:t>
            </w:r>
          </w:p>
        </w:tc>
      </w:tr>
    </w:tbl>
    <w:p>
      <w:pPr>
        <w:pStyle w:val="Heading2"/>
      </w:pPr>
      <w:r>
        <w:t>15.2   A mandatory method that cannot be completed</w:t>
      </w:r>
    </w:p>
    <w:p>
      <w:pPr>
        <w:spacing w:before="160" w:after="160"/>
        <w:ind w:left="170"/>
        <w:shd w:val="clear" w:color="auto" w:fill="FFF4E5"/>
        <w:pBdr>
          <w:top w:val="single" w:sz="6" w:space="6" w:color="D9A441"/>
          <w:left w:val="single" w:sz="6" w:space="6" w:color="D9A441"/>
          <w:bottom w:val="single" w:sz="6" w:space="6" w:color="D9A441"/>
          <w:right w:val="single" w:sz="6" w:space="6" w:color="D9A441"/>
        </w:pBdr>
      </w:pPr>
      <w:r>
        <w:rPr>
          <w:b/>
          <w:color w:val="A61B1B"/>
          <w:sz w:val="20"/>
        </w:rPr>
        <w:t xml:space="preserve">Tractive force.  </w:t>
      </w:r>
      <w:r>
        <w:rPr>
          <w:sz w:val="20"/>
        </w:rPr>
        <w:t>The check is required, the equation is given, and the required value of shear stress in pascals appears nowhere in the wastewater guideline's 201 pages or the general guideline's 152. Any value used must come from the literature and be agreed with NWS in writing. This is the single largest hole in the gravity design chain.</w:t>
      </w:r>
    </w:p>
    <w:p>
      <w:pPr>
        <w:pStyle w:val="Heading2"/>
      </w:pPr>
      <w:r>
        <w:t>15.3   Errors of substance</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F3B63"/>
          </w:tcPr>
          <w:p>
            <w:pPr>
              <w:spacing w:after="40"/>
            </w:pPr>
            <w:r/>
            <w:r>
              <w:rPr>
                <w:b/>
                <w:color w:val="FFFFFF"/>
                <w:sz w:val="17"/>
              </w:rPr>
              <w:t>Where</w:t>
            </w:r>
          </w:p>
        </w:tc>
        <w:tc>
          <w:tcPr>
            <w:tcW w:type="dxa" w:w="4535"/>
            <w:shd w:val="clear" w:color="auto" w:fill="1F3B63"/>
          </w:tcPr>
          <w:p>
            <w:pPr>
              <w:spacing w:after="40"/>
            </w:pPr>
            <w:r/>
            <w:r>
              <w:rPr>
                <w:b/>
                <w:color w:val="FFFFFF"/>
                <w:sz w:val="17"/>
              </w:rPr>
              <w:t>What is wrong</w:t>
            </w:r>
          </w:p>
        </w:tc>
        <w:tc>
          <w:tcPr>
            <w:tcW w:type="dxa" w:w="3345"/>
            <w:shd w:val="clear" w:color="auto" w:fill="1F3B63"/>
          </w:tcPr>
          <w:p>
            <w:pPr>
              <w:spacing w:after="40"/>
            </w:pPr>
            <w:r/>
            <w:r>
              <w:rPr>
                <w:b/>
                <w:color w:val="FFFFFF"/>
                <w:sz w:val="17"/>
              </w:rPr>
              <w:t>How to handle it</w:t>
            </w:r>
          </w:p>
        </w:tc>
      </w:tr>
      <w:tr>
        <w:tc>
          <w:tcPr>
            <w:tcW w:type="dxa" w:w="1474"/>
          </w:tcPr>
          <w:p>
            <w:pPr>
              <w:spacing w:after="40"/>
            </w:pPr>
            <w:r/>
            <w:r>
              <w:rPr>
                <w:b w:val="0"/>
                <w:sz w:val="17"/>
              </w:rPr>
              <w:t>G203 p24</w:t>
            </w:r>
          </w:p>
        </w:tc>
        <w:tc>
          <w:tcPr>
            <w:tcW w:type="dxa" w:w="4535"/>
          </w:tcPr>
          <w:p>
            <w:pPr>
              <w:spacing w:after="40"/>
            </w:pPr>
            <w:r/>
            <w:r>
              <w:rPr>
                <w:b w:val="0"/>
                <w:sz w:val="17"/>
              </w:rPr>
              <w:t>full-bore flow printed as velocity divided by area, which is dimensionally impossible</w:t>
            </w:r>
          </w:p>
        </w:tc>
        <w:tc>
          <w:tcPr>
            <w:tcW w:type="dxa" w:w="3345"/>
          </w:tcPr>
          <w:p>
            <w:pPr>
              <w:spacing w:after="40"/>
            </w:pPr>
            <w:r/>
            <w:r>
              <w:rPr>
                <w:b w:val="0"/>
                <w:sz w:val="17"/>
              </w:rPr>
              <w:t>use velocity multiplied by area; note the defect</w:t>
            </w:r>
          </w:p>
        </w:tc>
      </w:tr>
      <w:tr>
        <w:tc>
          <w:tcPr>
            <w:tcW w:type="dxa" w:w="1474"/>
          </w:tcPr>
          <w:p>
            <w:pPr>
              <w:spacing w:after="40"/>
            </w:pPr>
            <w:r/>
            <w:r>
              <w:rPr>
                <w:b w:val="0"/>
                <w:sz w:val="17"/>
              </w:rPr>
              <w:t>G201 p72</w:t>
            </w:r>
          </w:p>
        </w:tc>
        <w:tc>
          <w:tcPr>
            <w:tcW w:type="dxa" w:w="4535"/>
          </w:tcPr>
          <w:p>
            <w:pPr>
              <w:spacing w:after="40"/>
            </w:pPr>
            <w:r/>
            <w:r>
              <w:rPr>
                <w:b w:val="0"/>
                <w:sz w:val="17"/>
              </w:rPr>
              <w:t>Peltier printed with 1 in the numerator; the published form carries 2.5</w:t>
            </w:r>
          </w:p>
        </w:tc>
        <w:tc>
          <w:tcPr>
            <w:tcW w:type="dxa" w:w="3345"/>
          </w:tcPr>
          <w:p>
            <w:pPr>
              <w:spacing w:after="40"/>
            </w:pPr>
            <w:r/>
            <w:r>
              <w:rPr>
                <w:b w:val="0"/>
                <w:sz w:val="17"/>
              </w:rPr>
              <w:t>reproduce as printed; query NWS</w:t>
            </w:r>
          </w:p>
        </w:tc>
      </w:tr>
      <w:tr>
        <w:tc>
          <w:tcPr>
            <w:tcW w:type="dxa" w:w="1474"/>
          </w:tcPr>
          <w:p>
            <w:pPr>
              <w:spacing w:after="40"/>
            </w:pPr>
            <w:r/>
            <w:r>
              <w:rPr>
                <w:b w:val="0"/>
                <w:sz w:val="17"/>
              </w:rPr>
              <w:t>G201 p62</w:t>
            </w:r>
          </w:p>
        </w:tc>
        <w:tc>
          <w:tcPr>
            <w:tcW w:type="dxa" w:w="4535"/>
          </w:tcPr>
          <w:p>
            <w:pPr>
              <w:spacing w:after="40"/>
            </w:pPr>
            <w:r/>
            <w:r>
              <w:rPr>
                <w:b w:val="0"/>
                <w:sz w:val="17"/>
              </w:rPr>
              <w:t>Adh Dhahirah tanker ratio of 333 % cannot be arithmetically true; the volumes are sound</w:t>
            </w:r>
          </w:p>
        </w:tc>
        <w:tc>
          <w:tcPr>
            <w:tcW w:type="dxa" w:w="3345"/>
          </w:tcPr>
          <w:p>
            <w:pPr>
              <w:spacing w:after="40"/>
            </w:pPr>
            <w:r/>
            <w:r>
              <w:rPr>
                <w:b w:val="0"/>
                <w:sz w:val="17"/>
              </w:rPr>
              <w:t>do not use the ratio; query NWS</w:t>
            </w:r>
          </w:p>
        </w:tc>
      </w:tr>
      <w:tr>
        <w:tc>
          <w:tcPr>
            <w:tcW w:type="dxa" w:w="1474"/>
          </w:tcPr>
          <w:p>
            <w:pPr>
              <w:spacing w:after="40"/>
            </w:pPr>
            <w:r/>
            <w:r>
              <w:rPr>
                <w:b w:val="0"/>
                <w:sz w:val="17"/>
              </w:rPr>
              <w:t>G201 p144</w:t>
            </w:r>
          </w:p>
        </w:tc>
        <w:tc>
          <w:tcPr>
            <w:tcW w:type="dxa" w:w="4535"/>
          </w:tcPr>
          <w:p>
            <w:pPr>
              <w:spacing w:after="40"/>
            </w:pPr>
            <w:r/>
            <w:r>
              <w:rPr>
                <w:b w:val="0"/>
                <w:sz w:val="17"/>
              </w:rPr>
              <w:t>pipeline emptying time evaluates to metres to the power one and a half times seconds squared</w:t>
            </w:r>
          </w:p>
        </w:tc>
        <w:tc>
          <w:tcPr>
            <w:tcW w:type="dxa" w:w="3345"/>
          </w:tcPr>
          <w:p>
            <w:pPr>
              <w:spacing w:after="40"/>
            </w:pPr>
            <w:r/>
            <w:r>
              <w:rPr>
                <w:b w:val="0"/>
                <w:sz w:val="17"/>
              </w:rPr>
              <w:t>the guideline calls it a quick check; use a transient model</w:t>
            </w:r>
          </w:p>
        </w:tc>
      </w:tr>
      <w:tr>
        <w:tc>
          <w:tcPr>
            <w:tcW w:type="dxa" w:w="1474"/>
          </w:tcPr>
          <w:p>
            <w:pPr>
              <w:spacing w:after="40"/>
            </w:pPr>
            <w:r/>
            <w:r>
              <w:rPr>
                <w:b w:val="0"/>
                <w:sz w:val="17"/>
              </w:rPr>
              <w:t>G203 p25</w:t>
            </w:r>
          </w:p>
        </w:tc>
        <w:tc>
          <w:tcPr>
            <w:tcW w:type="dxa" w:w="4535"/>
          </w:tcPr>
          <w:p>
            <w:pPr>
              <w:spacing w:after="40"/>
            </w:pPr>
            <w:r/>
            <w:r>
              <w:rPr>
                <w:b w:val="0"/>
                <w:sz w:val="17"/>
              </w:rPr>
              <w:t>Manning constant 6.3448 against an exact 6.3496</w:t>
            </w:r>
          </w:p>
        </w:tc>
        <w:tc>
          <w:tcPr>
            <w:tcW w:type="dxa" w:w="3345"/>
          </w:tcPr>
          <w:p>
            <w:pPr>
              <w:spacing w:after="40"/>
            </w:pPr>
            <w:r/>
            <w:r>
              <w:rPr>
                <w:b w:val="0"/>
                <w:sz w:val="17"/>
              </w:rPr>
              <w:t>quote the guideline value; footnote the exact one</w:t>
            </w:r>
          </w:p>
        </w:tc>
      </w:tr>
      <w:tr>
        <w:tc>
          <w:tcPr>
            <w:tcW w:type="dxa" w:w="1474"/>
          </w:tcPr>
          <w:p>
            <w:pPr>
              <w:spacing w:after="40"/>
            </w:pPr>
            <w:r/>
            <w:r>
              <w:rPr>
                <w:b w:val="0"/>
                <w:sz w:val="17"/>
              </w:rPr>
              <w:t>G203 p40 / p42</w:t>
            </w:r>
          </w:p>
        </w:tc>
        <w:tc>
          <w:tcPr>
            <w:tcW w:type="dxa" w:w="4535"/>
          </w:tcPr>
          <w:p>
            <w:pPr>
              <w:spacing w:after="40"/>
            </w:pPr>
            <w:r/>
            <w:r>
              <w:rPr>
                <w:b w:val="0"/>
                <w:sz w:val="17"/>
              </w:rPr>
              <w:t>two tables disagree on duty pumps for the largest station type</w:t>
            </w:r>
          </w:p>
        </w:tc>
        <w:tc>
          <w:tcPr>
            <w:tcW w:type="dxa" w:w="3345"/>
          </w:tcPr>
          <w:p>
            <w:pPr>
              <w:spacing w:after="40"/>
            </w:pPr>
            <w:r/>
            <w:r>
              <w:rPr>
                <w:b w:val="0"/>
                <w:sz w:val="17"/>
              </w:rPr>
              <w:t>take the conservative reading; flag</w:t>
            </w:r>
          </w:p>
        </w:tc>
      </w:tr>
      <w:tr>
        <w:tc>
          <w:tcPr>
            <w:tcW w:type="dxa" w:w="1474"/>
          </w:tcPr>
          <w:p>
            <w:pPr>
              <w:spacing w:after="40"/>
            </w:pPr>
            <w:r/>
            <w:r>
              <w:rPr>
                <w:b w:val="0"/>
                <w:sz w:val="17"/>
              </w:rPr>
              <w:t>G203 p146</w:t>
            </w:r>
          </w:p>
        </w:tc>
        <w:tc>
          <w:tcPr>
            <w:tcW w:type="dxa" w:w="4535"/>
          </w:tcPr>
          <w:p>
            <w:pPr>
              <w:spacing w:after="40"/>
            </w:pPr>
            <w:r/>
            <w:r>
              <w:rPr>
                <w:b w:val="0"/>
                <w:sz w:val="17"/>
              </w:rPr>
              <w:t>aerobic digestion text requires 45 days retention; its own table gives 10 to 15</w:t>
            </w:r>
          </w:p>
        </w:tc>
        <w:tc>
          <w:tcPr>
            <w:tcW w:type="dxa" w:w="3345"/>
          </w:tcPr>
          <w:p>
            <w:pPr>
              <w:spacing w:after="40"/>
            </w:pPr>
            <w:r/>
            <w:r>
              <w:rPr>
                <w:b w:val="0"/>
                <w:sz w:val="17"/>
              </w:rPr>
              <w:t>the text governs; note the conflict</w:t>
            </w:r>
          </w:p>
        </w:tc>
      </w:tr>
      <w:tr>
        <w:tc>
          <w:tcPr>
            <w:tcW w:type="dxa" w:w="1474"/>
          </w:tcPr>
          <w:p>
            <w:pPr>
              <w:spacing w:after="40"/>
            </w:pPr>
            <w:r/>
            <w:r>
              <w:rPr>
                <w:b w:val="0"/>
                <w:sz w:val="17"/>
              </w:rPr>
              <w:t>G203 p124</w:t>
            </w:r>
          </w:p>
        </w:tc>
        <w:tc>
          <w:tcPr>
            <w:tcW w:type="dxa" w:w="4535"/>
          </w:tcPr>
          <w:p>
            <w:pPr>
              <w:spacing w:after="40"/>
            </w:pPr>
            <w:r/>
            <w:r>
              <w:rPr>
                <w:b w:val="0"/>
                <w:sz w:val="17"/>
              </w:rPr>
              <w:t>clarifier surface loading and overflow rate do not reconcile, both stated at average flow</w:t>
            </w:r>
          </w:p>
        </w:tc>
        <w:tc>
          <w:tcPr>
            <w:tcW w:type="dxa" w:w="3345"/>
          </w:tcPr>
          <w:p>
            <w:pPr>
              <w:spacing w:after="40"/>
            </w:pPr>
            <w:r/>
            <w:r>
              <w:rPr>
                <w:b w:val="0"/>
                <w:sz w:val="17"/>
              </w:rPr>
              <w:t>reproduce both; do not silently pick one</w:t>
            </w:r>
          </w:p>
        </w:tc>
      </w:tr>
      <w:tr>
        <w:tc>
          <w:tcPr>
            <w:tcW w:type="dxa" w:w="1474"/>
          </w:tcPr>
          <w:p>
            <w:pPr>
              <w:spacing w:after="40"/>
            </w:pPr>
            <w:r/>
            <w:r>
              <w:rPr>
                <w:b w:val="0"/>
                <w:sz w:val="17"/>
              </w:rPr>
              <w:t>G203 p185</w:t>
            </w:r>
          </w:p>
        </w:tc>
        <w:tc>
          <w:tcPr>
            <w:tcW w:type="dxa" w:w="4535"/>
          </w:tcPr>
          <w:p>
            <w:pPr>
              <w:spacing w:after="40"/>
            </w:pPr>
            <w:r/>
            <w:r>
              <w:rPr>
                <w:b w:val="0"/>
                <w:sz w:val="17"/>
              </w:rPr>
              <w:t>hydrogen sulphide risk bands overlap and leave a gap</w:t>
            </w:r>
          </w:p>
        </w:tc>
        <w:tc>
          <w:tcPr>
            <w:tcW w:type="dxa" w:w="3345"/>
          </w:tcPr>
          <w:p>
            <w:pPr>
              <w:spacing w:after="40"/>
            </w:pPr>
            <w:r/>
            <w:r>
              <w:rPr>
                <w:b w:val="0"/>
                <w:sz w:val="17"/>
              </w:rPr>
              <w:t>reproduce verbatim; flag</w:t>
            </w:r>
          </w:p>
        </w:tc>
      </w:tr>
      <w:tr>
        <w:tc>
          <w:tcPr>
            <w:tcW w:type="dxa" w:w="1474"/>
          </w:tcPr>
          <w:p>
            <w:pPr>
              <w:spacing w:after="40"/>
            </w:pPr>
            <w:r/>
            <w:r>
              <w:rPr>
                <w:b w:val="0"/>
                <w:sz w:val="17"/>
              </w:rPr>
              <w:t>G203 p71</w:t>
            </w:r>
          </w:p>
        </w:tc>
        <w:tc>
          <w:tcPr>
            <w:tcW w:type="dxa" w:w="4535"/>
          </w:tcPr>
          <w:p>
            <w:pPr>
              <w:spacing w:after="40"/>
            </w:pPr>
            <w:r/>
            <w:r>
              <w:rPr>
                <w:b w:val="0"/>
                <w:sz w:val="17"/>
              </w:rPr>
              <w:t>chlorine residual worded as "at least between"</w:t>
            </w:r>
          </w:p>
        </w:tc>
        <w:tc>
          <w:tcPr>
            <w:tcW w:type="dxa" w:w="3345"/>
          </w:tcPr>
          <w:p>
            <w:pPr>
              <w:spacing w:after="40"/>
            </w:pPr>
            <w:r/>
            <w:r>
              <w:rPr>
                <w:b w:val="0"/>
                <w:sz w:val="17"/>
              </w:rPr>
              <w:t>0.3 to 1.0 at the consumer; up to 3.0 at the plant</w:t>
            </w:r>
          </w:p>
        </w:tc>
      </w:tr>
    </w:tbl>
    <w:p>
      <w:pPr>
        <w:pStyle w:val="Heading2"/>
      </w:pPr>
      <w:r>
        <w:t>15.4   Cross-references that do not resolve</w:t>
      </w:r>
    </w:p>
    <w:p>
      <w:pPr>
        <w:pStyle w:val="ListBullet"/>
        <w:spacing w:after="60"/>
        <w:ind w:left="340"/>
      </w:pPr>
      <w:r>
        <w:t>the TOR cites item 2.1 of Section 05 of the wastewater manual, which no longer exists after the March 2026 renumbering; the equivalent content is now §10.1</w:t>
      </w:r>
    </w:p>
    <w:p>
      <w:pPr>
        <w:pStyle w:val="ListBullet"/>
        <w:spacing w:after="60"/>
        <w:ind w:left="340"/>
      </w:pPr>
      <w:r>
        <w:t>a package-plant peak factor of 3.0 is attributed to the general guideline, which nowhere prints 3.0</w:t>
      </w:r>
    </w:p>
    <w:p>
      <w:pPr>
        <w:pStyle w:val="ListBullet"/>
        <w:spacing w:after="60"/>
        <w:ind w:left="340"/>
      </w:pPr>
      <w:r>
        <w:t>two internal references to the tanker discharge section point to the wrong subsection</w:t>
      </w:r>
    </w:p>
    <w:p>
      <w:pPr>
        <w:pStyle w:val="ListBullet"/>
        <w:spacing w:after="60"/>
        <w:ind w:left="340"/>
      </w:pPr>
      <w:r>
        <w:t>the general guideline is cited twice as AM-GUD rather than PAM-GUD</w:t>
      </w:r>
    </w:p>
    <w:p>
      <w:pPr>
        <w:pStyle w:val="ListBullet"/>
        <w:spacing w:after="60"/>
        <w:ind w:left="340"/>
      </w:pPr>
      <w:r>
        <w:t>value engineering timing is given as concept in one table and detailed design only in another</w:t>
      </w:r>
    </w:p>
    <w:p>
      <w:pPr>
        <w:pStyle w:val="ListBullet"/>
        <w:spacing w:after="60"/>
        <w:ind w:left="340"/>
      </w:pPr>
      <w:r>
        <w:t>environmental impact assessment timing is scoping-at-preliminary in one clause and full-assessment-at-concept in another</w:t>
      </w:r>
    </w:p>
    <w:p>
      <w:pPr>
        <w:pStyle w:val="Heading2"/>
      </w:pPr>
      <w:r>
        <w:t>15.5   What to do about all this</w:t>
      </w:r>
    </w:p>
    <w:p>
      <w:r>
        <w:rPr>
          <w:b w:val="0"/>
          <w:i w:val="0"/>
        </w:rPr>
        <w:t>Three rules keep the report defensible. Quote the guideline as it is printed, and separately say what is wrong with it — never publish a silently corrected version of the client's own standard. Where a formula is not NWS's, attribute it to whoever it belongs to. And where the guideline is silent on something it makes mandatory, propose a value, say where it came from, and obtain agreement in writing before the design depends on it.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T03 Concept Design Methodology  ·  Project 2621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