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b/>
          <w:i w:val="0"/>
          <w:sz w:val="24"/>
        </w:rPr>
        <w:t>Nama Water Services Company SAOC</w:t>
      </w:r>
    </w:p>
    <w:p>
      <w:pPr>
        <w:jc w:val="center"/>
      </w:pPr>
      <w:r>
        <w:rPr>
          <w:b/>
          <w:i w:val="0"/>
          <w:color w:val="5A5A5A"/>
          <w:sz w:val="26"/>
        </w:rPr>
        <w:t>Consultancy Services for Design and Supervision for STP, Sewer and TE Networks Systems in Ibri</w:t>
      </w:r>
    </w:p>
    <w:p>
      <w:pPr>
        <w:jc w:val="center"/>
      </w:pPr>
      <w:r>
        <w:rPr>
          <w:b w:val="0"/>
          <w:i w:val="0"/>
          <w:color w:val="5A5A5A"/>
          <w:sz w:val="22"/>
        </w:rPr>
        <w:t>Tender No. T/2719110/2025</w:t>
      </w:r>
    </w:p>
    <w:p>
      <w:pPr>
        <w:spacing w:after="800"/>
      </w:pPr>
    </w:p>
    <w:p>
      <w:pPr>
        <w:jc w:val="center"/>
      </w:pPr>
      <w:r>
        <w:rPr>
          <w:b/>
          <w:i w:val="0"/>
          <w:color w:val="1F3B63"/>
          <w:sz w:val="48"/>
        </w:rPr>
        <w:t>Concept Design Report</w:t>
      </w:r>
    </w:p>
    <w:p>
      <w:pPr>
        <w:jc w:val="center"/>
      </w:pPr>
      <w:r>
        <w:rPr>
          <w:b/>
          <w:i w:val="0"/>
          <w:color w:val="2E629E"/>
          <w:sz w:val="28"/>
        </w:rPr>
        <w:t>Proposed Structure, submitted for approval</w:t>
      </w:r>
    </w:p>
    <w:p>
      <w:pPr>
        <w:spacing w:after="800"/>
      </w:pPr>
    </w:p>
    <w:p>
      <w:pPr>
        <w:jc w:val="center"/>
      </w:pPr>
      <w:r>
        <w:rPr>
          <w:b/>
          <w:i w:val="0"/>
          <w:sz w:val="22"/>
        </w:rPr>
        <w:t>Renardet S.A. &amp; Partners</w:t>
      </w:r>
    </w:p>
    <w:p>
      <w:pPr>
        <w:jc w:val="center"/>
      </w:pPr>
      <w:r>
        <w:rPr>
          <w:b w:val="0"/>
          <w:i w:val="0"/>
          <w:color w:val="5A5A5A"/>
          <w:sz w:val="20"/>
        </w:rPr>
        <w:t>Project 2621   ·   Revision 0   ·   August 2026</w:t>
      </w:r>
    </w:p>
    <w:p>
      <w:r>
        <w:br w:type="page"/>
      </w:r>
    </w:p>
    <w:p>
      <w:pPr>
        <w:pStyle w:val="Heading1"/>
      </w:pPr>
      <w:r>
        <w:t>1   Purpose of this submission</w:t>
      </w:r>
    </w:p>
    <w:p>
      <w:r>
        <w:rPr>
          <w:b w:val="0"/>
          <w:i w:val="0"/>
        </w:rPr>
        <w:t>The Terms of Reference require the structure of the Concept Design Report to be approved before the report itself is prepared: “The Consultant shall submit complete concept design report structure for approval according to that will submit comprehensive concept report” (Scope of Work, page 63 of 204).</w:t>
      </w:r>
    </w:p>
    <w:p>
      <w:r>
        <w:rPr>
          <w:b w:val="0"/>
          <w:i w:val="0"/>
        </w:rPr>
        <w:t>This document is that submission. It sets out the proposed structure, shows how it maps onto the forty numbered concept deliverables listed in the Scope of Work, and identifies the decisions required from Nama Water Services before the report can be completed.</w:t>
      </w:r>
    </w:p>
    <w:p>
      <w:pPr>
        <w:pStyle w:val="Heading2"/>
      </w:pPr>
      <w:r>
        <w:t>1.1   Why the structure matters commercially</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5669"/>
            <w:shd w:val="clear" w:color="auto" w:fill="1F3B63"/>
          </w:tcPr>
          <w:p>
            <w:pPr>
              <w:spacing w:after="40"/>
            </w:pPr>
            <w:r/>
            <w:r>
              <w:rPr>
                <w:b/>
                <w:color w:val="FFFFFF"/>
                <w:sz w:val="19"/>
              </w:rPr>
              <w:t>Provision</w:t>
            </w:r>
          </w:p>
        </w:tc>
        <w:tc>
          <w:tcPr>
            <w:tcW w:type="dxa" w:w="3685"/>
            <w:shd w:val="clear" w:color="auto" w:fill="1F3B63"/>
          </w:tcPr>
          <w:p>
            <w:pPr>
              <w:spacing w:after="40"/>
            </w:pPr>
            <w:r/>
            <w:r>
              <w:rPr>
                <w:b/>
                <w:color w:val="FFFFFF"/>
                <w:sz w:val="19"/>
              </w:rPr>
              <w:t>Reference</w:t>
            </w:r>
          </w:p>
        </w:tc>
      </w:tr>
      <w:tr>
        <w:trPr>
          <w:cantSplit/>
        </w:trPr>
        <w:tc>
          <w:tcPr>
            <w:tcW w:type="dxa" w:w="5669"/>
          </w:tcPr>
          <w:p>
            <w:pPr>
              <w:spacing w:after="40"/>
            </w:pPr>
            <w:r/>
            <w:r>
              <w:rPr>
                <w:b w:val="0"/>
                <w:sz w:val="19"/>
              </w:rPr>
              <w:t>Concept Design is 60 days, plus a separate 21-day review</w:t>
            </w:r>
          </w:p>
        </w:tc>
        <w:tc>
          <w:tcPr>
            <w:tcW w:type="dxa" w:w="3685"/>
          </w:tcPr>
          <w:p>
            <w:pPr>
              <w:spacing w:after="40"/>
            </w:pPr>
            <w:r/>
            <w:r>
              <w:rPr>
                <w:b w:val="0"/>
                <w:sz w:val="19"/>
              </w:rPr>
              <w:t>Tender p147, and as a contract term p177</w:t>
            </w:r>
          </w:p>
        </w:tc>
      </w:tr>
      <w:tr>
        <w:trPr>
          <w:cantSplit/>
        </w:trPr>
        <w:tc>
          <w:tcPr>
            <w:tcW w:type="dxa" w:w="5669"/>
          </w:tcPr>
          <w:p>
            <w:pPr>
              <w:spacing w:after="40"/>
            </w:pPr>
            <w:r/>
            <w:r>
              <w:rPr>
                <w:b w:val="0"/>
                <w:sz w:val="19"/>
              </w:rPr>
              <w:t>15 to 20 per cent of the design fee is released on approval of the Concept Design</w:t>
            </w:r>
          </w:p>
        </w:tc>
        <w:tc>
          <w:tcPr>
            <w:tcW w:type="dxa" w:w="3685"/>
          </w:tcPr>
          <w:p>
            <w:pPr>
              <w:spacing w:after="40"/>
            </w:pPr>
            <w:r/>
            <w:r>
              <w:rPr>
                <w:b w:val="0"/>
                <w:sz w:val="19"/>
              </w:rPr>
              <w:t>Tender p153 and p154</w:t>
            </w:r>
          </w:p>
        </w:tc>
      </w:tr>
      <w:tr>
        <w:trPr>
          <w:cantSplit/>
        </w:trPr>
        <w:tc>
          <w:tcPr>
            <w:tcW w:type="dxa" w:w="5669"/>
          </w:tcPr>
          <w:p>
            <w:pPr>
              <w:spacing w:after="40"/>
            </w:pPr>
            <w:r/>
            <w:r>
              <w:rPr>
                <w:b w:val="0"/>
                <w:sz w:val="19"/>
              </w:rPr>
              <w:t>Delay is charged at 1 per cent of the Design Stage Contract Value per week</w:t>
            </w:r>
          </w:p>
        </w:tc>
        <w:tc>
          <w:tcPr>
            <w:tcW w:type="dxa" w:w="3685"/>
          </w:tcPr>
          <w:p>
            <w:pPr>
              <w:spacing w:after="40"/>
            </w:pPr>
            <w:r/>
            <w:r>
              <w:rPr>
                <w:b w:val="0"/>
                <w:sz w:val="19"/>
              </w:rPr>
              <w:t>Tender p151, p180, p193</w:t>
            </w:r>
          </w:p>
        </w:tc>
      </w:tr>
      <w:tr>
        <w:trPr>
          <w:cantSplit/>
        </w:trPr>
        <w:tc>
          <w:tcPr>
            <w:tcW w:type="dxa" w:w="5669"/>
          </w:tcPr>
          <w:p>
            <w:pPr>
              <w:spacing w:after="40"/>
            </w:pPr>
            <w:r/>
            <w:r>
              <w:rPr>
                <w:b w:val="0"/>
                <w:sz w:val="19"/>
              </w:rPr>
              <w:t>Preliminary Design begins only after STP concept approval</w:t>
            </w:r>
          </w:p>
        </w:tc>
        <w:tc>
          <w:tcPr>
            <w:tcW w:type="dxa" w:w="3685"/>
          </w:tcPr>
          <w:p>
            <w:pPr>
              <w:spacing w:after="40"/>
            </w:pPr>
            <w:r/>
            <w:r>
              <w:rPr>
                <w:b w:val="0"/>
                <w:sz w:val="19"/>
              </w:rPr>
              <w:t>Tender p148 and p178</w:t>
            </w:r>
          </w:p>
        </w:tc>
      </w:tr>
      <w:tr>
        <w:trPr>
          <w:cantSplit/>
        </w:trPr>
        <w:tc>
          <w:tcPr>
            <w:tcW w:type="dxa" w:w="5669"/>
          </w:tcPr>
          <w:p>
            <w:pPr>
              <w:spacing w:after="40"/>
            </w:pPr>
            <w:r/>
            <w:r>
              <w:rPr>
                <w:b w:val="0"/>
                <w:sz w:val="19"/>
              </w:rPr>
              <w:t>The concept fee certifies in three separable parts</w:t>
            </w:r>
          </w:p>
        </w:tc>
        <w:tc>
          <w:tcPr>
            <w:tcW w:type="dxa" w:w="3685"/>
          </w:tcPr>
          <w:p>
            <w:pPr>
              <w:spacing w:after="40"/>
            </w:pPr>
            <w:r/>
            <w:r>
              <w:rPr>
                <w:b w:val="0"/>
                <w:sz w:val="19"/>
              </w:rPr>
              <w:t>Bill of Quantities items A1, A2 and A3</w:t>
            </w:r>
          </w:p>
        </w:tc>
      </w:tr>
    </w:tbl>
    <w:p/>
    <w:p>
      <w:r>
        <w:rPr>
          <w:b w:val="0"/>
          <w:i w:val="0"/>
        </w:rPr>
        <w:t>The report must therefore be a self-contained, formally approvable document, and its sections must map cleanly onto the three certifiable parts so that each can be signed off independently.</w:t>
      </w:r>
    </w:p>
    <w:p>
      <w:r>
        <w:br w:type="page"/>
      </w:r>
    </w:p>
    <w:p>
      <w:pPr>
        <w:pStyle w:val="Heading1"/>
      </w:pPr>
      <w:r>
        <w:t>2   Two matters to settle before drafting</w:t>
      </w:r>
    </w:p>
    <w:p>
      <w:pPr>
        <w:pStyle w:val="Heading2"/>
      </w:pPr>
      <w:r>
        <w:t>2.1   The meaning of TE</w:t>
      </w:r>
    </w:p>
    <w:p>
      <w:r>
        <w:rPr>
          <w:b w:val="0"/>
          <w:i w:val="0"/>
        </w:rPr>
        <w:t>PAM-GUD-201 and PAM-GUD-203 define TE as Trade Effluent and TSE as Treated Sewage Effluent. The Terms of Reference, the tender and this project use TE to mean treated effluent. A reader familiar with the guidelines will understand a trade effluent network wherever the report says TE network.</w:t>
      </w:r>
    </w:p>
    <w:p>
      <w:r>
        <w:rPr>
          <w:b w:val="0"/>
          <w:i w:val="0"/>
        </w:rPr>
        <w:t>We propose to adopt TSE throughout the report for the treated product of the plant, with an explicit note in the abbreviations, and invite confirmation.</w:t>
      </w:r>
    </w:p>
    <w:p>
      <w:pPr>
        <w:pStyle w:val="Heading2"/>
      </w:pPr>
      <w:r>
        <w:t>2.2   A cross-reference in the Terms of Reference</w:t>
      </w:r>
    </w:p>
    <w:p>
      <w:r>
        <w:rPr>
          <w:b w:val="0"/>
          <w:i w:val="0"/>
        </w:rPr>
        <w:t>The Terms of Reference require the STP location report to follow “item 2.1 in WASTEWATER DESIGN MANUAL Section 05”. PAM-GUD-203 Revision 01 of March 2026 merged the former manuals into a single document and renumbered them; there is no Section 05 and no item 2.1. The equivalent content is now Section 10.1, Site Selection, at pages 63 and 64.</w:t>
      </w:r>
    </w:p>
    <w:p>
      <w:r>
        <w:rPr>
          <w:b w:val="0"/>
          <w:i w:val="0"/>
        </w:rPr>
        <w:t>We propose to follow Section 10.1 and invite confirmation.</w:t>
      </w:r>
    </w:p>
    <w:p>
      <w:r>
        <w:br w:type="page"/>
      </w:r>
    </w:p>
    <w:p>
      <w:pPr>
        <w:pStyle w:val="Heading1"/>
      </w:pPr>
      <w:r>
        <w:t>3   Proposed structure</w:t>
      </w:r>
    </w:p>
    <w:p>
      <w:r>
        <w:rPr>
          <w:b w:val="0"/>
          <w:i w:val="0"/>
        </w:rPr>
        <w:t>The third column names the section of Tutorial T03 Revision 01 that sets out the method, the equations and their source pages for that part of the work. A dash indicates a section for which the methodology document does not yet carry a method.</w:t>
      </w:r>
    </w:p>
    <w:tbl>
      <w:tblPr>
        <w:tblStyle w:val="TableGrid"/>
        <w:tblW w:type="auto" w:w="0"/>
        <w:jc w:val="center"/>
        <w:tblLook w:firstColumn="1" w:firstRow="1" w:lastColumn="0" w:lastRow="0" w:noHBand="0" w:noVBand="1" w:val="04A0"/>
      </w:tblPr>
      <w:tblGrid>
        <w:gridCol w:w="3137"/>
        <w:gridCol w:w="3137"/>
        <w:gridCol w:w="3137"/>
      </w:tblGrid>
      <w:tr>
        <w:trPr>
          <w:tblHeader/>
          <w:cantSplit/>
        </w:trPr>
        <w:tc>
          <w:tcPr>
            <w:tcW w:type="dxa" w:w="907"/>
            <w:shd w:val="clear" w:color="auto" w:fill="1F3B63"/>
          </w:tcPr>
          <w:p>
            <w:pPr>
              <w:spacing w:after="40"/>
            </w:pPr>
            <w:r/>
            <w:r>
              <w:rPr>
                <w:b/>
                <w:color w:val="FFFFFF"/>
                <w:sz w:val="18"/>
              </w:rPr>
            </w:r>
          </w:p>
        </w:tc>
        <w:tc>
          <w:tcPr>
            <w:tcW w:type="dxa" w:w="6236"/>
            <w:shd w:val="clear" w:color="auto" w:fill="1F3B63"/>
          </w:tcPr>
          <w:p>
            <w:pPr>
              <w:spacing w:after="40"/>
            </w:pPr>
            <w:r/>
            <w:r>
              <w:rPr>
                <w:b/>
                <w:color w:val="FFFFFF"/>
                <w:sz w:val="18"/>
              </w:rPr>
              <w:t>Section</w:t>
            </w:r>
          </w:p>
        </w:tc>
        <w:tc>
          <w:tcPr>
            <w:tcW w:type="dxa" w:w="2211"/>
            <w:shd w:val="clear" w:color="auto" w:fill="1F3B63"/>
          </w:tcPr>
          <w:p>
            <w:pPr>
              <w:spacing w:after="40"/>
            </w:pPr>
            <w:r/>
            <w:r>
              <w:rPr>
                <w:b/>
                <w:color w:val="FFFFFF"/>
                <w:sz w:val="18"/>
              </w:rPr>
              <w:t>Method in T03 Rev 01</w:t>
            </w:r>
          </w:p>
        </w:tc>
      </w:tr>
      <w:tr>
        <w:trPr>
          <w:cantSplit/>
        </w:trPr>
        <w:tc>
          <w:tcPr>
            <w:tcW w:type="dxa" w:w="907"/>
          </w:tcPr>
          <w:p>
            <w:pPr>
              <w:spacing w:after="40"/>
            </w:pPr>
            <w:r/>
            <w:r>
              <w:rPr>
                <w:b/>
                <w:sz w:val="18"/>
              </w:rPr>
              <w:t>Front matter</w:t>
            </w:r>
          </w:p>
        </w:tc>
        <w:tc>
          <w:tcPr>
            <w:tcW w:type="dxa" w:w="6236"/>
          </w:tcPr>
          <w:p>
            <w:pPr>
              <w:spacing w:after="40"/>
            </w:pPr>
            <w:r/>
          </w:p>
        </w:tc>
        <w:tc>
          <w:tcPr>
            <w:tcW w:type="dxa" w:w="2211"/>
          </w:tcPr>
          <w:p>
            <w:pPr>
              <w:spacing w:after="40"/>
            </w:pPr>
            <w:r/>
          </w:p>
        </w:tc>
      </w:tr>
      <w:tr>
        <w:trPr>
          <w:cantSplit/>
        </w:trPr>
        <w:tc>
          <w:tcPr>
            <w:tcW w:type="dxa" w:w="907"/>
          </w:tcPr>
          <w:p>
            <w:pPr>
              <w:spacing w:after="40"/>
            </w:pPr>
            <w:r/>
            <w:r>
              <w:rPr>
                <w:b w:val="0"/>
                <w:sz w:val="18"/>
              </w:rPr>
              <w:t>F1</w:t>
            </w:r>
          </w:p>
        </w:tc>
        <w:tc>
          <w:tcPr>
            <w:tcW w:type="dxa" w:w="6236"/>
          </w:tcPr>
          <w:p>
            <w:pPr>
              <w:spacing w:after="40"/>
            </w:pPr>
            <w:r/>
            <w:r>
              <w:rPr>
                <w:b w:val="0"/>
                <w:sz w:val="18"/>
              </w:rPr>
              <w:t>Document control</w:t>
            </w:r>
          </w:p>
        </w:tc>
        <w:tc>
          <w:tcPr>
            <w:tcW w:type="dxa" w:w="2211"/>
          </w:tcPr>
          <w:p>
            <w:pPr>
              <w:spacing w:after="40"/>
            </w:pPr>
            <w:r/>
          </w:p>
        </w:tc>
      </w:tr>
      <w:tr>
        <w:trPr>
          <w:cantSplit/>
        </w:trPr>
        <w:tc>
          <w:tcPr>
            <w:tcW w:type="dxa" w:w="907"/>
          </w:tcPr>
          <w:p>
            <w:pPr>
              <w:spacing w:after="40"/>
            </w:pPr>
            <w:r/>
            <w:r>
              <w:rPr>
                <w:b w:val="0"/>
                <w:sz w:val="18"/>
              </w:rPr>
              <w:t>F2</w:t>
            </w:r>
          </w:p>
        </w:tc>
        <w:tc>
          <w:tcPr>
            <w:tcW w:type="dxa" w:w="6236"/>
          </w:tcPr>
          <w:p>
            <w:pPr>
              <w:spacing w:after="40"/>
            </w:pPr>
            <w:r/>
            <w:r>
              <w:rPr>
                <w:b w:val="0"/>
                <w:sz w:val="18"/>
              </w:rPr>
              <w:t>Authorship and discipline signatures</w:t>
            </w:r>
          </w:p>
        </w:tc>
        <w:tc>
          <w:tcPr>
            <w:tcW w:type="dxa" w:w="2211"/>
          </w:tcPr>
          <w:p>
            <w:pPr>
              <w:spacing w:after="40"/>
            </w:pPr>
            <w:r/>
          </w:p>
        </w:tc>
      </w:tr>
      <w:tr>
        <w:trPr>
          <w:cantSplit/>
        </w:trPr>
        <w:tc>
          <w:tcPr>
            <w:tcW w:type="dxa" w:w="907"/>
          </w:tcPr>
          <w:p>
            <w:pPr>
              <w:spacing w:after="40"/>
            </w:pPr>
            <w:r/>
            <w:r>
              <w:rPr>
                <w:b w:val="0"/>
                <w:sz w:val="18"/>
              </w:rPr>
              <w:t>F3</w:t>
            </w:r>
          </w:p>
        </w:tc>
        <w:tc>
          <w:tcPr>
            <w:tcW w:type="dxa" w:w="6236"/>
          </w:tcPr>
          <w:p>
            <w:pPr>
              <w:spacing w:after="40"/>
            </w:pPr>
            <w:r/>
            <w:r>
              <w:rPr>
                <w:b w:val="0"/>
                <w:sz w:val="18"/>
              </w:rPr>
              <w:t>Abbreviations and definitions</w:t>
            </w:r>
          </w:p>
        </w:tc>
        <w:tc>
          <w:tcPr>
            <w:tcW w:type="dxa" w:w="2211"/>
          </w:tcPr>
          <w:p>
            <w:pPr>
              <w:spacing w:after="40"/>
            </w:pPr>
            <w:r/>
            <w:r>
              <w:rPr>
                <w:b w:val="0"/>
                <w:sz w:val="18"/>
              </w:rPr>
              <w:t>Front matter</w:t>
            </w:r>
          </w:p>
        </w:tc>
      </w:tr>
      <w:tr>
        <w:trPr>
          <w:cantSplit/>
        </w:trPr>
        <w:tc>
          <w:tcPr>
            <w:tcW w:type="dxa" w:w="907"/>
          </w:tcPr>
          <w:p>
            <w:pPr>
              <w:spacing w:after="40"/>
            </w:pPr>
            <w:r/>
            <w:r>
              <w:rPr>
                <w:b w:val="0"/>
                <w:sz w:val="18"/>
              </w:rPr>
              <w:t>F4</w:t>
            </w:r>
          </w:p>
        </w:tc>
        <w:tc>
          <w:tcPr>
            <w:tcW w:type="dxa" w:w="6236"/>
          </w:tcPr>
          <w:p>
            <w:pPr>
              <w:spacing w:after="40"/>
            </w:pPr>
            <w:r/>
            <w:r>
              <w:rPr>
                <w:b w:val="0"/>
                <w:sz w:val="18"/>
              </w:rPr>
              <w:t>Executive summary</w:t>
            </w:r>
          </w:p>
        </w:tc>
        <w:tc>
          <w:tcPr>
            <w:tcW w:type="dxa" w:w="2211"/>
          </w:tcPr>
          <w:p>
            <w:pPr>
              <w:spacing w:after="40"/>
            </w:pPr>
            <w:r/>
          </w:p>
        </w:tc>
      </w:tr>
      <w:tr>
        <w:trPr>
          <w:cantSplit/>
        </w:trPr>
        <w:tc>
          <w:tcPr>
            <w:tcW w:type="dxa" w:w="907"/>
          </w:tcPr>
          <w:p>
            <w:pPr>
              <w:spacing w:after="40"/>
            </w:pPr>
            <w:r/>
            <w:r>
              <w:rPr>
                <w:b/>
                <w:sz w:val="18"/>
              </w:rPr>
              <w:t>Part A</w:t>
            </w:r>
          </w:p>
        </w:tc>
        <w:tc>
          <w:tcPr>
            <w:tcW w:type="dxa" w:w="6236"/>
          </w:tcPr>
          <w:p>
            <w:pPr>
              <w:spacing w:after="40"/>
            </w:pPr>
            <w:r/>
            <w:r>
              <w:rPr>
                <w:b/>
                <w:sz w:val="18"/>
              </w:rPr>
              <w:t>Project, scope and process</w:t>
            </w:r>
          </w:p>
        </w:tc>
        <w:tc>
          <w:tcPr>
            <w:tcW w:type="dxa" w:w="2211"/>
          </w:tcPr>
          <w:p>
            <w:pPr>
              <w:spacing w:after="40"/>
            </w:pPr>
            <w:r/>
          </w:p>
        </w:tc>
      </w:tr>
      <w:tr>
        <w:trPr>
          <w:cantSplit/>
        </w:trPr>
        <w:tc>
          <w:tcPr>
            <w:tcW w:type="dxa" w:w="907"/>
          </w:tcPr>
          <w:p>
            <w:pPr>
              <w:spacing w:after="40"/>
            </w:pPr>
            <w:r/>
            <w:r>
              <w:rPr>
                <w:b w:val="0"/>
                <w:sz w:val="18"/>
              </w:rPr>
              <w:t>1</w:t>
            </w:r>
          </w:p>
        </w:tc>
        <w:tc>
          <w:tcPr>
            <w:tcW w:type="dxa" w:w="6236"/>
          </w:tcPr>
          <w:p>
            <w:pPr>
              <w:spacing w:after="40"/>
            </w:pPr>
            <w:r/>
            <w:r>
              <w:rPr>
                <w:b w:val="0"/>
                <w:sz w:val="18"/>
              </w:rPr>
              <w:t>Introduction, background and RG Master Plan context</w:t>
            </w:r>
          </w:p>
        </w:tc>
        <w:tc>
          <w:tcPr>
            <w:tcW w:type="dxa" w:w="2211"/>
          </w:tcPr>
          <w:p>
            <w:pPr>
              <w:spacing w:after="40"/>
            </w:pPr>
            <w:r/>
          </w:p>
        </w:tc>
      </w:tr>
      <w:tr>
        <w:trPr>
          <w:cantSplit/>
        </w:trPr>
        <w:tc>
          <w:tcPr>
            <w:tcW w:type="dxa" w:w="907"/>
          </w:tcPr>
          <w:p>
            <w:pPr>
              <w:spacing w:after="40"/>
            </w:pPr>
            <w:r/>
            <w:r>
              <w:rPr>
                <w:b w:val="0"/>
                <w:sz w:val="18"/>
              </w:rPr>
              <w:t>2</w:t>
            </w:r>
          </w:p>
        </w:tc>
        <w:tc>
          <w:tcPr>
            <w:tcW w:type="dxa" w:w="6236"/>
          </w:tcPr>
          <w:p>
            <w:pPr>
              <w:spacing w:after="40"/>
            </w:pPr>
            <w:r/>
            <w:r>
              <w:rPr>
                <w:b w:val="0"/>
                <w:sz w:val="18"/>
              </w:rPr>
              <w:t>Scope and boundaries</w:t>
            </w:r>
          </w:p>
        </w:tc>
        <w:tc>
          <w:tcPr>
            <w:tcW w:type="dxa" w:w="2211"/>
          </w:tcPr>
          <w:p>
            <w:pPr>
              <w:spacing w:after="40"/>
            </w:pPr>
            <w:r/>
          </w:p>
        </w:tc>
      </w:tr>
      <w:tr>
        <w:trPr>
          <w:cantSplit/>
        </w:trPr>
        <w:tc>
          <w:tcPr>
            <w:tcW w:type="dxa" w:w="907"/>
          </w:tcPr>
          <w:p>
            <w:pPr>
              <w:spacing w:after="40"/>
            </w:pPr>
            <w:r/>
            <w:r>
              <w:rPr>
                <w:b w:val="0"/>
                <w:sz w:val="18"/>
              </w:rPr>
              <w:t>3</w:t>
            </w:r>
          </w:p>
        </w:tc>
        <w:tc>
          <w:tcPr>
            <w:tcW w:type="dxa" w:w="6236"/>
          </w:tcPr>
          <w:p>
            <w:pPr>
              <w:spacing w:after="40"/>
            </w:pPr>
            <w:r/>
            <w:r>
              <w:rPr>
                <w:b w:val="0"/>
                <w:sz w:val="18"/>
              </w:rPr>
              <w:t>Programme and design stage gates</w:t>
            </w:r>
          </w:p>
        </w:tc>
        <w:tc>
          <w:tcPr>
            <w:tcW w:type="dxa" w:w="2211"/>
          </w:tcPr>
          <w:p>
            <w:pPr>
              <w:spacing w:after="40"/>
            </w:pPr>
            <w:r/>
          </w:p>
        </w:tc>
      </w:tr>
      <w:tr>
        <w:trPr>
          <w:cantSplit/>
        </w:trPr>
        <w:tc>
          <w:tcPr>
            <w:tcW w:type="dxa" w:w="907"/>
          </w:tcPr>
          <w:p>
            <w:pPr>
              <w:spacing w:after="40"/>
            </w:pPr>
            <w:r/>
            <w:r>
              <w:rPr>
                <w:b w:val="0"/>
                <w:sz w:val="18"/>
              </w:rPr>
              <w:t>4</w:t>
            </w:r>
          </w:p>
        </w:tc>
        <w:tc>
          <w:tcPr>
            <w:tcW w:type="dxa" w:w="6236"/>
          </w:tcPr>
          <w:p>
            <w:pPr>
              <w:spacing w:after="40"/>
            </w:pPr>
            <w:r/>
            <w:r>
              <w:rPr>
                <w:b w:val="0"/>
                <w:sz w:val="18"/>
              </w:rPr>
              <w:t>Meetings, consultation and decisions record</w:t>
            </w:r>
          </w:p>
        </w:tc>
        <w:tc>
          <w:tcPr>
            <w:tcW w:type="dxa" w:w="2211"/>
          </w:tcPr>
          <w:p>
            <w:pPr>
              <w:spacing w:after="40"/>
            </w:pPr>
            <w:r/>
          </w:p>
        </w:tc>
      </w:tr>
      <w:tr>
        <w:trPr>
          <w:cantSplit/>
        </w:trPr>
        <w:tc>
          <w:tcPr>
            <w:tcW w:type="dxa" w:w="907"/>
          </w:tcPr>
          <w:p>
            <w:pPr>
              <w:spacing w:after="40"/>
            </w:pPr>
            <w:r/>
            <w:r>
              <w:rPr>
                <w:b w:val="0"/>
                <w:sz w:val="18"/>
              </w:rPr>
              <w:t>5</w:t>
            </w:r>
          </w:p>
        </w:tc>
        <w:tc>
          <w:tcPr>
            <w:tcW w:type="dxa" w:w="6236"/>
          </w:tcPr>
          <w:p>
            <w:pPr>
              <w:spacing w:after="40"/>
            </w:pPr>
            <w:r/>
            <w:r>
              <w:rPr>
                <w:b w:val="0"/>
                <w:sz w:val="18"/>
              </w:rPr>
              <w:t>Quality plan and HSE plan</w:t>
            </w:r>
          </w:p>
        </w:tc>
        <w:tc>
          <w:tcPr>
            <w:tcW w:type="dxa" w:w="2211"/>
          </w:tcPr>
          <w:p>
            <w:pPr>
              <w:spacing w:after="40"/>
            </w:pPr>
            <w:r/>
          </w:p>
        </w:tc>
      </w:tr>
      <w:tr>
        <w:trPr>
          <w:cantSplit/>
        </w:trPr>
        <w:tc>
          <w:tcPr>
            <w:tcW w:type="dxa" w:w="907"/>
          </w:tcPr>
          <w:p>
            <w:pPr>
              <w:spacing w:after="40"/>
            </w:pPr>
            <w:r/>
            <w:r>
              <w:rPr>
                <w:b/>
                <w:sz w:val="18"/>
              </w:rPr>
              <w:t>Part B</w:t>
            </w:r>
          </w:p>
        </w:tc>
        <w:tc>
          <w:tcPr>
            <w:tcW w:type="dxa" w:w="6236"/>
          </w:tcPr>
          <w:p>
            <w:pPr>
              <w:spacing w:after="40"/>
            </w:pPr>
            <w:r/>
            <w:r>
              <w:rPr>
                <w:b/>
                <w:sz w:val="18"/>
              </w:rPr>
              <w:t>Data</w:t>
            </w:r>
          </w:p>
        </w:tc>
        <w:tc>
          <w:tcPr>
            <w:tcW w:type="dxa" w:w="2211"/>
          </w:tcPr>
          <w:p>
            <w:pPr>
              <w:spacing w:after="40"/>
            </w:pPr>
            <w:r/>
          </w:p>
        </w:tc>
      </w:tr>
      <w:tr>
        <w:trPr>
          <w:cantSplit/>
        </w:trPr>
        <w:tc>
          <w:tcPr>
            <w:tcW w:type="dxa" w:w="907"/>
          </w:tcPr>
          <w:p>
            <w:pPr>
              <w:spacing w:after="40"/>
            </w:pPr>
            <w:r/>
            <w:r>
              <w:rPr>
                <w:b w:val="0"/>
                <w:sz w:val="18"/>
              </w:rPr>
              <w:t>6</w:t>
            </w:r>
          </w:p>
        </w:tc>
        <w:tc>
          <w:tcPr>
            <w:tcW w:type="dxa" w:w="6236"/>
          </w:tcPr>
          <w:p>
            <w:pPr>
              <w:spacing w:after="40"/>
            </w:pPr>
            <w:r/>
            <w:r>
              <w:rPr>
                <w:b w:val="0"/>
                <w:sz w:val="18"/>
              </w:rPr>
              <w:t>Data collection register</w:t>
            </w:r>
          </w:p>
        </w:tc>
        <w:tc>
          <w:tcPr>
            <w:tcW w:type="dxa" w:w="2211"/>
          </w:tcPr>
          <w:p>
            <w:pPr>
              <w:spacing w:after="40"/>
            </w:pPr>
            <w:r/>
            <w:r>
              <w:rPr>
                <w:b w:val="0"/>
                <w:sz w:val="18"/>
              </w:rPr>
              <w:t>3</w:t>
            </w:r>
          </w:p>
        </w:tc>
      </w:tr>
      <w:tr>
        <w:trPr>
          <w:cantSplit/>
        </w:trPr>
        <w:tc>
          <w:tcPr>
            <w:tcW w:type="dxa" w:w="907"/>
          </w:tcPr>
          <w:p>
            <w:pPr>
              <w:spacing w:after="40"/>
            </w:pPr>
            <w:r/>
            <w:r>
              <w:rPr>
                <w:b w:val="0"/>
                <w:sz w:val="18"/>
              </w:rPr>
              <w:t>7</w:t>
            </w:r>
          </w:p>
        </w:tc>
        <w:tc>
          <w:tcPr>
            <w:tcW w:type="dxa" w:w="6236"/>
          </w:tcPr>
          <w:p>
            <w:pPr>
              <w:spacing w:after="40"/>
            </w:pPr>
            <w:r/>
            <w:r>
              <w:rPr>
                <w:b w:val="0"/>
                <w:sz w:val="18"/>
              </w:rPr>
              <w:t>Data validation and adequacy assessment</w:t>
            </w:r>
          </w:p>
        </w:tc>
        <w:tc>
          <w:tcPr>
            <w:tcW w:type="dxa" w:w="2211"/>
          </w:tcPr>
          <w:p>
            <w:pPr>
              <w:spacing w:after="40"/>
            </w:pPr>
            <w:r/>
            <w:r>
              <w:rPr>
                <w:b w:val="0"/>
                <w:sz w:val="18"/>
              </w:rPr>
              <w:t>3</w:t>
            </w:r>
          </w:p>
        </w:tc>
      </w:tr>
      <w:tr>
        <w:trPr>
          <w:cantSplit/>
        </w:trPr>
        <w:tc>
          <w:tcPr>
            <w:tcW w:type="dxa" w:w="907"/>
          </w:tcPr>
          <w:p>
            <w:pPr>
              <w:spacing w:after="40"/>
            </w:pPr>
            <w:r/>
            <w:r>
              <w:rPr>
                <w:b w:val="0"/>
                <w:sz w:val="18"/>
              </w:rPr>
              <w:t>8</w:t>
            </w:r>
          </w:p>
        </w:tc>
        <w:tc>
          <w:tcPr>
            <w:tcW w:type="dxa" w:w="6236"/>
          </w:tcPr>
          <w:p>
            <w:pPr>
              <w:spacing w:after="40"/>
            </w:pPr>
            <w:r/>
            <w:r>
              <w:rPr>
                <w:b w:val="0"/>
                <w:sz w:val="18"/>
              </w:rPr>
              <w:t>Survey, geotechnical investigation and trial pits</w:t>
            </w:r>
          </w:p>
        </w:tc>
        <w:tc>
          <w:tcPr>
            <w:tcW w:type="dxa" w:w="2211"/>
          </w:tcPr>
          <w:p>
            <w:pPr>
              <w:spacing w:after="40"/>
            </w:pPr>
            <w:r/>
            <w:r>
              <w:rPr>
                <w:b w:val="0"/>
                <w:sz w:val="18"/>
              </w:rPr>
              <w:t>13</w:t>
            </w:r>
          </w:p>
        </w:tc>
      </w:tr>
      <w:tr>
        <w:trPr>
          <w:cantSplit/>
        </w:trPr>
        <w:tc>
          <w:tcPr>
            <w:tcW w:type="dxa" w:w="907"/>
          </w:tcPr>
          <w:p>
            <w:pPr>
              <w:spacing w:after="40"/>
            </w:pPr>
            <w:r/>
            <w:r>
              <w:rPr>
                <w:b w:val="0"/>
                <w:sz w:val="18"/>
              </w:rPr>
              <w:t>9</w:t>
            </w:r>
          </w:p>
        </w:tc>
        <w:tc>
          <w:tcPr>
            <w:tcW w:type="dxa" w:w="6236"/>
          </w:tcPr>
          <w:p>
            <w:pPr>
              <w:spacing w:after="40"/>
            </w:pPr>
            <w:r/>
            <w:r>
              <w:rPr>
                <w:b w:val="0"/>
                <w:sz w:val="18"/>
              </w:rPr>
              <w:t>Existing systems — as-built and GIS</w:t>
            </w:r>
          </w:p>
        </w:tc>
        <w:tc>
          <w:tcPr>
            <w:tcW w:type="dxa" w:w="2211"/>
          </w:tcPr>
          <w:p>
            <w:pPr>
              <w:spacing w:after="40"/>
            </w:pPr>
            <w:r/>
            <w:r>
              <w:rPr>
                <w:b w:val="0"/>
                <w:sz w:val="18"/>
              </w:rPr>
              <w:t>15</w:t>
            </w:r>
          </w:p>
        </w:tc>
      </w:tr>
      <w:tr>
        <w:trPr>
          <w:cantSplit/>
        </w:trPr>
        <w:tc>
          <w:tcPr>
            <w:tcW w:type="dxa" w:w="907"/>
          </w:tcPr>
          <w:p>
            <w:pPr>
              <w:spacing w:after="40"/>
            </w:pPr>
            <w:r/>
            <w:r>
              <w:rPr>
                <w:b/>
                <w:sz w:val="18"/>
              </w:rPr>
              <w:t>Part C</w:t>
            </w:r>
          </w:p>
        </w:tc>
        <w:tc>
          <w:tcPr>
            <w:tcW w:type="dxa" w:w="6236"/>
          </w:tcPr>
          <w:p>
            <w:pPr>
              <w:spacing w:after="40"/>
            </w:pPr>
            <w:r/>
            <w:r>
              <w:rPr>
                <w:b/>
                <w:sz w:val="18"/>
              </w:rPr>
              <w:t>Basis of design</w:t>
            </w:r>
          </w:p>
        </w:tc>
        <w:tc>
          <w:tcPr>
            <w:tcW w:type="dxa" w:w="2211"/>
          </w:tcPr>
          <w:p>
            <w:pPr>
              <w:spacing w:after="40"/>
            </w:pPr>
            <w:r/>
          </w:p>
        </w:tc>
      </w:tr>
      <w:tr>
        <w:trPr>
          <w:cantSplit/>
        </w:trPr>
        <w:tc>
          <w:tcPr>
            <w:tcW w:type="dxa" w:w="907"/>
          </w:tcPr>
          <w:p>
            <w:pPr>
              <w:spacing w:after="40"/>
            </w:pPr>
            <w:r/>
            <w:r>
              <w:rPr>
                <w:b w:val="0"/>
                <w:sz w:val="18"/>
              </w:rPr>
              <w:t>10</w:t>
            </w:r>
          </w:p>
        </w:tc>
        <w:tc>
          <w:tcPr>
            <w:tcW w:type="dxa" w:w="6236"/>
          </w:tcPr>
          <w:p>
            <w:pPr>
              <w:spacing w:after="40"/>
            </w:pPr>
            <w:r/>
            <w:r>
              <w:rPr>
                <w:b w:val="0"/>
                <w:sz w:val="18"/>
              </w:rPr>
              <w:t>Codes, standards and the deviations register</w:t>
            </w:r>
          </w:p>
        </w:tc>
        <w:tc>
          <w:tcPr>
            <w:tcW w:type="dxa" w:w="2211"/>
          </w:tcPr>
          <w:p>
            <w:pPr>
              <w:spacing w:after="40"/>
            </w:pPr>
            <w:r/>
            <w:r>
              <w:rPr>
                <w:b w:val="0"/>
                <w:sz w:val="18"/>
              </w:rPr>
              <w:t>22</w:t>
            </w:r>
          </w:p>
        </w:tc>
      </w:tr>
      <w:tr>
        <w:trPr>
          <w:cantSplit/>
        </w:trPr>
        <w:tc>
          <w:tcPr>
            <w:tcW w:type="dxa" w:w="907"/>
          </w:tcPr>
          <w:p>
            <w:pPr>
              <w:spacing w:after="40"/>
            </w:pPr>
            <w:r/>
            <w:r>
              <w:rPr>
                <w:b w:val="0"/>
                <w:sz w:val="18"/>
              </w:rPr>
              <w:t>11</w:t>
            </w:r>
          </w:p>
        </w:tc>
        <w:tc>
          <w:tcPr>
            <w:tcW w:type="dxa" w:w="6236"/>
          </w:tcPr>
          <w:p>
            <w:pPr>
              <w:spacing w:after="40"/>
            </w:pPr>
            <w:r/>
            <w:r>
              <w:rPr>
                <w:b w:val="0"/>
                <w:sz w:val="18"/>
              </w:rPr>
              <w:t>Level of service, resilience and contingency</w:t>
            </w:r>
          </w:p>
        </w:tc>
        <w:tc>
          <w:tcPr>
            <w:tcW w:type="dxa" w:w="2211"/>
          </w:tcPr>
          <w:p>
            <w:pPr>
              <w:spacing w:after="40"/>
            </w:pPr>
            <w:r/>
            <w:r>
              <w:rPr>
                <w:b w:val="0"/>
                <w:sz w:val="18"/>
              </w:rPr>
              <w:t>—</w:t>
            </w:r>
          </w:p>
        </w:tc>
      </w:tr>
      <w:tr>
        <w:trPr>
          <w:cantSplit/>
        </w:trPr>
        <w:tc>
          <w:tcPr>
            <w:tcW w:type="dxa" w:w="907"/>
          </w:tcPr>
          <w:p>
            <w:pPr>
              <w:spacing w:after="40"/>
            </w:pPr>
            <w:r/>
            <w:r>
              <w:rPr>
                <w:b w:val="0"/>
                <w:sz w:val="18"/>
              </w:rPr>
              <w:t>12</w:t>
            </w:r>
          </w:p>
        </w:tc>
        <w:tc>
          <w:tcPr>
            <w:tcW w:type="dxa" w:w="6236"/>
          </w:tcPr>
          <w:p>
            <w:pPr>
              <w:spacing w:after="40"/>
            </w:pPr>
            <w:r/>
            <w:r>
              <w:rPr>
                <w:b w:val="0"/>
                <w:sz w:val="18"/>
              </w:rPr>
              <w:t>Design criteria — networks</w:t>
            </w:r>
          </w:p>
        </w:tc>
        <w:tc>
          <w:tcPr>
            <w:tcW w:type="dxa" w:w="2211"/>
          </w:tcPr>
          <w:p>
            <w:pPr>
              <w:spacing w:after="40"/>
            </w:pPr>
            <w:r/>
            <w:r>
              <w:rPr>
                <w:b w:val="0"/>
                <w:sz w:val="18"/>
              </w:rPr>
              <w:t>9, 11</w:t>
            </w:r>
          </w:p>
        </w:tc>
      </w:tr>
      <w:tr>
        <w:trPr>
          <w:cantSplit/>
        </w:trPr>
        <w:tc>
          <w:tcPr>
            <w:tcW w:type="dxa" w:w="907"/>
          </w:tcPr>
          <w:p>
            <w:pPr>
              <w:spacing w:after="40"/>
            </w:pPr>
            <w:r/>
            <w:r>
              <w:rPr>
                <w:b w:val="0"/>
                <w:sz w:val="18"/>
              </w:rPr>
              <w:t>13</w:t>
            </w:r>
          </w:p>
        </w:tc>
        <w:tc>
          <w:tcPr>
            <w:tcW w:type="dxa" w:w="6236"/>
          </w:tcPr>
          <w:p>
            <w:pPr>
              <w:spacing w:after="40"/>
            </w:pPr>
            <w:r/>
            <w:r>
              <w:rPr>
                <w:b w:val="0"/>
                <w:sz w:val="18"/>
              </w:rPr>
              <w:t>Design criteria — STP and process</w:t>
            </w:r>
          </w:p>
        </w:tc>
        <w:tc>
          <w:tcPr>
            <w:tcW w:type="dxa" w:w="2211"/>
          </w:tcPr>
          <w:p>
            <w:pPr>
              <w:spacing w:after="40"/>
            </w:pPr>
            <w:r/>
            <w:r>
              <w:rPr>
                <w:b w:val="0"/>
                <w:sz w:val="18"/>
              </w:rPr>
              <w:t>16</w:t>
            </w:r>
          </w:p>
        </w:tc>
      </w:tr>
      <w:tr>
        <w:trPr>
          <w:cantSplit/>
        </w:trPr>
        <w:tc>
          <w:tcPr>
            <w:tcW w:type="dxa" w:w="907"/>
          </w:tcPr>
          <w:p>
            <w:pPr>
              <w:spacing w:after="40"/>
            </w:pPr>
            <w:r/>
            <w:r>
              <w:rPr>
                <w:b/>
                <w:sz w:val="18"/>
              </w:rPr>
              <w:t>Part D</w:t>
            </w:r>
          </w:p>
        </w:tc>
        <w:tc>
          <w:tcPr>
            <w:tcW w:type="dxa" w:w="6236"/>
          </w:tcPr>
          <w:p>
            <w:pPr>
              <w:spacing w:after="40"/>
            </w:pPr>
            <w:r/>
            <w:r>
              <w:rPr>
                <w:b/>
                <w:sz w:val="18"/>
              </w:rPr>
              <w:t>Demand and flows</w:t>
            </w:r>
          </w:p>
        </w:tc>
        <w:tc>
          <w:tcPr>
            <w:tcW w:type="dxa" w:w="2211"/>
          </w:tcPr>
          <w:p>
            <w:pPr>
              <w:spacing w:after="40"/>
            </w:pPr>
            <w:r/>
          </w:p>
        </w:tc>
      </w:tr>
      <w:tr>
        <w:trPr>
          <w:cantSplit/>
        </w:trPr>
        <w:tc>
          <w:tcPr>
            <w:tcW w:type="dxa" w:w="907"/>
          </w:tcPr>
          <w:p>
            <w:pPr>
              <w:spacing w:after="40"/>
            </w:pPr>
            <w:r/>
            <w:r>
              <w:rPr>
                <w:b w:val="0"/>
                <w:sz w:val="18"/>
              </w:rPr>
              <w:t>14</w:t>
            </w:r>
          </w:p>
        </w:tc>
        <w:tc>
          <w:tcPr>
            <w:tcW w:type="dxa" w:w="6236"/>
          </w:tcPr>
          <w:p>
            <w:pPr>
              <w:spacing w:after="40"/>
            </w:pPr>
            <w:r/>
            <w:r>
              <w:rPr>
                <w:b w:val="0"/>
                <w:sz w:val="18"/>
              </w:rPr>
              <w:t>Population and land use</w:t>
            </w:r>
          </w:p>
        </w:tc>
        <w:tc>
          <w:tcPr>
            <w:tcW w:type="dxa" w:w="2211"/>
          </w:tcPr>
          <w:p>
            <w:pPr>
              <w:spacing w:after="40"/>
            </w:pPr>
            <w:r/>
            <w:r>
              <w:rPr>
                <w:b w:val="0"/>
                <w:sz w:val="18"/>
              </w:rPr>
              <w:t>3, 4</w:t>
            </w:r>
          </w:p>
        </w:tc>
      </w:tr>
      <w:tr>
        <w:trPr>
          <w:cantSplit/>
        </w:trPr>
        <w:tc>
          <w:tcPr>
            <w:tcW w:type="dxa" w:w="907"/>
          </w:tcPr>
          <w:p>
            <w:pPr>
              <w:spacing w:after="40"/>
            </w:pPr>
            <w:r/>
            <w:r>
              <w:rPr>
                <w:b w:val="0"/>
                <w:sz w:val="18"/>
              </w:rPr>
              <w:t>15</w:t>
            </w:r>
          </w:p>
        </w:tc>
        <w:tc>
          <w:tcPr>
            <w:tcW w:type="dxa" w:w="6236"/>
          </w:tcPr>
          <w:p>
            <w:pPr>
              <w:spacing w:after="40"/>
            </w:pPr>
            <w:r/>
            <w:r>
              <w:rPr>
                <w:b w:val="0"/>
                <w:sz w:val="18"/>
              </w:rPr>
              <w:t>Wastewater generation and design flows</w:t>
            </w:r>
          </w:p>
        </w:tc>
        <w:tc>
          <w:tcPr>
            <w:tcW w:type="dxa" w:w="2211"/>
          </w:tcPr>
          <w:p>
            <w:pPr>
              <w:spacing w:after="40"/>
            </w:pPr>
            <w:r/>
            <w:r>
              <w:rPr>
                <w:b w:val="0"/>
                <w:sz w:val="18"/>
              </w:rPr>
              <w:t>5, 6, 7, 8</w:t>
            </w:r>
          </w:p>
        </w:tc>
      </w:tr>
      <w:tr>
        <w:trPr>
          <w:cantSplit/>
        </w:trPr>
        <w:tc>
          <w:tcPr>
            <w:tcW w:type="dxa" w:w="907"/>
          </w:tcPr>
          <w:p>
            <w:pPr>
              <w:spacing w:after="40"/>
            </w:pPr>
            <w:r/>
            <w:r>
              <w:rPr>
                <w:b w:val="0"/>
                <w:sz w:val="18"/>
              </w:rPr>
              <w:t>16</w:t>
            </w:r>
          </w:p>
        </w:tc>
        <w:tc>
          <w:tcPr>
            <w:tcW w:type="dxa" w:w="6236"/>
          </w:tcPr>
          <w:p>
            <w:pPr>
              <w:spacing w:after="40"/>
            </w:pPr>
            <w:r/>
            <w:r>
              <w:rPr>
                <w:b w:val="0"/>
                <w:sz w:val="18"/>
              </w:rPr>
              <w:t>Trade effluent and industrial contributions</w:t>
            </w:r>
          </w:p>
        </w:tc>
        <w:tc>
          <w:tcPr>
            <w:tcW w:type="dxa" w:w="2211"/>
          </w:tcPr>
          <w:p>
            <w:pPr>
              <w:spacing w:after="40"/>
            </w:pPr>
            <w:r/>
            <w:r>
              <w:rPr>
                <w:b w:val="0"/>
                <w:sz w:val="18"/>
              </w:rPr>
              <w:t>16.4</w:t>
            </w:r>
          </w:p>
        </w:tc>
      </w:tr>
      <w:tr>
        <w:trPr>
          <w:cantSplit/>
        </w:trPr>
        <w:tc>
          <w:tcPr>
            <w:tcW w:type="dxa" w:w="907"/>
          </w:tcPr>
          <w:p>
            <w:pPr>
              <w:spacing w:after="40"/>
            </w:pPr>
            <w:r/>
            <w:r>
              <w:rPr>
                <w:b w:val="0"/>
                <w:sz w:val="18"/>
              </w:rPr>
              <w:t>17</w:t>
            </w:r>
          </w:p>
        </w:tc>
        <w:tc>
          <w:tcPr>
            <w:tcW w:type="dxa" w:w="6236"/>
          </w:tcPr>
          <w:p>
            <w:pPr>
              <w:spacing w:after="40"/>
            </w:pPr>
            <w:r/>
            <w:r>
              <w:rPr>
                <w:b w:val="0"/>
                <w:sz w:val="18"/>
              </w:rPr>
              <w:t>Treated effluent demand and customers</w:t>
            </w:r>
          </w:p>
        </w:tc>
        <w:tc>
          <w:tcPr>
            <w:tcW w:type="dxa" w:w="2211"/>
          </w:tcPr>
          <w:p>
            <w:pPr>
              <w:spacing w:after="40"/>
            </w:pPr>
            <w:r/>
            <w:r>
              <w:rPr>
                <w:b w:val="0"/>
                <w:sz w:val="18"/>
              </w:rPr>
              <w:t>17</w:t>
            </w:r>
          </w:p>
        </w:tc>
      </w:tr>
      <w:tr>
        <w:trPr>
          <w:cantSplit/>
        </w:trPr>
        <w:tc>
          <w:tcPr>
            <w:tcW w:type="dxa" w:w="907"/>
          </w:tcPr>
          <w:p>
            <w:pPr>
              <w:spacing w:after="40"/>
            </w:pPr>
            <w:r/>
            <w:r>
              <w:rPr>
                <w:b/>
                <w:sz w:val="18"/>
              </w:rPr>
              <w:t>Part E</w:t>
            </w:r>
          </w:p>
        </w:tc>
        <w:tc>
          <w:tcPr>
            <w:tcW w:type="dxa" w:w="6236"/>
          </w:tcPr>
          <w:p>
            <w:pPr>
              <w:spacing w:after="40"/>
            </w:pPr>
            <w:r/>
            <w:r>
              <w:rPr>
                <w:b/>
                <w:sz w:val="18"/>
              </w:rPr>
              <w:t>Existing system</w:t>
            </w:r>
          </w:p>
        </w:tc>
        <w:tc>
          <w:tcPr>
            <w:tcW w:type="dxa" w:w="2211"/>
          </w:tcPr>
          <w:p>
            <w:pPr>
              <w:spacing w:after="40"/>
            </w:pPr>
            <w:r/>
          </w:p>
        </w:tc>
      </w:tr>
      <w:tr>
        <w:trPr>
          <w:cantSplit/>
        </w:trPr>
        <w:tc>
          <w:tcPr>
            <w:tcW w:type="dxa" w:w="907"/>
          </w:tcPr>
          <w:p>
            <w:pPr>
              <w:spacing w:after="40"/>
            </w:pPr>
            <w:r/>
            <w:r>
              <w:rPr>
                <w:b w:val="0"/>
                <w:sz w:val="18"/>
              </w:rPr>
              <w:t>18</w:t>
            </w:r>
          </w:p>
        </w:tc>
        <w:tc>
          <w:tcPr>
            <w:tcW w:type="dxa" w:w="6236"/>
          </w:tcPr>
          <w:p>
            <w:pPr>
              <w:spacing w:after="40"/>
            </w:pPr>
            <w:r/>
            <w:r>
              <w:rPr>
                <w:b w:val="0"/>
                <w:sz w:val="18"/>
              </w:rPr>
              <w:t>Hydraulic assessment of existing networks</w:t>
            </w:r>
          </w:p>
        </w:tc>
        <w:tc>
          <w:tcPr>
            <w:tcW w:type="dxa" w:w="2211"/>
          </w:tcPr>
          <w:p>
            <w:pPr>
              <w:spacing w:after="40"/>
            </w:pPr>
            <w:r/>
            <w:r>
              <w:rPr>
                <w:b w:val="0"/>
                <w:sz w:val="18"/>
              </w:rPr>
              <w:t>14, 15</w:t>
            </w:r>
          </w:p>
        </w:tc>
      </w:tr>
      <w:tr>
        <w:trPr>
          <w:cantSplit/>
        </w:trPr>
        <w:tc>
          <w:tcPr>
            <w:tcW w:type="dxa" w:w="907"/>
          </w:tcPr>
          <w:p>
            <w:pPr>
              <w:spacing w:after="40"/>
            </w:pPr>
            <w:r/>
            <w:r>
              <w:rPr>
                <w:b w:val="0"/>
                <w:sz w:val="18"/>
              </w:rPr>
              <w:t>19</w:t>
            </w:r>
          </w:p>
        </w:tc>
        <w:tc>
          <w:tcPr>
            <w:tcW w:type="dxa" w:w="6236"/>
          </w:tcPr>
          <w:p>
            <w:pPr>
              <w:spacing w:after="40"/>
            </w:pPr>
            <w:r/>
            <w:r>
              <w:rPr>
                <w:b w:val="0"/>
                <w:sz w:val="18"/>
              </w:rPr>
              <w:t>Rehabilitation and upgrading</w:t>
            </w:r>
          </w:p>
        </w:tc>
        <w:tc>
          <w:tcPr>
            <w:tcW w:type="dxa" w:w="2211"/>
          </w:tcPr>
          <w:p>
            <w:pPr>
              <w:spacing w:after="40"/>
            </w:pPr>
            <w:r/>
            <w:r>
              <w:rPr>
                <w:b w:val="0"/>
                <w:sz w:val="18"/>
              </w:rPr>
              <w:t>15</w:t>
            </w:r>
          </w:p>
        </w:tc>
      </w:tr>
      <w:tr>
        <w:trPr>
          <w:cantSplit/>
        </w:trPr>
        <w:tc>
          <w:tcPr>
            <w:tcW w:type="dxa" w:w="907"/>
          </w:tcPr>
          <w:p>
            <w:pPr>
              <w:spacing w:after="40"/>
            </w:pPr>
            <w:r/>
            <w:r>
              <w:rPr>
                <w:b w:val="0"/>
                <w:sz w:val="18"/>
              </w:rPr>
              <w:t>20</w:t>
            </w:r>
          </w:p>
        </w:tc>
        <w:tc>
          <w:tcPr>
            <w:tcW w:type="dxa" w:w="6236"/>
          </w:tcPr>
          <w:p>
            <w:pPr>
              <w:spacing w:after="40"/>
            </w:pPr>
            <w:r/>
            <w:r>
              <w:rPr>
                <w:b w:val="0"/>
                <w:sz w:val="18"/>
              </w:rPr>
              <w:t>RG Master Plan verification</w:t>
            </w:r>
          </w:p>
        </w:tc>
        <w:tc>
          <w:tcPr>
            <w:tcW w:type="dxa" w:w="2211"/>
          </w:tcPr>
          <w:p>
            <w:pPr>
              <w:spacing w:after="40"/>
            </w:pPr>
            <w:r/>
            <w:r>
              <w:rPr>
                <w:b w:val="0"/>
                <w:sz w:val="18"/>
              </w:rPr>
              <w:t>4, 7</w:t>
            </w:r>
          </w:p>
        </w:tc>
      </w:tr>
      <w:tr>
        <w:trPr>
          <w:cantSplit/>
        </w:trPr>
        <w:tc>
          <w:tcPr>
            <w:tcW w:type="dxa" w:w="907"/>
          </w:tcPr>
          <w:p>
            <w:pPr>
              <w:spacing w:after="40"/>
            </w:pPr>
            <w:r/>
            <w:r>
              <w:rPr>
                <w:b/>
                <w:sz w:val="18"/>
              </w:rPr>
              <w:t>Part F</w:t>
            </w:r>
          </w:p>
        </w:tc>
        <w:tc>
          <w:tcPr>
            <w:tcW w:type="dxa" w:w="6236"/>
          </w:tcPr>
          <w:p>
            <w:pPr>
              <w:spacing w:after="40"/>
            </w:pPr>
            <w:r/>
            <w:r>
              <w:rPr>
                <w:b/>
                <w:sz w:val="18"/>
              </w:rPr>
              <w:t>Options</w:t>
            </w:r>
          </w:p>
        </w:tc>
        <w:tc>
          <w:tcPr>
            <w:tcW w:type="dxa" w:w="2211"/>
          </w:tcPr>
          <w:p>
            <w:pPr>
              <w:spacing w:after="40"/>
            </w:pPr>
            <w:r/>
          </w:p>
        </w:tc>
      </w:tr>
      <w:tr>
        <w:trPr>
          <w:cantSplit/>
        </w:trPr>
        <w:tc>
          <w:tcPr>
            <w:tcW w:type="dxa" w:w="907"/>
          </w:tcPr>
          <w:p>
            <w:pPr>
              <w:spacing w:after="40"/>
            </w:pPr>
            <w:r/>
            <w:r>
              <w:rPr>
                <w:b w:val="0"/>
                <w:sz w:val="18"/>
              </w:rPr>
              <w:t>21</w:t>
            </w:r>
          </w:p>
        </w:tc>
        <w:tc>
          <w:tcPr>
            <w:tcW w:type="dxa" w:w="6236"/>
          </w:tcPr>
          <w:p>
            <w:pPr>
              <w:spacing w:after="40"/>
            </w:pPr>
            <w:r/>
            <w:r>
              <w:rPr>
                <w:b w:val="0"/>
                <w:sz w:val="18"/>
              </w:rPr>
              <w:t>Options methodology</w:t>
            </w:r>
          </w:p>
        </w:tc>
        <w:tc>
          <w:tcPr>
            <w:tcW w:type="dxa" w:w="2211"/>
          </w:tcPr>
          <w:p>
            <w:pPr>
              <w:spacing w:after="40"/>
            </w:pPr>
            <w:r/>
            <w:r>
              <w:rPr>
                <w:b w:val="0"/>
                <w:sz w:val="18"/>
              </w:rPr>
              <w:t>21</w:t>
            </w:r>
          </w:p>
        </w:tc>
      </w:tr>
      <w:tr>
        <w:trPr>
          <w:cantSplit/>
        </w:trPr>
        <w:tc>
          <w:tcPr>
            <w:tcW w:type="dxa" w:w="907"/>
          </w:tcPr>
          <w:p>
            <w:pPr>
              <w:spacing w:after="40"/>
            </w:pPr>
            <w:r/>
            <w:r>
              <w:rPr>
                <w:b w:val="0"/>
                <w:sz w:val="18"/>
              </w:rPr>
              <w:t>22</w:t>
            </w:r>
          </w:p>
        </w:tc>
        <w:tc>
          <w:tcPr>
            <w:tcW w:type="dxa" w:w="6236"/>
          </w:tcPr>
          <w:p>
            <w:pPr>
              <w:spacing w:after="40"/>
            </w:pPr>
            <w:r/>
            <w:r>
              <w:rPr>
                <w:b w:val="0"/>
                <w:sz w:val="18"/>
              </w:rPr>
              <w:t>Sewer network options</w:t>
            </w:r>
          </w:p>
        </w:tc>
        <w:tc>
          <w:tcPr>
            <w:tcW w:type="dxa" w:w="2211"/>
          </w:tcPr>
          <w:p>
            <w:pPr>
              <w:spacing w:after="40"/>
            </w:pPr>
            <w:r/>
            <w:r>
              <w:rPr>
                <w:b w:val="0"/>
                <w:sz w:val="18"/>
              </w:rPr>
              <w:t>9, 10</w:t>
            </w:r>
          </w:p>
        </w:tc>
      </w:tr>
      <w:tr>
        <w:trPr>
          <w:cantSplit/>
        </w:trPr>
        <w:tc>
          <w:tcPr>
            <w:tcW w:type="dxa" w:w="907"/>
          </w:tcPr>
          <w:p>
            <w:pPr>
              <w:spacing w:after="40"/>
            </w:pPr>
            <w:r/>
            <w:r>
              <w:rPr>
                <w:b w:val="0"/>
                <w:sz w:val="18"/>
              </w:rPr>
              <w:t>23</w:t>
            </w:r>
          </w:p>
        </w:tc>
        <w:tc>
          <w:tcPr>
            <w:tcW w:type="dxa" w:w="6236"/>
          </w:tcPr>
          <w:p>
            <w:pPr>
              <w:spacing w:after="40"/>
            </w:pPr>
            <w:r/>
            <w:r>
              <w:rPr>
                <w:b w:val="0"/>
                <w:sz w:val="18"/>
              </w:rPr>
              <w:t>Pumping and lifting stations, force mains, surge</w:t>
            </w:r>
          </w:p>
        </w:tc>
        <w:tc>
          <w:tcPr>
            <w:tcW w:type="dxa" w:w="2211"/>
          </w:tcPr>
          <w:p>
            <w:pPr>
              <w:spacing w:after="40"/>
            </w:pPr>
            <w:r/>
            <w:r>
              <w:rPr>
                <w:b w:val="0"/>
                <w:sz w:val="18"/>
              </w:rPr>
              <w:t>11, 12</w:t>
            </w:r>
          </w:p>
        </w:tc>
      </w:tr>
      <w:tr>
        <w:trPr>
          <w:cantSplit/>
        </w:trPr>
        <w:tc>
          <w:tcPr>
            <w:tcW w:type="dxa" w:w="907"/>
          </w:tcPr>
          <w:p>
            <w:pPr>
              <w:spacing w:after="40"/>
            </w:pPr>
            <w:r/>
            <w:r>
              <w:rPr>
                <w:b w:val="0"/>
                <w:sz w:val="18"/>
              </w:rPr>
              <w:t>24</w:t>
            </w:r>
          </w:p>
        </w:tc>
        <w:tc>
          <w:tcPr>
            <w:tcW w:type="dxa" w:w="6236"/>
          </w:tcPr>
          <w:p>
            <w:pPr>
              <w:spacing w:after="40"/>
            </w:pPr>
            <w:r/>
            <w:r>
              <w:rPr>
                <w:b w:val="0"/>
                <w:sz w:val="18"/>
              </w:rPr>
              <w:t>Treated effluent network options</w:t>
            </w:r>
          </w:p>
        </w:tc>
        <w:tc>
          <w:tcPr>
            <w:tcW w:type="dxa" w:w="2211"/>
          </w:tcPr>
          <w:p>
            <w:pPr>
              <w:spacing w:after="40"/>
            </w:pPr>
            <w:r/>
            <w:r>
              <w:rPr>
                <w:b w:val="0"/>
                <w:sz w:val="18"/>
              </w:rPr>
              <w:t>17</w:t>
            </w:r>
          </w:p>
        </w:tc>
      </w:tr>
      <w:tr>
        <w:trPr>
          <w:cantSplit/>
        </w:trPr>
        <w:tc>
          <w:tcPr>
            <w:tcW w:type="dxa" w:w="907"/>
          </w:tcPr>
          <w:p>
            <w:pPr>
              <w:spacing w:after="40"/>
            </w:pPr>
            <w:r/>
            <w:r>
              <w:rPr>
                <w:b w:val="0"/>
                <w:sz w:val="18"/>
              </w:rPr>
              <w:t>25</w:t>
            </w:r>
          </w:p>
        </w:tc>
        <w:tc>
          <w:tcPr>
            <w:tcW w:type="dxa" w:w="6236"/>
          </w:tcPr>
          <w:p>
            <w:pPr>
              <w:spacing w:after="40"/>
            </w:pPr>
            <w:r/>
            <w:r>
              <w:rPr>
                <w:b w:val="0"/>
                <w:sz w:val="18"/>
              </w:rPr>
              <w:t>STP options — technology, siting, phasing</w:t>
            </w:r>
          </w:p>
        </w:tc>
        <w:tc>
          <w:tcPr>
            <w:tcW w:type="dxa" w:w="2211"/>
          </w:tcPr>
          <w:p>
            <w:pPr>
              <w:spacing w:after="40"/>
            </w:pPr>
            <w:r/>
            <w:r>
              <w:rPr>
                <w:b w:val="0"/>
                <w:sz w:val="18"/>
              </w:rPr>
              <w:t>16</w:t>
            </w:r>
          </w:p>
        </w:tc>
      </w:tr>
      <w:tr>
        <w:trPr>
          <w:cantSplit/>
        </w:trPr>
        <w:tc>
          <w:tcPr>
            <w:tcW w:type="dxa" w:w="907"/>
          </w:tcPr>
          <w:p>
            <w:pPr>
              <w:spacing w:after="40"/>
            </w:pPr>
            <w:r/>
            <w:r>
              <w:rPr>
                <w:b w:val="0"/>
                <w:sz w:val="18"/>
              </w:rPr>
              <w:t>26</w:t>
            </w:r>
          </w:p>
        </w:tc>
        <w:tc>
          <w:tcPr>
            <w:tcW w:type="dxa" w:w="6236"/>
          </w:tcPr>
          <w:p>
            <w:pPr>
              <w:spacing w:after="40"/>
            </w:pPr>
            <w:r/>
            <w:r>
              <w:rPr>
                <w:b w:val="0"/>
                <w:sz w:val="18"/>
              </w:rPr>
              <w:t>Excess effluent, emergency provisions, tankers</w:t>
            </w:r>
          </w:p>
        </w:tc>
        <w:tc>
          <w:tcPr>
            <w:tcW w:type="dxa" w:w="2211"/>
          </w:tcPr>
          <w:p>
            <w:pPr>
              <w:spacing w:after="40"/>
            </w:pPr>
            <w:r/>
            <w:r>
              <w:rPr>
                <w:b w:val="0"/>
                <w:sz w:val="18"/>
              </w:rPr>
              <w:t>16.8</w:t>
            </w:r>
          </w:p>
        </w:tc>
      </w:tr>
      <w:tr>
        <w:trPr>
          <w:cantSplit/>
        </w:trPr>
        <w:tc>
          <w:tcPr>
            <w:tcW w:type="dxa" w:w="907"/>
          </w:tcPr>
          <w:p>
            <w:pPr>
              <w:spacing w:after="40"/>
            </w:pPr>
            <w:r/>
            <w:r>
              <w:rPr>
                <w:b w:val="0"/>
                <w:sz w:val="18"/>
              </w:rPr>
              <w:t>27</w:t>
            </w:r>
          </w:p>
        </w:tc>
        <w:tc>
          <w:tcPr>
            <w:tcW w:type="dxa" w:w="6236"/>
          </w:tcPr>
          <w:p>
            <w:pPr>
              <w:spacing w:after="40"/>
            </w:pPr>
            <w:r/>
            <w:r>
              <w:rPr>
                <w:b w:val="0"/>
                <w:sz w:val="18"/>
              </w:rPr>
              <w:t>Sludge management strategy</w:t>
            </w:r>
          </w:p>
        </w:tc>
        <w:tc>
          <w:tcPr>
            <w:tcW w:type="dxa" w:w="2211"/>
          </w:tcPr>
          <w:p>
            <w:pPr>
              <w:spacing w:after="40"/>
            </w:pPr>
            <w:r/>
            <w:r>
              <w:rPr>
                <w:b w:val="0"/>
                <w:sz w:val="18"/>
              </w:rPr>
              <w:t>18</w:t>
            </w:r>
          </w:p>
        </w:tc>
      </w:tr>
      <w:tr>
        <w:trPr>
          <w:cantSplit/>
        </w:trPr>
        <w:tc>
          <w:tcPr>
            <w:tcW w:type="dxa" w:w="907"/>
          </w:tcPr>
          <w:p>
            <w:pPr>
              <w:spacing w:after="40"/>
            </w:pPr>
            <w:r/>
            <w:r>
              <w:rPr>
                <w:b/>
                <w:sz w:val="18"/>
              </w:rPr>
              <w:t>Part G</w:t>
            </w:r>
          </w:p>
        </w:tc>
        <w:tc>
          <w:tcPr>
            <w:tcW w:type="dxa" w:w="6236"/>
          </w:tcPr>
          <w:p>
            <w:pPr>
              <w:spacing w:after="40"/>
            </w:pPr>
            <w:r/>
            <w:r>
              <w:rPr>
                <w:b/>
                <w:sz w:val="18"/>
              </w:rPr>
              <w:t>Assessment and appraisal</w:t>
            </w:r>
          </w:p>
        </w:tc>
        <w:tc>
          <w:tcPr>
            <w:tcW w:type="dxa" w:w="2211"/>
          </w:tcPr>
          <w:p>
            <w:pPr>
              <w:spacing w:after="40"/>
            </w:pPr>
            <w:r/>
          </w:p>
        </w:tc>
      </w:tr>
      <w:tr>
        <w:trPr>
          <w:cantSplit/>
        </w:trPr>
        <w:tc>
          <w:tcPr>
            <w:tcW w:type="dxa" w:w="907"/>
          </w:tcPr>
          <w:p>
            <w:pPr>
              <w:spacing w:after="40"/>
            </w:pPr>
            <w:r/>
            <w:r>
              <w:rPr>
                <w:b w:val="0"/>
                <w:sz w:val="18"/>
              </w:rPr>
              <w:t>28</w:t>
            </w:r>
          </w:p>
        </w:tc>
        <w:tc>
          <w:tcPr>
            <w:tcW w:type="dxa" w:w="6236"/>
          </w:tcPr>
          <w:p>
            <w:pPr>
              <w:spacing w:after="40"/>
            </w:pPr>
            <w:r/>
            <w:r>
              <w:rPr>
                <w:b w:val="0"/>
                <w:sz w:val="18"/>
              </w:rPr>
              <w:t>Ground model and geotechnical report</w:t>
            </w:r>
          </w:p>
        </w:tc>
        <w:tc>
          <w:tcPr>
            <w:tcW w:type="dxa" w:w="2211"/>
          </w:tcPr>
          <w:p>
            <w:pPr>
              <w:spacing w:after="40"/>
            </w:pPr>
            <w:r/>
            <w:r>
              <w:rPr>
                <w:b w:val="0"/>
                <w:sz w:val="18"/>
              </w:rPr>
              <w:t>13</w:t>
            </w:r>
          </w:p>
        </w:tc>
      </w:tr>
      <w:tr>
        <w:trPr>
          <w:cantSplit/>
        </w:trPr>
        <w:tc>
          <w:tcPr>
            <w:tcW w:type="dxa" w:w="907"/>
          </w:tcPr>
          <w:p>
            <w:pPr>
              <w:spacing w:after="40"/>
            </w:pPr>
            <w:r/>
            <w:r>
              <w:rPr>
                <w:b w:val="0"/>
                <w:sz w:val="18"/>
              </w:rPr>
              <w:t>29</w:t>
            </w:r>
          </w:p>
        </w:tc>
        <w:tc>
          <w:tcPr>
            <w:tcW w:type="dxa" w:w="6236"/>
          </w:tcPr>
          <w:p>
            <w:pPr>
              <w:spacing w:after="40"/>
            </w:pPr>
            <w:r/>
            <w:r>
              <w:rPr>
                <w:b w:val="0"/>
                <w:sz w:val="18"/>
              </w:rPr>
              <w:t>Flood protection assessment</w:t>
            </w:r>
          </w:p>
        </w:tc>
        <w:tc>
          <w:tcPr>
            <w:tcW w:type="dxa" w:w="2211"/>
          </w:tcPr>
          <w:p>
            <w:pPr>
              <w:spacing w:after="40"/>
            </w:pPr>
            <w:r/>
            <w:r>
              <w:rPr>
                <w:b w:val="0"/>
                <w:sz w:val="18"/>
              </w:rPr>
              <w:t>16.9</w:t>
            </w:r>
          </w:p>
        </w:tc>
      </w:tr>
      <w:tr>
        <w:trPr>
          <w:cantSplit/>
        </w:trPr>
        <w:tc>
          <w:tcPr>
            <w:tcW w:type="dxa" w:w="907"/>
          </w:tcPr>
          <w:p>
            <w:pPr>
              <w:spacing w:after="40"/>
            </w:pPr>
            <w:r/>
            <w:r>
              <w:rPr>
                <w:b w:val="0"/>
                <w:sz w:val="18"/>
              </w:rPr>
              <w:t>30</w:t>
            </w:r>
          </w:p>
        </w:tc>
        <w:tc>
          <w:tcPr>
            <w:tcW w:type="dxa" w:w="6236"/>
          </w:tcPr>
          <w:p>
            <w:pPr>
              <w:spacing w:after="40"/>
            </w:pPr>
            <w:r/>
            <w:r>
              <w:rPr>
                <w:b w:val="0"/>
                <w:sz w:val="18"/>
              </w:rPr>
              <w:t>Odour assessment and buffer derivation</w:t>
            </w:r>
          </w:p>
        </w:tc>
        <w:tc>
          <w:tcPr>
            <w:tcW w:type="dxa" w:w="2211"/>
          </w:tcPr>
          <w:p>
            <w:pPr>
              <w:spacing w:after="40"/>
            </w:pPr>
            <w:r/>
            <w:r>
              <w:rPr>
                <w:b w:val="0"/>
                <w:sz w:val="18"/>
              </w:rPr>
              <w:t>12, 16.9</w:t>
            </w:r>
          </w:p>
        </w:tc>
      </w:tr>
      <w:tr>
        <w:trPr>
          <w:cantSplit/>
        </w:trPr>
        <w:tc>
          <w:tcPr>
            <w:tcW w:type="dxa" w:w="907"/>
          </w:tcPr>
          <w:p>
            <w:pPr>
              <w:spacing w:after="40"/>
            </w:pPr>
            <w:r/>
            <w:r>
              <w:rPr>
                <w:b w:val="0"/>
                <w:sz w:val="18"/>
              </w:rPr>
              <w:t>31</w:t>
            </w:r>
          </w:p>
        </w:tc>
        <w:tc>
          <w:tcPr>
            <w:tcW w:type="dxa" w:w="6236"/>
          </w:tcPr>
          <w:p>
            <w:pPr>
              <w:spacing w:after="40"/>
            </w:pPr>
            <w:r/>
            <w:r>
              <w:rPr>
                <w:b w:val="0"/>
                <w:sz w:val="18"/>
              </w:rPr>
              <w:t>Climate resilience</w:t>
            </w:r>
          </w:p>
        </w:tc>
        <w:tc>
          <w:tcPr>
            <w:tcW w:type="dxa" w:w="2211"/>
          </w:tcPr>
          <w:p>
            <w:pPr>
              <w:spacing w:after="40"/>
            </w:pPr>
            <w:r/>
            <w:r>
              <w:rPr>
                <w:b w:val="0"/>
                <w:sz w:val="18"/>
              </w:rPr>
              <w:t>—</w:t>
            </w:r>
          </w:p>
        </w:tc>
      </w:tr>
      <w:tr>
        <w:trPr>
          <w:cantSplit/>
        </w:trPr>
        <w:tc>
          <w:tcPr>
            <w:tcW w:type="dxa" w:w="907"/>
          </w:tcPr>
          <w:p>
            <w:pPr>
              <w:spacing w:after="40"/>
            </w:pPr>
            <w:r/>
            <w:r>
              <w:rPr>
                <w:b w:val="0"/>
                <w:sz w:val="18"/>
              </w:rPr>
              <w:t>32</w:t>
            </w:r>
          </w:p>
        </w:tc>
        <w:tc>
          <w:tcPr>
            <w:tcW w:type="dxa" w:w="6236"/>
          </w:tcPr>
          <w:p>
            <w:pPr>
              <w:spacing w:after="40"/>
            </w:pPr>
            <w:r/>
            <w:r>
              <w:rPr>
                <w:b w:val="0"/>
                <w:sz w:val="18"/>
              </w:rPr>
              <w:t>Environmental and social assessment, EIA scoping</w:t>
            </w:r>
          </w:p>
        </w:tc>
        <w:tc>
          <w:tcPr>
            <w:tcW w:type="dxa" w:w="2211"/>
          </w:tcPr>
          <w:p>
            <w:pPr>
              <w:spacing w:after="40"/>
            </w:pPr>
            <w:r/>
            <w:r>
              <w:rPr>
                <w:b w:val="0"/>
                <w:sz w:val="18"/>
              </w:rPr>
              <w:t>—</w:t>
            </w:r>
          </w:p>
        </w:tc>
      </w:tr>
      <w:tr>
        <w:trPr>
          <w:cantSplit/>
        </w:trPr>
        <w:tc>
          <w:tcPr>
            <w:tcW w:type="dxa" w:w="907"/>
          </w:tcPr>
          <w:p>
            <w:pPr>
              <w:spacing w:after="40"/>
            </w:pPr>
            <w:r/>
            <w:r>
              <w:rPr>
                <w:b w:val="0"/>
                <w:sz w:val="18"/>
              </w:rPr>
              <w:t>33</w:t>
            </w:r>
          </w:p>
        </w:tc>
        <w:tc>
          <w:tcPr>
            <w:tcW w:type="dxa" w:w="6236"/>
          </w:tcPr>
          <w:p>
            <w:pPr>
              <w:spacing w:after="40"/>
            </w:pPr>
            <w:r/>
            <w:r>
              <w:rPr>
                <w:b w:val="0"/>
                <w:sz w:val="18"/>
              </w:rPr>
              <w:t>Utility interfaces and the NOC register</w:t>
            </w:r>
          </w:p>
        </w:tc>
        <w:tc>
          <w:tcPr>
            <w:tcW w:type="dxa" w:w="2211"/>
          </w:tcPr>
          <w:p>
            <w:pPr>
              <w:spacing w:after="40"/>
            </w:pPr>
            <w:r/>
            <w:r>
              <w:rPr>
                <w:b w:val="0"/>
                <w:sz w:val="18"/>
              </w:rPr>
              <w:t>13</w:t>
            </w:r>
          </w:p>
        </w:tc>
      </w:tr>
      <w:tr>
        <w:trPr>
          <w:cantSplit/>
        </w:trPr>
        <w:tc>
          <w:tcPr>
            <w:tcW w:type="dxa" w:w="907"/>
          </w:tcPr>
          <w:p>
            <w:pPr>
              <w:spacing w:after="40"/>
            </w:pPr>
            <w:r/>
            <w:r>
              <w:rPr>
                <w:b w:val="0"/>
                <w:sz w:val="18"/>
              </w:rPr>
              <w:t>34</w:t>
            </w:r>
          </w:p>
        </w:tc>
        <w:tc>
          <w:tcPr>
            <w:tcW w:type="dxa" w:w="6236"/>
          </w:tcPr>
          <w:p>
            <w:pPr>
              <w:spacing w:after="40"/>
            </w:pPr>
            <w:r/>
            <w:r>
              <w:rPr>
                <w:b w:val="0"/>
                <w:sz w:val="18"/>
              </w:rPr>
              <w:t>Sustainability — carbon, circular economy, ICV</w:t>
            </w:r>
          </w:p>
        </w:tc>
        <w:tc>
          <w:tcPr>
            <w:tcW w:type="dxa" w:w="2211"/>
          </w:tcPr>
          <w:p>
            <w:pPr>
              <w:spacing w:after="40"/>
            </w:pPr>
            <w:r/>
            <w:r>
              <w:rPr>
                <w:b w:val="0"/>
                <w:sz w:val="18"/>
              </w:rPr>
              <w:t>20.5</w:t>
            </w:r>
          </w:p>
        </w:tc>
      </w:tr>
      <w:tr>
        <w:trPr>
          <w:cantSplit/>
        </w:trPr>
        <w:tc>
          <w:tcPr>
            <w:tcW w:type="dxa" w:w="907"/>
          </w:tcPr>
          <w:p>
            <w:pPr>
              <w:spacing w:after="40"/>
            </w:pPr>
            <w:r/>
            <w:r>
              <w:rPr>
                <w:b w:val="0"/>
                <w:sz w:val="18"/>
              </w:rPr>
              <w:t>35</w:t>
            </w:r>
          </w:p>
        </w:tc>
        <w:tc>
          <w:tcPr>
            <w:tcW w:type="dxa" w:w="6236"/>
          </w:tcPr>
          <w:p>
            <w:pPr>
              <w:spacing w:after="40"/>
            </w:pPr>
            <w:r/>
            <w:r>
              <w:rPr>
                <w:b w:val="0"/>
                <w:sz w:val="18"/>
              </w:rPr>
              <w:t>Cost — CAPEX, OPEX, life cycle cost</w:t>
            </w:r>
          </w:p>
        </w:tc>
        <w:tc>
          <w:tcPr>
            <w:tcW w:type="dxa" w:w="2211"/>
          </w:tcPr>
          <w:p>
            <w:pPr>
              <w:spacing w:after="40"/>
            </w:pPr>
            <w:r/>
            <w:r>
              <w:rPr>
                <w:b w:val="0"/>
                <w:sz w:val="18"/>
              </w:rPr>
              <w:t>19, 20</w:t>
            </w:r>
          </w:p>
        </w:tc>
      </w:tr>
      <w:tr>
        <w:trPr>
          <w:cantSplit/>
        </w:trPr>
        <w:tc>
          <w:tcPr>
            <w:tcW w:type="dxa" w:w="907"/>
          </w:tcPr>
          <w:p>
            <w:pPr>
              <w:spacing w:after="40"/>
            </w:pPr>
            <w:r/>
            <w:r>
              <w:rPr>
                <w:b w:val="0"/>
                <w:sz w:val="18"/>
              </w:rPr>
              <w:t>36</w:t>
            </w:r>
          </w:p>
        </w:tc>
        <w:tc>
          <w:tcPr>
            <w:tcW w:type="dxa" w:w="6236"/>
          </w:tcPr>
          <w:p>
            <w:pPr>
              <w:spacing w:after="40"/>
            </w:pPr>
            <w:r/>
            <w:r>
              <w:rPr>
                <w:b w:val="0"/>
                <w:sz w:val="18"/>
              </w:rPr>
              <w:t>Risk register</w:t>
            </w:r>
          </w:p>
        </w:tc>
        <w:tc>
          <w:tcPr>
            <w:tcW w:type="dxa" w:w="2211"/>
          </w:tcPr>
          <w:p>
            <w:pPr>
              <w:spacing w:after="40"/>
            </w:pPr>
            <w:r/>
            <w:r>
              <w:rPr>
                <w:b w:val="0"/>
                <w:sz w:val="18"/>
              </w:rPr>
              <w:t>20.6</w:t>
            </w:r>
          </w:p>
        </w:tc>
      </w:tr>
      <w:tr>
        <w:trPr>
          <w:cantSplit/>
        </w:trPr>
        <w:tc>
          <w:tcPr>
            <w:tcW w:type="dxa" w:w="907"/>
          </w:tcPr>
          <w:p>
            <w:pPr>
              <w:spacing w:after="40"/>
            </w:pPr>
            <w:r/>
            <w:r>
              <w:rPr>
                <w:b w:val="0"/>
                <w:sz w:val="18"/>
              </w:rPr>
              <w:t>37</w:t>
            </w:r>
          </w:p>
        </w:tc>
        <w:tc>
          <w:tcPr>
            <w:tcW w:type="dxa" w:w="6236"/>
          </w:tcPr>
          <w:p>
            <w:pPr>
              <w:spacing w:after="40"/>
            </w:pPr>
            <w:r/>
            <w:r>
              <w:rPr>
                <w:b w:val="0"/>
                <w:sz w:val="18"/>
              </w:rPr>
              <w:t>Value engineering study</w:t>
            </w:r>
          </w:p>
        </w:tc>
        <w:tc>
          <w:tcPr>
            <w:tcW w:type="dxa" w:w="2211"/>
          </w:tcPr>
          <w:p>
            <w:pPr>
              <w:spacing w:after="40"/>
            </w:pPr>
            <w:r/>
            <w:r>
              <w:rPr>
                <w:b w:val="0"/>
                <w:sz w:val="18"/>
              </w:rPr>
              <w:t>21.5</w:t>
            </w:r>
          </w:p>
        </w:tc>
      </w:tr>
      <w:tr>
        <w:trPr>
          <w:cantSplit/>
        </w:trPr>
        <w:tc>
          <w:tcPr>
            <w:tcW w:type="dxa" w:w="907"/>
          </w:tcPr>
          <w:p>
            <w:pPr>
              <w:spacing w:after="40"/>
            </w:pPr>
            <w:r/>
            <w:r>
              <w:rPr>
                <w:b w:val="0"/>
                <w:sz w:val="18"/>
              </w:rPr>
              <w:t>38</w:t>
            </w:r>
          </w:p>
        </w:tc>
        <w:tc>
          <w:tcPr>
            <w:tcW w:type="dxa" w:w="6236"/>
          </w:tcPr>
          <w:p>
            <w:pPr>
              <w:spacing w:after="40"/>
            </w:pPr>
            <w:r/>
            <w:r>
              <w:rPr>
                <w:b w:val="0"/>
                <w:sz w:val="18"/>
              </w:rPr>
              <w:t>Multi-criteria results and recommendation</w:t>
            </w:r>
          </w:p>
        </w:tc>
        <w:tc>
          <w:tcPr>
            <w:tcW w:type="dxa" w:w="2211"/>
          </w:tcPr>
          <w:p>
            <w:pPr>
              <w:spacing w:after="40"/>
            </w:pPr>
            <w:r/>
            <w:r>
              <w:rPr>
                <w:b w:val="0"/>
                <w:sz w:val="18"/>
              </w:rPr>
              <w:t>21.4</w:t>
            </w:r>
          </w:p>
        </w:tc>
      </w:tr>
      <w:tr>
        <w:trPr>
          <w:cantSplit/>
        </w:trPr>
        <w:tc>
          <w:tcPr>
            <w:tcW w:type="dxa" w:w="907"/>
          </w:tcPr>
          <w:p>
            <w:pPr>
              <w:spacing w:after="40"/>
            </w:pPr>
            <w:r/>
            <w:r>
              <w:rPr>
                <w:b/>
                <w:sz w:val="18"/>
              </w:rPr>
              <w:t>Part H</w:t>
            </w:r>
          </w:p>
        </w:tc>
        <w:tc>
          <w:tcPr>
            <w:tcW w:type="dxa" w:w="6236"/>
          </w:tcPr>
          <w:p>
            <w:pPr>
              <w:spacing w:after="40"/>
            </w:pPr>
            <w:r/>
            <w:r>
              <w:rPr>
                <w:b/>
                <w:sz w:val="18"/>
              </w:rPr>
              <w:t>Delivery</w:t>
            </w:r>
          </w:p>
        </w:tc>
        <w:tc>
          <w:tcPr>
            <w:tcW w:type="dxa" w:w="2211"/>
          </w:tcPr>
          <w:p>
            <w:pPr>
              <w:spacing w:after="40"/>
            </w:pPr>
            <w:r/>
          </w:p>
        </w:tc>
      </w:tr>
      <w:tr>
        <w:trPr>
          <w:cantSplit/>
        </w:trPr>
        <w:tc>
          <w:tcPr>
            <w:tcW w:type="dxa" w:w="907"/>
          </w:tcPr>
          <w:p>
            <w:pPr>
              <w:spacing w:after="40"/>
            </w:pPr>
            <w:r/>
            <w:r>
              <w:rPr>
                <w:b w:val="0"/>
                <w:sz w:val="18"/>
              </w:rPr>
              <w:t>39</w:t>
            </w:r>
          </w:p>
        </w:tc>
        <w:tc>
          <w:tcPr>
            <w:tcW w:type="dxa" w:w="6236"/>
          </w:tcPr>
          <w:p>
            <w:pPr>
              <w:spacing w:after="40"/>
            </w:pPr>
            <w:r/>
            <w:r>
              <w:rPr>
                <w:b w:val="0"/>
                <w:sz w:val="18"/>
              </w:rPr>
              <w:t>Implementation roadmap</w:t>
            </w:r>
          </w:p>
        </w:tc>
        <w:tc>
          <w:tcPr>
            <w:tcW w:type="dxa" w:w="2211"/>
          </w:tcPr>
          <w:p>
            <w:pPr>
              <w:spacing w:after="40"/>
            </w:pPr>
            <w:r/>
            <w:r>
              <w:rPr>
                <w:b w:val="0"/>
                <w:sz w:val="18"/>
              </w:rPr>
              <w:t>—</w:t>
            </w:r>
          </w:p>
        </w:tc>
      </w:tr>
      <w:tr>
        <w:trPr>
          <w:cantSplit/>
        </w:trPr>
        <w:tc>
          <w:tcPr>
            <w:tcW w:type="dxa" w:w="907"/>
          </w:tcPr>
          <w:p>
            <w:pPr>
              <w:spacing w:after="40"/>
            </w:pPr>
            <w:r/>
            <w:r>
              <w:rPr>
                <w:b w:val="0"/>
                <w:sz w:val="18"/>
              </w:rPr>
              <w:t>40</w:t>
            </w:r>
          </w:p>
        </w:tc>
        <w:tc>
          <w:tcPr>
            <w:tcW w:type="dxa" w:w="6236"/>
          </w:tcPr>
          <w:p>
            <w:pPr>
              <w:spacing w:after="40"/>
            </w:pPr>
            <w:r/>
            <w:r>
              <w:rPr>
                <w:b w:val="0"/>
                <w:sz w:val="18"/>
              </w:rPr>
              <w:t>Contracting strategy and packaging</w:t>
            </w:r>
          </w:p>
        </w:tc>
        <w:tc>
          <w:tcPr>
            <w:tcW w:type="dxa" w:w="2211"/>
          </w:tcPr>
          <w:p>
            <w:pPr>
              <w:spacing w:after="40"/>
            </w:pPr>
            <w:r/>
            <w:r>
              <w:rPr>
                <w:b w:val="0"/>
                <w:sz w:val="18"/>
              </w:rPr>
              <w:t>—</w:t>
            </w:r>
          </w:p>
        </w:tc>
      </w:tr>
      <w:tr>
        <w:trPr>
          <w:cantSplit/>
        </w:trPr>
        <w:tc>
          <w:tcPr>
            <w:tcW w:type="dxa" w:w="907"/>
          </w:tcPr>
          <w:p>
            <w:pPr>
              <w:spacing w:after="40"/>
            </w:pPr>
            <w:r/>
            <w:r>
              <w:rPr>
                <w:b w:val="0"/>
                <w:sz w:val="18"/>
              </w:rPr>
              <w:t>41</w:t>
            </w:r>
          </w:p>
        </w:tc>
        <w:tc>
          <w:tcPr>
            <w:tcW w:type="dxa" w:w="6236"/>
          </w:tcPr>
          <w:p>
            <w:pPr>
              <w:spacing w:after="40"/>
            </w:pPr>
            <w:r/>
            <w:r>
              <w:rPr>
                <w:b w:val="0"/>
                <w:sz w:val="18"/>
              </w:rPr>
              <w:t>Project Integration Plan</w:t>
            </w:r>
          </w:p>
        </w:tc>
        <w:tc>
          <w:tcPr>
            <w:tcW w:type="dxa" w:w="2211"/>
          </w:tcPr>
          <w:p>
            <w:pPr>
              <w:spacing w:after="40"/>
            </w:pPr>
            <w:r/>
            <w:r>
              <w:rPr>
                <w:b w:val="0"/>
                <w:sz w:val="18"/>
              </w:rPr>
              <w:t>—</w:t>
            </w:r>
          </w:p>
        </w:tc>
      </w:tr>
      <w:tr>
        <w:trPr>
          <w:cantSplit/>
        </w:trPr>
        <w:tc>
          <w:tcPr>
            <w:tcW w:type="dxa" w:w="907"/>
          </w:tcPr>
          <w:p>
            <w:pPr>
              <w:spacing w:after="40"/>
            </w:pPr>
            <w:r/>
            <w:r>
              <w:rPr>
                <w:b w:val="0"/>
                <w:sz w:val="18"/>
              </w:rPr>
              <w:t>42</w:t>
            </w:r>
          </w:p>
        </w:tc>
        <w:tc>
          <w:tcPr>
            <w:tcW w:type="dxa" w:w="6236"/>
          </w:tcPr>
          <w:p>
            <w:pPr>
              <w:spacing w:after="40"/>
            </w:pPr>
            <w:r/>
            <w:r>
              <w:rPr>
                <w:b w:val="0"/>
                <w:sz w:val="18"/>
              </w:rPr>
              <w:t>Conclusions and recommendations</w:t>
            </w:r>
          </w:p>
        </w:tc>
        <w:tc>
          <w:tcPr>
            <w:tcW w:type="dxa" w:w="2211"/>
          </w:tcPr>
          <w:p>
            <w:pPr>
              <w:spacing w:after="40"/>
            </w:pPr>
            <w:r/>
          </w:p>
        </w:tc>
      </w:tr>
      <w:tr>
        <w:trPr>
          <w:cantSplit/>
        </w:trPr>
        <w:tc>
          <w:tcPr>
            <w:tcW w:type="dxa" w:w="907"/>
          </w:tcPr>
          <w:p>
            <w:pPr>
              <w:spacing w:after="40"/>
            </w:pPr>
            <w:r/>
            <w:r>
              <w:rPr>
                <w:b w:val="0"/>
                <w:sz w:val="18"/>
              </w:rPr>
              <w:t>43</w:t>
            </w:r>
          </w:p>
        </w:tc>
        <w:tc>
          <w:tcPr>
            <w:tcW w:type="dxa" w:w="6236"/>
          </w:tcPr>
          <w:p>
            <w:pPr>
              <w:spacing w:after="40"/>
            </w:pPr>
            <w:r/>
            <w:r>
              <w:rPr>
                <w:b w:val="0"/>
                <w:sz w:val="18"/>
              </w:rPr>
              <w:t>Appendices</w:t>
            </w:r>
          </w:p>
        </w:tc>
        <w:tc>
          <w:tcPr>
            <w:tcW w:type="dxa" w:w="2211"/>
          </w:tcPr>
          <w:p>
            <w:pPr>
              <w:spacing w:after="40"/>
            </w:pPr>
            <w:r/>
          </w:p>
        </w:tc>
      </w:tr>
    </w:tbl>
    <w:p>
      <w:r>
        <w:br w:type="page"/>
      </w:r>
    </w:p>
    <w:p>
      <w:pPr>
        <w:pStyle w:val="Heading1"/>
      </w:pPr>
      <w:r>
        <w:t>4   Sections without a documented method</w:t>
      </w:r>
    </w:p>
    <w:p>
      <w:r>
        <w:rPr>
          <w:b w:val="0"/>
          <w:i w:val="0"/>
        </w:rPr>
        <w:t>Six sections of the report have no corresponding method in the current revision of the methodology document. They are listed here so that the gap is visible rather than discovered during drafting.</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3402"/>
            <w:shd w:val="clear" w:color="auto" w:fill="1F3B63"/>
          </w:tcPr>
          <w:p>
            <w:pPr>
              <w:spacing w:after="40"/>
            </w:pPr>
            <w:r/>
            <w:r>
              <w:rPr>
                <w:b/>
                <w:color w:val="FFFFFF"/>
                <w:sz w:val="19"/>
              </w:rPr>
              <w:t>Section</w:t>
            </w:r>
          </w:p>
        </w:tc>
        <w:tc>
          <w:tcPr>
            <w:tcW w:type="dxa" w:w="5953"/>
            <w:shd w:val="clear" w:color="auto" w:fill="1F3B63"/>
          </w:tcPr>
          <w:p>
            <w:pPr>
              <w:spacing w:after="40"/>
            </w:pPr>
            <w:r/>
            <w:r>
              <w:rPr>
                <w:b/>
                <w:color w:val="FFFFFF"/>
                <w:sz w:val="19"/>
              </w:rPr>
              <w:t>Why it is outstanding</w:t>
            </w:r>
          </w:p>
        </w:tc>
      </w:tr>
      <w:tr>
        <w:trPr>
          <w:cantSplit/>
        </w:trPr>
        <w:tc>
          <w:tcPr>
            <w:tcW w:type="dxa" w:w="3402"/>
          </w:tcPr>
          <w:p>
            <w:pPr>
              <w:spacing w:after="40"/>
            </w:pPr>
            <w:r/>
            <w:r>
              <w:rPr>
                <w:b w:val="0"/>
                <w:sz w:val="19"/>
              </w:rPr>
              <w:t>11  Level of service, resilience and contingency</w:t>
            </w:r>
          </w:p>
        </w:tc>
        <w:tc>
          <w:tcPr>
            <w:tcW w:type="dxa" w:w="5953"/>
          </w:tcPr>
          <w:p>
            <w:pPr>
              <w:spacing w:after="40"/>
            </w:pPr>
            <w:r/>
            <w:r>
              <w:rPr>
                <w:b w:val="0"/>
                <w:sz w:val="19"/>
              </w:rPr>
              <w:t>Requires the failure-mode analysis and criticality framework to be established with NWS</w:t>
            </w:r>
          </w:p>
        </w:tc>
      </w:tr>
      <w:tr>
        <w:trPr>
          <w:cantSplit/>
        </w:trPr>
        <w:tc>
          <w:tcPr>
            <w:tcW w:type="dxa" w:w="3402"/>
          </w:tcPr>
          <w:p>
            <w:pPr>
              <w:spacing w:after="40"/>
            </w:pPr>
            <w:r/>
            <w:r>
              <w:rPr>
                <w:b w:val="0"/>
                <w:sz w:val="19"/>
              </w:rPr>
              <w:t>31  Climate resilience</w:t>
            </w:r>
          </w:p>
        </w:tc>
        <w:tc>
          <w:tcPr>
            <w:tcW w:type="dxa" w:w="5953"/>
          </w:tcPr>
          <w:p>
            <w:pPr>
              <w:spacing w:after="40"/>
            </w:pPr>
            <w:r/>
            <w:r>
              <w:rPr>
                <w:b w:val="0"/>
                <w:sz w:val="19"/>
              </w:rPr>
              <w:t>The guideline sets a 50-year horizon at +2 °C and +4 °C; the method for applying it to site selection is not yet written</w:t>
            </w:r>
          </w:p>
        </w:tc>
      </w:tr>
      <w:tr>
        <w:trPr>
          <w:cantSplit/>
        </w:trPr>
        <w:tc>
          <w:tcPr>
            <w:tcW w:type="dxa" w:w="3402"/>
          </w:tcPr>
          <w:p>
            <w:pPr>
              <w:spacing w:after="40"/>
            </w:pPr>
            <w:r/>
            <w:r>
              <w:rPr>
                <w:b w:val="0"/>
                <w:sz w:val="19"/>
              </w:rPr>
              <w:t>32  Environmental and social assessment</w:t>
            </w:r>
          </w:p>
        </w:tc>
        <w:tc>
          <w:tcPr>
            <w:tcW w:type="dxa" w:w="5953"/>
          </w:tcPr>
          <w:p>
            <w:pPr>
              <w:spacing w:after="40"/>
            </w:pPr>
            <w:r/>
            <w:r>
              <w:rPr>
                <w:b w:val="0"/>
                <w:sz w:val="19"/>
              </w:rPr>
              <w:t>Depends on the ruling sought on EIA timing — see Section 5</w:t>
            </w:r>
          </w:p>
        </w:tc>
      </w:tr>
      <w:tr>
        <w:trPr>
          <w:cantSplit/>
        </w:trPr>
        <w:tc>
          <w:tcPr>
            <w:tcW w:type="dxa" w:w="3402"/>
          </w:tcPr>
          <w:p>
            <w:pPr>
              <w:spacing w:after="40"/>
            </w:pPr>
            <w:r/>
            <w:r>
              <w:rPr>
                <w:b w:val="0"/>
                <w:sz w:val="19"/>
              </w:rPr>
              <w:t>39  Implementation roadmap</w:t>
            </w:r>
          </w:p>
        </w:tc>
        <w:tc>
          <w:tcPr>
            <w:tcW w:type="dxa" w:w="5953"/>
          </w:tcPr>
          <w:p>
            <w:pPr>
              <w:spacing w:after="40"/>
            </w:pPr>
            <w:r/>
            <w:r>
              <w:rPr>
                <w:b w:val="0"/>
                <w:sz w:val="19"/>
              </w:rPr>
              <w:t>Follows from the recommended option, so it is written last</w:t>
            </w:r>
          </w:p>
        </w:tc>
      </w:tr>
      <w:tr>
        <w:trPr>
          <w:cantSplit/>
        </w:trPr>
        <w:tc>
          <w:tcPr>
            <w:tcW w:type="dxa" w:w="3402"/>
          </w:tcPr>
          <w:p>
            <w:pPr>
              <w:spacing w:after="40"/>
            </w:pPr>
            <w:r/>
            <w:r>
              <w:rPr>
                <w:b w:val="0"/>
                <w:sz w:val="19"/>
              </w:rPr>
              <w:t>40  Contracting strategy</w:t>
            </w:r>
          </w:p>
        </w:tc>
        <w:tc>
          <w:tcPr>
            <w:tcW w:type="dxa" w:w="5953"/>
          </w:tcPr>
          <w:p>
            <w:pPr>
              <w:spacing w:after="40"/>
            </w:pPr>
            <w:r/>
            <w:r>
              <w:rPr>
                <w:b w:val="0"/>
                <w:sz w:val="19"/>
              </w:rPr>
              <w:t>A separate workshop is required under the Terms of Reference</w:t>
            </w:r>
          </w:p>
        </w:tc>
      </w:tr>
      <w:tr>
        <w:trPr>
          <w:cantSplit/>
        </w:trPr>
        <w:tc>
          <w:tcPr>
            <w:tcW w:type="dxa" w:w="3402"/>
          </w:tcPr>
          <w:p>
            <w:pPr>
              <w:spacing w:after="40"/>
            </w:pPr>
            <w:r/>
            <w:r>
              <w:rPr>
                <w:b w:val="0"/>
                <w:sz w:val="19"/>
              </w:rPr>
              <w:t>41  Project Integration Plan</w:t>
            </w:r>
          </w:p>
        </w:tc>
        <w:tc>
          <w:tcPr>
            <w:tcW w:type="dxa" w:w="5953"/>
          </w:tcPr>
          <w:p>
            <w:pPr>
              <w:spacing w:after="40"/>
            </w:pPr>
            <w:r/>
            <w:r>
              <w:rPr>
                <w:b w:val="0"/>
                <w:sz w:val="19"/>
              </w:rPr>
              <w:t>A named deliverable in PAM-GUD-201 page 107; scope to be agreed</w:t>
            </w:r>
          </w:p>
        </w:tc>
      </w:tr>
    </w:tbl>
    <w:p/>
    <w:p>
      <w:r>
        <w:rPr>
          <w:b w:val="0"/>
          <w:i w:val="0"/>
        </w:rPr>
        <w:t>None of these is a blocker for the structure itself. Each will be added to the methodology document before the corresponding report section is drafted.</w:t>
      </w:r>
    </w:p>
    <w:p>
      <w:pPr>
        <w:pStyle w:val="Heading1"/>
      </w:pPr>
      <w:r>
        <w:t>5   Decisions required from Nama Water Services</w:t>
      </w:r>
    </w:p>
    <w:p>
      <w:r>
        <w:rPr>
          <w:b w:val="0"/>
          <w:i w:val="0"/>
        </w:rPr>
        <w:t>The following items either block the report or would make it wrong if left unresolved. They are set out in full, with the supporting references, in the accompanying register of decisions and clarifications.</w:t>
      </w:r>
    </w:p>
    <w:tbl>
      <w:tblPr>
        <w:tblStyle w:val="TableGrid"/>
        <w:tblW w:type="auto" w:w="0"/>
        <w:jc w:val="center"/>
        <w:tblLook w:firstColumn="1" w:firstRow="1" w:lastColumn="0" w:lastRow="0" w:noHBand="0" w:noVBand="1" w:val="04A0"/>
      </w:tblPr>
      <w:tblGrid>
        <w:gridCol w:w="4706"/>
        <w:gridCol w:w="4706"/>
      </w:tblGrid>
      <w:tr>
        <w:trPr>
          <w:tblHeader/>
          <w:cantSplit/>
        </w:trPr>
        <w:tc>
          <w:tcPr>
            <w:tcW w:type="dxa" w:w="680"/>
            <w:shd w:val="clear" w:color="auto" w:fill="1F3B63"/>
          </w:tcPr>
          <w:p>
            <w:pPr>
              <w:spacing w:after="40"/>
            </w:pPr>
            <w:r/>
            <w:r>
              <w:rPr>
                <w:b/>
                <w:color w:val="FFFFFF"/>
                <w:sz w:val="19"/>
              </w:rPr>
            </w:r>
          </w:p>
        </w:tc>
        <w:tc>
          <w:tcPr>
            <w:tcW w:type="dxa" w:w="8674"/>
            <w:shd w:val="clear" w:color="auto" w:fill="1F3B63"/>
          </w:tcPr>
          <w:p>
            <w:pPr>
              <w:spacing w:after="40"/>
            </w:pPr>
            <w:r/>
            <w:r>
              <w:rPr>
                <w:b/>
                <w:color w:val="FFFFFF"/>
                <w:sz w:val="19"/>
              </w:rPr>
              <w:t>Item</w:t>
            </w:r>
          </w:p>
        </w:tc>
      </w:tr>
      <w:tr>
        <w:trPr>
          <w:cantSplit/>
        </w:trPr>
        <w:tc>
          <w:tcPr>
            <w:tcW w:type="dxa" w:w="680"/>
          </w:tcPr>
          <w:p>
            <w:pPr>
              <w:spacing w:after="40"/>
            </w:pPr>
            <w:r/>
            <w:r>
              <w:rPr>
                <w:b w:val="0"/>
                <w:sz w:val="19"/>
              </w:rPr>
              <w:t>1</w:t>
            </w:r>
          </w:p>
        </w:tc>
        <w:tc>
          <w:tcPr>
            <w:tcW w:type="dxa" w:w="8674"/>
          </w:tcPr>
          <w:p>
            <w:pPr>
              <w:spacing w:after="40"/>
            </w:pPr>
            <w:r/>
            <w:r>
              <w:rPr>
                <w:b w:val="0"/>
                <w:sz w:val="19"/>
              </w:rPr>
              <w:t>The design horizon. The Inception Report states that planning extends to 2100 as instructed by NWS; the Terms of Reference state completion plus 25 years or ultimate saturated flow</w:t>
            </w:r>
          </w:p>
        </w:tc>
      </w:tr>
      <w:tr>
        <w:trPr>
          <w:cantSplit/>
        </w:trPr>
        <w:tc>
          <w:tcPr>
            <w:tcW w:type="dxa" w:w="680"/>
          </w:tcPr>
          <w:p>
            <w:pPr>
              <w:spacing w:after="40"/>
            </w:pPr>
            <w:r/>
            <w:r>
              <w:rPr>
                <w:b w:val="0"/>
                <w:sz w:val="19"/>
              </w:rPr>
              <w:t>2</w:t>
            </w:r>
          </w:p>
        </w:tc>
        <w:tc>
          <w:tcPr>
            <w:tcW w:type="dxa" w:w="8674"/>
          </w:tcPr>
          <w:p>
            <w:pPr>
              <w:spacing w:after="40"/>
            </w:pPr>
            <w:r/>
            <w:r>
              <w:rPr>
                <w:b w:val="0"/>
                <w:sz w:val="19"/>
              </w:rPr>
              <w:t>Which programme governs, given that the kickoff presentation and the Inception Report carry schedules differing by approximately two weeks throughout</w:t>
            </w:r>
          </w:p>
        </w:tc>
      </w:tr>
      <w:tr>
        <w:trPr>
          <w:cantSplit/>
        </w:trPr>
        <w:tc>
          <w:tcPr>
            <w:tcW w:type="dxa" w:w="680"/>
          </w:tcPr>
          <w:p>
            <w:pPr>
              <w:spacing w:after="40"/>
            </w:pPr>
            <w:r/>
            <w:r>
              <w:rPr>
                <w:b w:val="0"/>
                <w:sz w:val="19"/>
              </w:rPr>
              <w:t>3</w:t>
            </w:r>
          </w:p>
        </w:tc>
        <w:tc>
          <w:tcPr>
            <w:tcW w:type="dxa" w:w="8674"/>
          </w:tcPr>
          <w:p>
            <w:pPr>
              <w:spacing w:after="40"/>
            </w:pPr>
            <w:r/>
            <w:r>
              <w:rPr>
                <w:b w:val="0"/>
                <w:sz w:val="19"/>
              </w:rPr>
              <w:t>The approved project boundary, two versions of which were issued in the same package, differing by 18 per cent against a survey scope priced at approximately 450 km²</w:t>
            </w:r>
          </w:p>
        </w:tc>
      </w:tr>
      <w:tr>
        <w:trPr>
          <w:cantSplit/>
        </w:trPr>
        <w:tc>
          <w:tcPr>
            <w:tcW w:type="dxa" w:w="680"/>
          </w:tcPr>
          <w:p>
            <w:pPr>
              <w:spacing w:after="40"/>
            </w:pPr>
            <w:r/>
            <w:r>
              <w:rPr>
                <w:b w:val="0"/>
                <w:sz w:val="19"/>
              </w:rPr>
              <w:t>4</w:t>
            </w:r>
          </w:p>
        </w:tc>
        <w:tc>
          <w:tcPr>
            <w:tcW w:type="dxa" w:w="8674"/>
          </w:tcPr>
          <w:p>
            <w:pPr>
              <w:spacing w:after="40"/>
            </w:pPr>
            <w:r/>
            <w:r>
              <w:rPr>
                <w:b w:val="0"/>
                <w:sz w:val="19"/>
              </w:rPr>
              <w:t>Georeferenced versions of Figures 1, 2 and 3, which define the concept and as-built boundaries and are currently supplied as images without coordinates</w:t>
            </w:r>
          </w:p>
        </w:tc>
      </w:tr>
      <w:tr>
        <w:trPr>
          <w:cantSplit/>
        </w:trPr>
        <w:tc>
          <w:tcPr>
            <w:tcW w:type="dxa" w:w="680"/>
          </w:tcPr>
          <w:p>
            <w:pPr>
              <w:spacing w:after="40"/>
            </w:pPr>
            <w:r/>
            <w:r>
              <w:rPr>
                <w:b w:val="0"/>
                <w:sz w:val="19"/>
              </w:rPr>
              <w:t>5</w:t>
            </w:r>
          </w:p>
        </w:tc>
        <w:tc>
          <w:tcPr>
            <w:tcW w:type="dxa" w:w="8674"/>
          </w:tcPr>
          <w:p>
            <w:pPr>
              <w:spacing w:after="40"/>
            </w:pPr>
            <w:r/>
            <w:r>
              <w:rPr>
                <w:b w:val="0"/>
                <w:sz w:val="19"/>
              </w:rPr>
              <w:t>The modelling software, named as MIKE URBAN in the tender staffing schedule and as SewerGEMS and WaterGEMS in the Scope of Work</w:t>
            </w:r>
          </w:p>
        </w:tc>
      </w:tr>
      <w:tr>
        <w:trPr>
          <w:cantSplit/>
        </w:trPr>
        <w:tc>
          <w:tcPr>
            <w:tcW w:type="dxa" w:w="680"/>
          </w:tcPr>
          <w:p>
            <w:pPr>
              <w:spacing w:after="40"/>
            </w:pPr>
            <w:r/>
            <w:r>
              <w:rPr>
                <w:b w:val="0"/>
                <w:sz w:val="19"/>
              </w:rPr>
              <w:t>6</w:t>
            </w:r>
          </w:p>
        </w:tc>
        <w:tc>
          <w:tcPr>
            <w:tcW w:type="dxa" w:w="8674"/>
          </w:tcPr>
          <w:p>
            <w:pPr>
              <w:spacing w:after="40"/>
            </w:pPr>
            <w:r/>
            <w:r>
              <w:rPr>
                <w:b w:val="0"/>
                <w:sz w:val="19"/>
              </w:rPr>
              <w:t>The timing of the Environmental Impact Assessment, placed at scoping in one clause of PAM-GUD-201 and as a full assessment at concept stage in another</w:t>
            </w:r>
          </w:p>
        </w:tc>
      </w:tr>
    </w:tbl>
    <w:p/>
    <w:p>
      <w:pPr>
        <w:spacing w:before="160" w:after="160"/>
        <w:ind w:left="170"/>
        <w:shd w:val="clear" w:color="auto" w:fill="EAF1F8"/>
        <w:pBdr>
          <w:top w:val="single" w:sz="6" w:space="6" w:color="D9A441"/>
          <w:left w:val="single" w:sz="6" w:space="6" w:color="D9A441"/>
          <w:bottom w:val="single" w:sz="6" w:space="6" w:color="D9A441"/>
          <w:right w:val="single" w:sz="6" w:space="6" w:color="D9A441"/>
        </w:pBdr>
      </w:pPr>
      <w:r>
        <w:rPr>
          <w:b/>
          <w:color w:val="2E629E"/>
          <w:sz w:val="20"/>
        </w:rPr>
        <w:t xml:space="preserve">Sequencing.  </w:t>
      </w:r>
      <w:r>
        <w:rPr>
          <w:sz w:val="20"/>
        </w:rPr>
        <w:t>Items 1 to 4 determine work that would otherwise be done twice. We recommend they are resolved ahead of the remaining concept programme rather than alongside it.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A5A"/>
        <w:sz w:val="16"/>
      </w:rPr>
      <w:t xml:space="preserve">Concept Design Report — Proposed Structure  ·  Project 2621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Calibri" w:hAnsi="Calibr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2E629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E62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