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40"/>
      </w:pPr>
      <w:r>
        <w:rPr>
          <w:b/>
          <w:i w:val="0"/>
          <w:color w:val="2E629E"/>
          <w:sz w:val="22"/>
        </w:rPr>
        <w:t>2621 IBRI SEWERAGE, TREATED EFFLUENT AND STP</w:t>
      </w:r>
    </w:p>
    <w:p>
      <w:pPr>
        <w:spacing w:after="80"/>
      </w:pPr>
      <w:r>
        <w:rPr>
          <w:b/>
          <w:i w:val="0"/>
          <w:color w:val="1F3B63"/>
          <w:sz w:val="52"/>
        </w:rPr>
        <w:t>Design Review and Recommendations</w:t>
      </w:r>
    </w:p>
    <w:p>
      <w:pPr>
        <w:spacing w:after="360"/>
      </w:pPr>
      <w:r>
        <w:rPr>
          <w:b w:val="0"/>
          <w:i w:val="0"/>
          <w:color w:val="5A5A5A"/>
          <w:sz w:val="26"/>
        </w:rPr>
        <w:t>W11a - the redesign of the whole network</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F3B63"/>
          </w:tcPr>
          <w:p>
            <w:pPr>
              <w:spacing w:after="40"/>
            </w:pPr>
            <w:r/>
            <w:r>
              <w:rPr>
                <w:b/>
                <w:color w:val="FFFFFF"/>
                <w:sz w:val="19"/>
              </w:rPr>
            </w:r>
          </w:p>
        </w:tc>
        <w:tc>
          <w:tcPr>
            <w:tcW w:type="dxa" w:w="6803"/>
            <w:shd w:val="clear" w:color="auto" w:fill="1F3B63"/>
          </w:tcPr>
          <w:p>
            <w:pPr>
              <w:spacing w:after="40"/>
            </w:pPr>
            <w:r/>
            <w:r>
              <w:rPr>
                <w:b/>
                <w:color w:val="FFFFFF"/>
                <w:sz w:val="19"/>
              </w:rPr>
            </w:r>
          </w:p>
        </w:tc>
      </w:tr>
      <w:tr>
        <w:trPr>
          <w:cantSplit/>
        </w:trPr>
        <w:tc>
          <w:tcPr>
            <w:tcW w:type="dxa" w:w="2268"/>
          </w:tcPr>
          <w:p>
            <w:pPr>
              <w:spacing w:after="40"/>
            </w:pPr>
            <w:r/>
            <w:r>
              <w:rPr>
                <w:b w:val="0"/>
                <w:sz w:val="19"/>
              </w:rPr>
              <w:t>Revision</w:t>
            </w:r>
          </w:p>
        </w:tc>
        <w:tc>
          <w:tcPr>
            <w:tcW w:type="dxa" w:w="6803"/>
          </w:tcPr>
          <w:p>
            <w:pPr>
              <w:spacing w:after="40"/>
            </w:pPr>
            <w:r/>
            <w:r>
              <w:rPr>
                <w:b w:val="0"/>
                <w:sz w:val="19"/>
              </w:rPr>
              <w:t>R1</w:t>
            </w:r>
          </w:p>
        </w:tc>
      </w:tr>
      <w:tr>
        <w:trPr>
          <w:cantSplit/>
        </w:trPr>
        <w:tc>
          <w:tcPr>
            <w:tcW w:type="dxa" w:w="2268"/>
          </w:tcPr>
          <w:p>
            <w:pPr>
              <w:spacing w:after="40"/>
            </w:pPr>
            <w:r/>
            <w:r>
              <w:rPr>
                <w:b w:val="0"/>
                <w:sz w:val="19"/>
              </w:rPr>
              <w:t>Date</w:t>
            </w:r>
          </w:p>
        </w:tc>
        <w:tc>
          <w:tcPr>
            <w:tcW w:type="dxa" w:w="6803"/>
          </w:tcPr>
          <w:p>
            <w:pPr>
              <w:spacing w:after="40"/>
            </w:pPr>
            <w:r/>
            <w:r>
              <w:rPr>
                <w:b w:val="0"/>
                <w:sz w:val="19"/>
              </w:rPr>
              <w:t>2 September 2026</w:t>
            </w:r>
          </w:p>
        </w:tc>
      </w:tr>
      <w:tr>
        <w:trPr>
          <w:cantSplit/>
        </w:trPr>
        <w:tc>
          <w:tcPr>
            <w:tcW w:type="dxa" w:w="2268"/>
          </w:tcPr>
          <w:p>
            <w:pPr>
              <w:spacing w:after="40"/>
            </w:pPr>
            <w:r/>
            <w:r>
              <w:rPr>
                <w:b w:val="0"/>
                <w:sz w:val="19"/>
              </w:rPr>
              <w:t>Status</w:t>
            </w:r>
          </w:p>
        </w:tc>
        <w:tc>
          <w:tcPr>
            <w:tcW w:type="dxa" w:w="6803"/>
          </w:tcPr>
          <w:p>
            <w:pPr>
              <w:spacing w:after="40"/>
            </w:pPr>
            <w:r/>
            <w:r>
              <w:rPr>
                <w:b w:val="0"/>
                <w:sz w:val="19"/>
              </w:rPr>
              <w:t>Internal engineering review - NOT for issue to NWS</w:t>
            </w:r>
          </w:p>
        </w:tc>
      </w:tr>
      <w:tr>
        <w:trPr>
          <w:cantSplit/>
        </w:trPr>
        <w:tc>
          <w:tcPr>
            <w:tcW w:type="dxa" w:w="2268"/>
          </w:tcPr>
          <w:p>
            <w:pPr>
              <w:spacing w:after="40"/>
            </w:pPr>
            <w:r/>
            <w:r>
              <w:rPr>
                <w:b w:val="0"/>
                <w:sz w:val="19"/>
              </w:rPr>
              <w:t>Prepared for</w:t>
            </w:r>
          </w:p>
        </w:tc>
        <w:tc>
          <w:tcPr>
            <w:tcW w:type="dxa" w:w="6803"/>
          </w:tcPr>
          <w:p>
            <w:pPr>
              <w:spacing w:after="40"/>
            </w:pPr>
            <w:r/>
            <w:r>
              <w:rPr>
                <w:b w:val="0"/>
                <w:sz w:val="19"/>
              </w:rPr>
              <w:t>Renardet design team</w:t>
            </w:r>
          </w:p>
        </w:tc>
      </w:tr>
      <w:tr>
        <w:trPr>
          <w:cantSplit/>
        </w:trPr>
        <w:tc>
          <w:tcPr>
            <w:tcW w:type="dxa" w:w="2268"/>
          </w:tcPr>
          <w:p>
            <w:pPr>
              <w:spacing w:after="40"/>
            </w:pPr>
            <w:r/>
            <w:r>
              <w:rPr>
                <w:b w:val="0"/>
                <w:sz w:val="19"/>
              </w:rPr>
              <w:t>Supersedes</w:t>
            </w:r>
          </w:p>
        </w:tc>
        <w:tc>
          <w:tcPr>
            <w:tcW w:type="dxa" w:w="6803"/>
          </w:tcPr>
          <w:p>
            <w:pPr>
              <w:spacing w:after="40"/>
            </w:pPr>
            <w:r/>
            <w:r>
              <w:rPr>
                <w:b w:val="0"/>
                <w:sz w:val="19"/>
              </w:rPr>
              <w:t>nothing; this is the first review of W11a</w:t>
            </w:r>
          </w:p>
        </w:tc>
      </w:tr>
      <w:tr>
        <w:trPr>
          <w:cantSplit/>
        </w:trPr>
        <w:tc>
          <w:tcPr>
            <w:tcW w:type="dxa" w:w="2268"/>
          </w:tcPr>
          <w:p>
            <w:pPr>
              <w:spacing w:after="40"/>
            </w:pPr>
            <w:r/>
            <w:r>
              <w:rPr>
                <w:b w:val="0"/>
                <w:sz w:val="19"/>
              </w:rPr>
              <w:t>Reads with</w:t>
            </w:r>
          </w:p>
        </w:tc>
        <w:tc>
          <w:tcPr>
            <w:tcW w:type="dxa" w:w="6803"/>
          </w:tcPr>
          <w:p>
            <w:pPr>
              <w:spacing w:after="40"/>
            </w:pPr>
            <w:r/>
            <w:r>
              <w:rPr>
                <w:b w:val="0"/>
                <w:sz w:val="19"/>
              </w:rPr>
              <w:t>_BRAIN/08_DESIGN_PHILOSOPHY.md and _BRAIN/02_DESIGN_CRITERIA.md</w:t>
            </w:r>
          </w:p>
        </w:tc>
      </w:tr>
    </w:tbl>
    <w:p/>
    <w:p>
      <w:pPr>
        <w:spacing w:before="160" w:after="160"/>
        <w:ind w:left="170"/>
        <w:shd w:val="clear" w:color="auto" w:fill="EEF3FA"/>
        <w:pBdr>
          <w:top w:val="single" w:sz="6" w:space="6" w:color="D9A441"/>
          <w:left w:val="single" w:sz="6" w:space="6" w:color="D9A441"/>
          <w:bottom w:val="single" w:sz="6" w:space="6" w:color="D9A441"/>
          <w:right w:val="single" w:sz="6" w:space="6" w:color="D9A441"/>
        </w:pBdr>
      </w:pPr>
      <w:r>
        <w:rPr>
          <w:b/>
          <w:color w:val="2E629E"/>
          <w:sz w:val="20"/>
        </w:rPr>
        <w:t xml:space="preserve">What this document is.  </w:t>
      </w:r>
      <w:r>
        <w:rPr>
          <w:sz w:val="20"/>
        </w:rPr>
        <w:t>An honest account of the state of the W11a design pipeline: the rules that turned out to be wrong, the defects found in our own auditor, the numbers that are now trustworthy, and my recommendations. It is written for engineers who will disagree with parts of it. Nothing here is client-facing register.</w:t>
      </w:r>
    </w:p>
    <w:p>
      <w:r>
        <w:br w:type="page"/>
      </w:r>
    </w:p>
    <w:p>
      <w:pPr>
        <w:pStyle w:val="Heading1"/>
        <w:outlineLvl w:val="1"/>
      </w:pPr>
      <w:r>
        <w:t>Contents</w:t>
      </w:r>
    </w:p>
    <w:p>
      <w:fldSimple w:instr="TOC \o &quot;1-2&quot; \h \z \u">
        <w:r>
          <w:t>Right-click and choose Update Field to build the contents.</w:t>
        </w:r>
      </w:fldSimple>
    </w:p>
    <w:p>
      <w:r>
        <w:br w:type="page"/>
      </w:r>
    </w:p>
    <w:p>
      <w:pPr>
        <w:pStyle w:val="Heading1"/>
        <w:outlineLvl w:val="1"/>
      </w:pPr>
      <w:r>
        <w:t>Summary</w:t>
      </w:r>
    </w:p>
    <w:p>
      <w:r>
        <w:rPr>
          <w:b/>
          <w:i w:val="0"/>
        </w:rPr>
        <w:t>The single most useful thing to come out of this round is that our own rule, not the ground, was the biggest constraint on the design.</w:t>
      </w:r>
    </w:p>
    <w:p>
      <w:r>
        <w:rPr>
          <w:b w:val="0"/>
          <w:i w:val="0"/>
        </w:rPr>
        <w:t>W10 was audited against twenty-two checks. Three passed, twelve failed, and seven could not run at all because the published layers did not carry the fields the checks read. That result held up. What did not hold up was the diagnosis. Two of the headline defects we had been carrying since W10 were artefacts of how we measured, and one whole class of failure was created by a rule we wrote ourselves.</w:t>
      </w:r>
    </w:p>
    <w:p/>
    <w:p>
      <w:pPr>
        <w:pStyle w:val="Heading2"/>
        <w:outlineLvl w:val="2"/>
      </w:pPr>
      <w:r>
        <w:t>The five findings that matter</w:t>
      </w:r>
    </w:p>
    <w:p>
      <w:pPr>
        <w:pStyle w:val="ListBullet"/>
        <w:spacing w:after="60"/>
        <w:ind w:left="340"/>
      </w:pPr>
      <w:r>
        <w:rPr>
          <w:b/>
        </w:rPr>
        <w:t>A wadi crossing is legal, and forbidding it cost us the network.</w:t>
      </w:r>
      <w:r>
        <w:t>PAM-GUD-203 p30 §4.4.1 and p33 forbid pipes and chambers IN a wadi because of washout. They do not forbid crossing one - PAM-GUD-201 §9.3 sets out a full procedure for doing exactly that, and G203-p52 §8.2.4 gives the cover to use. Our rule deleted every wadi contact, which severed the corridor network into 1,381 pieces and the trunk into 108, against 2 when the same alignment is noded on its own. Distinguishing along from across took the corridor network to 784 pieces and kept 2,428 scheduled crossings.</w:t>
      </w:r>
    </w:p>
    <w:p>
      <w:pPr>
        <w:pStyle w:val="ListBullet"/>
        <w:spacing w:after="60"/>
        <w:ind w:left="340"/>
      </w:pPr>
      <w:r>
        <w:rPr>
          <w:b/>
        </w:rPr>
        <w:t>W10 never had 310 loops.</w:t>
      </w:r>
      <w:r>
        <w:t>It has zero at any tolerance a surveyor or a GIS would use. The loop count is an artefact of how hard the endpoints are snapped: 7,919 pieces and 0 cycles at 10 mm, 105 pieces and 311 cycles at 2.5 m - the same file. The step at exactly 1.00 m is a buffer(1.0) in the corridor stitcher closing 3,255 gaps at once. Disconnection and loops were never two defects; they were one, and it is that the layer publishes no node identity.</w:t>
      </w:r>
    </w:p>
    <w:p>
      <w:pPr>
        <w:pStyle w:val="ListBullet"/>
        <w:spacing w:after="60"/>
        <w:ind w:left="340"/>
      </w:pPr>
      <w:r>
        <w:rPr>
          <w:b/>
        </w:rPr>
        <w:t>The auditor had six defects of its own, one of them a build-stopper.</w:t>
      </w:r>
      <w:r>
        <w:t>It demanded 50 mm more cover than the criteria function lays, at every diameter, so a design built correctly failed a blocking check on every reach. It sampled wadi ground at the midpoint only and missed 40 % of the contact. It scored the hazard grid's nodata as a pass. And it required the network to be a single connected component, which no compliant design with a satellite works can be.</w:t>
      </w:r>
    </w:p>
    <w:p>
      <w:pPr>
        <w:pStyle w:val="ListBullet"/>
        <w:spacing w:after="60"/>
        <w:ind w:left="340"/>
      </w:pPr>
      <w:r>
        <w:rPr>
          <w:b/>
        </w:rPr>
        <w:t>Half the network has no flood answer at all.</w:t>
      </w:r>
      <w:r>
        <w:t>The 50-year hazard grid covers 47-49 % of the corridor samples. Every statement we make about wadis is a statement about the tested half. This is now published beside every wadi result instead of being silently scored as a pass, and it is the single largest data gap in the layout.</w:t>
      </w:r>
    </w:p>
    <w:p>
      <w:pPr>
        <w:pStyle w:val="ListBullet"/>
        <w:spacing w:after="60"/>
        <w:ind w:left="340"/>
      </w:pPr>
      <w:r>
        <w:rPr>
          <w:b/>
        </w:rPr>
        <w:t>A whole pipeline stage was missing.</w:t>
      </w:r>
      <w:r>
        <w:t>Nothing accumulated the chamber loads down the graph, so no reach knew what it carried and the chain stopped before levels and sizes. The ten stages were built in parallel against a shared contract and this step fell between two of them - which is a fair warning about how that kind of parallel build fails.</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A</w:t>
      </w:r>
    </w:p>
    <w:p>
      <w:pPr>
        <w:spacing w:after="120"/>
        <w:jc w:val="center"/>
        <w:outlineLvl w:val="0"/>
      </w:pPr>
      <w:r>
        <w:rPr>
          <w:b/>
          <w:color w:val="1F3B63"/>
          <w:sz w:val="52"/>
        </w:rPr>
        <w:t>What was wrong with the rules</w:t>
      </w:r>
    </w:p>
    <w:p>
      <w:pPr>
        <w:spacing w:after="0"/>
        <w:jc w:val="center"/>
        <w:pBdr>
          <w:bottom w:val="single" w:sz="8" w:space="4" w:color="2E629E"/>
        </w:pBdr>
      </w:pPr>
    </w:p>
    <w:p>
      <w:r>
        <w:br w:type="page"/>
      </w:r>
    </w:p>
    <w:p>
      <w:pPr>
        <w:pStyle w:val="Heading1"/>
        <w:outlineLvl w:val="1"/>
      </w:pPr>
      <w:r>
        <w:t>The wadi rule</w:t>
      </w:r>
    </w:p>
    <w:p>
      <w:r>
        <w:rPr>
          <w:b w:val="0"/>
          <w:i w:val="0"/>
        </w:rPr>
        <w:t>This is the most consequential change in W11a, so it is worth stating precisely what was wrong and why the new rule is defensible.</w:t>
      </w:r>
    </w:p>
    <w:p>
      <w:pPr>
        <w:pStyle w:val="Heading2"/>
        <w:outlineLvl w:val="2"/>
      </w:pPr>
      <w:r>
        <w:t>What the guidelines actually say</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381"/>
            <w:shd w:val="clear" w:color="auto" w:fill="1F3B63"/>
          </w:tcPr>
          <w:p>
            <w:pPr>
              <w:spacing w:after="40"/>
            </w:pPr>
            <w:r/>
            <w:r>
              <w:rPr>
                <w:b/>
                <w:color w:val="FFFFFF"/>
                <w:sz w:val="18"/>
              </w:rPr>
              <w:t>Source</w:t>
            </w:r>
          </w:p>
        </w:tc>
        <w:tc>
          <w:tcPr>
            <w:tcW w:type="dxa" w:w="6690"/>
            <w:shd w:val="clear" w:color="auto" w:fill="1F3B63"/>
          </w:tcPr>
          <w:p>
            <w:pPr>
              <w:spacing w:after="40"/>
            </w:pPr>
            <w:r/>
            <w:r>
              <w:rPr>
                <w:b/>
                <w:color w:val="FFFFFF"/>
                <w:sz w:val="18"/>
              </w:rPr>
              <w:t>What it says</w:t>
            </w:r>
          </w:p>
        </w:tc>
      </w:tr>
      <w:tr>
        <w:trPr>
          <w:cantSplit/>
        </w:trPr>
        <w:tc>
          <w:tcPr>
            <w:tcW w:type="dxa" w:w="2381"/>
          </w:tcPr>
          <w:p>
            <w:pPr>
              <w:spacing w:after="40"/>
            </w:pPr>
            <w:r/>
            <w:r>
              <w:rPr>
                <w:b w:val="0"/>
                <w:sz w:val="18"/>
              </w:rPr>
              <w:t>G203-p30 §4.4.1, p33</w:t>
            </w:r>
          </w:p>
        </w:tc>
        <w:tc>
          <w:tcPr>
            <w:tcW w:type="dxa" w:w="6690"/>
          </w:tcPr>
          <w:p>
            <w:pPr>
              <w:spacing w:after="40"/>
            </w:pPr>
            <w:r/>
            <w:r>
              <w:rPr>
                <w:b w:val="0"/>
                <w:sz w:val="18"/>
              </w:rPr>
              <w:t>Pipelines AND chambers are prohibited in wadis and flood-prone / washout areas.</w:t>
            </w:r>
          </w:p>
        </w:tc>
      </w:tr>
      <w:tr>
        <w:trPr>
          <w:cantSplit/>
        </w:trPr>
        <w:tc>
          <w:tcPr>
            <w:tcW w:type="dxa" w:w="2381"/>
          </w:tcPr>
          <w:p>
            <w:pPr>
              <w:spacing w:after="40"/>
            </w:pPr>
            <w:r/>
            <w:r>
              <w:rPr>
                <w:b w:val="0"/>
                <w:sz w:val="18"/>
              </w:rPr>
              <w:t>G201-p85 §9.3</w:t>
            </w:r>
          </w:p>
        </w:tc>
        <w:tc>
          <w:tcPr>
            <w:tcW w:type="dxa" w:w="6690"/>
          </w:tcPr>
          <w:p>
            <w:pPr>
              <w:spacing w:after="40"/>
            </w:pPr>
            <w:r/>
            <w:r>
              <w:rPr>
                <w:b w:val="0"/>
                <w:sz w:val="18"/>
              </w:rPr>
              <w:t>A wadi crossing requires bed profiles and cross-sections, 1:20 / 1:50 / 1:100 flood frequency, bed material and bed-level change, from CAA and MoAFWR, with MoAFWR approval.</w:t>
            </w:r>
          </w:p>
        </w:tc>
      </w:tr>
      <w:tr>
        <w:trPr>
          <w:cantSplit/>
        </w:trPr>
        <w:tc>
          <w:tcPr>
            <w:tcW w:type="dxa" w:w="2381"/>
          </w:tcPr>
          <w:p>
            <w:pPr>
              <w:spacing w:after="40"/>
            </w:pPr>
            <w:r/>
            <w:r>
              <w:rPr>
                <w:b w:val="0"/>
                <w:sz w:val="18"/>
              </w:rPr>
              <w:t>G201-p86</w:t>
            </w:r>
          </w:p>
        </w:tc>
        <w:tc>
          <w:tcPr>
            <w:tcW w:type="dxa" w:w="6690"/>
          </w:tcPr>
          <w:p>
            <w:pPr>
              <w:spacing w:after="40"/>
            </w:pPr>
            <w:r/>
            <w:r>
              <w:rPr>
                <w:b w:val="0"/>
                <w:sz w:val="18"/>
              </w:rPr>
              <w:t>Isolation and air valves both sides of an active or major crossing; washout at the low point; NO chambers or markers in the wadi bed or embankments; all accessible during flood.</w:t>
            </w:r>
          </w:p>
        </w:tc>
      </w:tr>
      <w:tr>
        <w:trPr>
          <w:cantSplit/>
        </w:trPr>
        <w:tc>
          <w:tcPr>
            <w:tcW w:type="dxa" w:w="2381"/>
          </w:tcPr>
          <w:p>
            <w:pPr>
              <w:spacing w:after="40"/>
            </w:pPr>
            <w:r/>
            <w:r>
              <w:rPr>
                <w:b w:val="0"/>
                <w:sz w:val="18"/>
              </w:rPr>
              <w:t>G203-p52 §8.2.4</w:t>
            </w:r>
          </w:p>
        </w:tc>
        <w:tc>
          <w:tcPr>
            <w:tcW w:type="dxa" w:w="6690"/>
          </w:tcPr>
          <w:p>
            <w:pPr>
              <w:spacing w:after="40"/>
            </w:pPr>
            <w:r/>
            <w:r>
              <w:rPr>
                <w:b w:val="0"/>
                <w:sz w:val="18"/>
              </w:rPr>
              <w:t>Cover at a wadi crossing is 1.5 m to crown, against 1.3 m normally.</w:t>
            </w:r>
          </w:p>
        </w:tc>
      </w:tr>
    </w:tbl>
    <w:p/>
    <w:p>
      <w:r>
        <w:rPr>
          <w:b/>
          <w:i w:val="0"/>
        </w:rPr>
        <w:t>A guideline that prints a four-item procedure for building a wadi crossing is not a guideline that forbids one. We were reading a prohibition on PRESENCE as a prohibition on PASSAGE.</w:t>
      </w:r>
    </w:p>
    <w:p>
      <w:pPr>
        <w:pStyle w:val="Heading2"/>
        <w:outlineLvl w:val="2"/>
      </w:pPr>
      <w:r>
        <w:t>What it cost</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628"/>
            <w:shd w:val="clear" w:color="auto" w:fill="1F3B63"/>
          </w:tcPr>
          <w:p>
            <w:pPr>
              <w:spacing w:after="40"/>
            </w:pPr>
            <w:r/>
            <w:r>
              <w:rPr>
                <w:b/>
                <w:color w:val="FFFFFF"/>
                <w:sz w:val="18"/>
              </w:rPr>
              <w:t>Measure</w:t>
            </w:r>
          </w:p>
        </w:tc>
        <w:tc>
          <w:tcPr>
            <w:tcW w:type="dxa" w:w="2721"/>
            <w:shd w:val="clear" w:color="auto" w:fill="1F3B63"/>
          </w:tcPr>
          <w:p>
            <w:pPr>
              <w:spacing w:after="40"/>
            </w:pPr>
            <w:r/>
            <w:r>
              <w:rPr>
                <w:b/>
                <w:color w:val="FFFFFF"/>
                <w:sz w:val="18"/>
              </w:rPr>
              <w:t>Deleting every crossing</w:t>
            </w:r>
          </w:p>
        </w:tc>
        <w:tc>
          <w:tcPr>
            <w:tcW w:type="dxa" w:w="2721"/>
            <w:shd w:val="clear" w:color="auto" w:fill="1F3B63"/>
          </w:tcPr>
          <w:p>
            <w:pPr>
              <w:spacing w:after="40"/>
            </w:pPr>
            <w:r/>
            <w:r>
              <w:rPr>
                <w:b/>
                <w:color w:val="FFFFFF"/>
                <w:sz w:val="18"/>
              </w:rPr>
              <w:t>H1a: along deleted, across kept</w:t>
            </w:r>
          </w:p>
        </w:tc>
      </w:tr>
      <w:tr>
        <w:trPr>
          <w:cantSplit/>
        </w:trPr>
        <w:tc>
          <w:tcPr>
            <w:tcW w:type="dxa" w:w="3628"/>
          </w:tcPr>
          <w:p>
            <w:pPr>
              <w:spacing w:after="40"/>
            </w:pPr>
            <w:r/>
            <w:r>
              <w:rPr>
                <w:b w:val="0"/>
                <w:sz w:val="18"/>
              </w:rPr>
              <w:t>Corridor components</w:t>
            </w:r>
          </w:p>
        </w:tc>
        <w:tc>
          <w:tcPr>
            <w:tcW w:type="dxa" w:w="2721"/>
          </w:tcPr>
          <w:p>
            <w:pPr>
              <w:spacing w:after="40"/>
              <w:jc w:val="right"/>
            </w:pPr>
            <w:r/>
            <w:r>
              <w:rPr>
                <w:b w:val="0"/>
                <w:sz w:val="18"/>
              </w:rPr>
              <w:t>1,381</w:t>
            </w:r>
          </w:p>
        </w:tc>
        <w:tc>
          <w:tcPr>
            <w:tcW w:type="dxa" w:w="2721"/>
          </w:tcPr>
          <w:p>
            <w:pPr>
              <w:spacing w:after="40"/>
              <w:jc w:val="right"/>
            </w:pPr>
            <w:r/>
            <w:r>
              <w:rPr>
                <w:b w:val="0"/>
                <w:sz w:val="18"/>
              </w:rPr>
              <w:t>784</w:t>
            </w:r>
          </w:p>
        </w:tc>
      </w:tr>
      <w:tr>
        <w:trPr>
          <w:cantSplit/>
        </w:trPr>
        <w:tc>
          <w:tcPr>
            <w:tcW w:type="dxa" w:w="3628"/>
          </w:tcPr>
          <w:p>
            <w:pPr>
              <w:spacing w:after="40"/>
            </w:pPr>
            <w:r/>
            <w:r>
              <w:rPr>
                <w:b w:val="0"/>
                <w:sz w:val="18"/>
              </w:rPr>
              <w:t>Trunk components as stage 4 sees it</w:t>
            </w:r>
          </w:p>
        </w:tc>
        <w:tc>
          <w:tcPr>
            <w:tcW w:type="dxa" w:w="2721"/>
          </w:tcPr>
          <w:p>
            <w:pPr>
              <w:spacing w:after="40"/>
              <w:jc w:val="right"/>
            </w:pPr>
            <w:r/>
            <w:r>
              <w:rPr>
                <w:b w:val="0"/>
                <w:sz w:val="18"/>
              </w:rPr>
              <w:t>108</w:t>
            </w:r>
          </w:p>
        </w:tc>
        <w:tc>
          <w:tcPr>
            <w:tcW w:type="dxa" w:w="2721"/>
          </w:tcPr>
          <w:p>
            <w:pPr>
              <w:spacing w:after="40"/>
              <w:jc w:val="right"/>
            </w:pPr>
            <w:r/>
            <w:r>
              <w:rPr>
                <w:b w:val="0"/>
                <w:sz w:val="18"/>
              </w:rPr>
              <w:t>74</w:t>
            </w:r>
          </w:p>
        </w:tc>
      </w:tr>
      <w:tr>
        <w:trPr>
          <w:cantSplit/>
        </w:trPr>
        <w:tc>
          <w:tcPr>
            <w:tcW w:type="dxa" w:w="3628"/>
          </w:tcPr>
          <w:p>
            <w:pPr>
              <w:spacing w:after="40"/>
            </w:pPr>
            <w:r/>
            <w:r>
              <w:rPr>
                <w:b w:val="0"/>
                <w:sz w:val="18"/>
              </w:rPr>
              <w:t>Wadi length deleted</w:t>
            </w:r>
          </w:p>
        </w:tc>
        <w:tc>
          <w:tcPr>
            <w:tcW w:type="dxa" w:w="2721"/>
          </w:tcPr>
          <w:p>
            <w:pPr>
              <w:spacing w:after="40"/>
              <w:jc w:val="right"/>
            </w:pPr>
            <w:r/>
            <w:r>
              <w:rPr>
                <w:b w:val="0"/>
                <w:sz w:val="18"/>
              </w:rPr>
              <w:t>170 km</w:t>
            </w:r>
          </w:p>
        </w:tc>
        <w:tc>
          <w:tcPr>
            <w:tcW w:type="dxa" w:w="2721"/>
          </w:tcPr>
          <w:p>
            <w:pPr>
              <w:spacing w:after="40"/>
              <w:jc w:val="right"/>
            </w:pPr>
            <w:r/>
            <w:r>
              <w:rPr>
                <w:b w:val="0"/>
                <w:sz w:val="18"/>
              </w:rPr>
              <w:t>67 km</w:t>
            </w:r>
          </w:p>
        </w:tc>
      </w:tr>
      <w:tr>
        <w:trPr>
          <w:cantSplit/>
        </w:trPr>
        <w:tc>
          <w:tcPr>
            <w:tcW w:type="dxa" w:w="3628"/>
          </w:tcPr>
          <w:p>
            <w:pPr>
              <w:spacing w:after="40"/>
            </w:pPr>
            <w:r/>
            <w:r>
              <w:rPr>
                <w:b w:val="0"/>
                <w:sz w:val="18"/>
              </w:rPr>
              <w:t>Crossings scheduled</w:t>
            </w:r>
          </w:p>
        </w:tc>
        <w:tc>
          <w:tcPr>
            <w:tcW w:type="dxa" w:w="2721"/>
          </w:tcPr>
          <w:p>
            <w:pPr>
              <w:spacing w:after="40"/>
              <w:jc w:val="right"/>
            </w:pPr>
            <w:r/>
            <w:r>
              <w:rPr>
                <w:b w:val="0"/>
                <w:sz w:val="18"/>
              </w:rPr>
              <w:t>0</w:t>
            </w:r>
          </w:p>
        </w:tc>
        <w:tc>
          <w:tcPr>
            <w:tcW w:type="dxa" w:w="2721"/>
          </w:tcPr>
          <w:p>
            <w:pPr>
              <w:spacing w:after="40"/>
              <w:jc w:val="right"/>
            </w:pPr>
            <w:r/>
            <w:r>
              <w:rPr>
                <w:b w:val="0"/>
                <w:sz w:val="18"/>
              </w:rPr>
              <w:t>2,428</w:t>
            </w:r>
          </w:p>
        </w:tc>
      </w:tr>
      <w:tr>
        <w:trPr>
          <w:cantSplit/>
        </w:trPr>
        <w:tc>
          <w:tcPr>
            <w:tcW w:type="dxa" w:w="3628"/>
          </w:tcPr>
          <w:p>
            <w:pPr>
              <w:spacing w:after="40"/>
            </w:pPr>
            <w:r/>
            <w:r>
              <w:rPr>
                <w:b w:val="0"/>
                <w:sz w:val="18"/>
              </w:rPr>
              <w:t>Load-bearing plots with a corridor</w:t>
            </w:r>
          </w:p>
        </w:tc>
        <w:tc>
          <w:tcPr>
            <w:tcW w:type="dxa" w:w="2721"/>
          </w:tcPr>
          <w:p>
            <w:pPr>
              <w:spacing w:after="40"/>
              <w:jc w:val="right"/>
            </w:pPr>
            <w:r/>
            <w:r>
              <w:rPr>
                <w:b w:val="0"/>
                <w:sz w:val="18"/>
              </w:rPr>
              <w:t>97.4 %</w:t>
            </w:r>
          </w:p>
        </w:tc>
        <w:tc>
          <w:tcPr>
            <w:tcW w:type="dxa" w:w="2721"/>
          </w:tcPr>
          <w:p>
            <w:pPr>
              <w:spacing w:after="40"/>
              <w:jc w:val="right"/>
            </w:pPr>
            <w:r/>
            <w:r>
              <w:rPr>
                <w:b w:val="0"/>
                <w:sz w:val="18"/>
              </w:rPr>
              <w:t>98.0 %</w:t>
            </w:r>
          </w:p>
        </w:tc>
      </w:tr>
      <w:tr>
        <w:trPr>
          <w:cantSplit/>
        </w:trPr>
        <w:tc>
          <w:tcPr>
            <w:tcW w:type="dxa" w:w="3628"/>
          </w:tcPr>
          <w:p>
            <w:pPr>
              <w:spacing w:after="40"/>
            </w:pPr>
            <w:r/>
            <w:r>
              <w:rPr>
                <w:b w:val="0"/>
                <w:sz w:val="18"/>
              </w:rPr>
              <w:t>Load with no corridor</w:t>
            </w:r>
          </w:p>
        </w:tc>
        <w:tc>
          <w:tcPr>
            <w:tcW w:type="dxa" w:w="2721"/>
          </w:tcPr>
          <w:p>
            <w:pPr>
              <w:spacing w:after="40"/>
              <w:jc w:val="right"/>
            </w:pPr>
            <w:r/>
            <w:r>
              <w:rPr>
                <w:b w:val="0"/>
                <w:sz w:val="18"/>
              </w:rPr>
              <w:t>1,812 m³/d</w:t>
            </w:r>
          </w:p>
        </w:tc>
        <w:tc>
          <w:tcPr>
            <w:tcW w:type="dxa" w:w="2721"/>
          </w:tcPr>
          <w:p>
            <w:pPr>
              <w:spacing w:after="40"/>
              <w:jc w:val="right"/>
            </w:pPr>
            <w:r/>
            <w:r>
              <w:rPr>
                <w:b w:val="0"/>
                <w:sz w:val="18"/>
              </w:rPr>
              <w:t>1,426 m³/d</w:t>
            </w:r>
          </w:p>
        </w:tc>
      </w:tr>
      <w:tr>
        <w:trPr>
          <w:cantSplit/>
        </w:trPr>
        <w:tc>
          <w:tcPr>
            <w:tcW w:type="dxa" w:w="3628"/>
          </w:tcPr>
          <w:p>
            <w:pPr>
              <w:spacing w:after="40"/>
            </w:pPr>
            <w:r/>
            <w:r>
              <w:rPr>
                <w:b w:val="0"/>
                <w:sz w:val="18"/>
              </w:rPr>
              <w:t>Drainage systems out of stage 4</w:t>
            </w:r>
          </w:p>
        </w:tc>
        <w:tc>
          <w:tcPr>
            <w:tcW w:type="dxa" w:w="2721"/>
          </w:tcPr>
          <w:p>
            <w:pPr>
              <w:spacing w:after="40"/>
              <w:jc w:val="right"/>
            </w:pPr>
            <w:r/>
            <w:r>
              <w:rPr>
                <w:b w:val="0"/>
                <w:sz w:val="18"/>
              </w:rPr>
              <w:t>1,257</w:t>
            </w:r>
          </w:p>
        </w:tc>
        <w:tc>
          <w:tcPr>
            <w:tcW w:type="dxa" w:w="2721"/>
          </w:tcPr>
          <w:p>
            <w:pPr>
              <w:spacing w:after="40"/>
              <w:jc w:val="right"/>
            </w:pPr>
            <w:r/>
            <w:r>
              <w:rPr>
                <w:b w:val="0"/>
                <w:sz w:val="18"/>
              </w:rPr>
              <w:t>773</w:t>
            </w:r>
          </w:p>
        </w:tc>
      </w:tr>
    </w:tbl>
    <w:p/>
    <w:p>
      <w:r>
        <w:rPr>
          <w:b w:val="0"/>
          <w:i w:val="0"/>
        </w:rPr>
        <w:t>The design cannot be built as 1,257 separate drainage systems. That number was never a finding about Ibri; it was a finding about our rule.</w:t>
      </w:r>
    </w:p>
    <w:p>
      <w:pPr>
        <w:pStyle w:val="Heading2"/>
        <w:outlineLvl w:val="2"/>
      </w:pPr>
      <w:r>
        <w:t>The new rule, and the one number in it that is ours</w:t>
      </w:r>
    </w:p>
    <w:p>
      <w:r>
        <w:rPr>
          <w:b w:val="0"/>
          <w:i w:val="0"/>
        </w:rPr>
        <w:t>Philosophy H1a makes a crossing legal when four things hold: the contact is a single contiguous run and square within a stated skew tolerance; no chamber sits on wadi ground or the embankment; cover is 1.5 m to crown; and it is entered in the crossings schedule with a CROSS_ID carrying the G201 §9.3 obligations. Anything else on wadi ground is prohibited.</w:t>
      </w:r>
    </w:p>
    <w:p>
      <w:r>
        <w:rPr>
          <w:b w:val="0"/>
          <w:i w:val="0"/>
        </w:rPr>
        <w:t>The along/across test is geometric rather than a length threshold. At the middle of the on-wadi run we probe perpendicular to the pipe until both banks are found. A pipe crossing square has a contact no longer than the band is wide across it; a pipe running down the band has a long contact and a narrow perpendicular extent. The ratio is the measurement.</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Declared as ours, not theirs.  </w:t>
      </w:r>
      <w:r>
        <w:rPr>
          <w:sz w:val="20"/>
        </w:rPr>
        <w:t>H1 says a crossing is "perpendicular". The tolerance on that word - 1/cos 30° - is a PROJECT rule, declared in w11a.audit and read from there by every stage. The guidelines give the cover at a crossing and the procedure for one, but never say how square it must be, and inventing a guideline number is prohibited. An earlier 70 m crossing-length assumption has been withdrawn: it was borrowed from the dual-carriageway rule and had no basis at all.</w:t>
      </w:r>
    </w:p>
    <w:p>
      <w:pPr>
        <w:pStyle w:val="Heading1"/>
        <w:outlineLvl w:val="1"/>
      </w:pPr>
      <w:r>
        <w:t>Topology, and two numbers we had been quoting wrongly</w:t>
      </w:r>
    </w:p>
    <w:p>
      <w:pPr>
        <w:pStyle w:val="Heading2"/>
        <w:outlineLvl w:val="2"/>
      </w:pPr>
      <w:r>
        <w:t>The loop count moves with the tolerance</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1701"/>
            <w:shd w:val="clear" w:color="auto" w:fill="1F3B63"/>
          </w:tcPr>
          <w:p>
            <w:pPr>
              <w:spacing w:after="40"/>
            </w:pPr>
            <w:r/>
            <w:r>
              <w:rPr>
                <w:b/>
                <w:color w:val="FFFFFF"/>
                <w:sz w:val="18"/>
              </w:rPr>
              <w:t>Snap (m)</w:t>
            </w:r>
          </w:p>
        </w:tc>
        <w:tc>
          <w:tcPr>
            <w:tcW w:type="dxa" w:w="2268"/>
            <w:shd w:val="clear" w:color="auto" w:fill="1F3B63"/>
          </w:tcPr>
          <w:p>
            <w:pPr>
              <w:spacing w:after="40"/>
            </w:pPr>
            <w:r/>
            <w:r>
              <w:rPr>
                <w:b/>
                <w:color w:val="FFFFFF"/>
                <w:sz w:val="18"/>
              </w:rPr>
              <w:t>Nodes</w:t>
            </w:r>
          </w:p>
        </w:tc>
        <w:tc>
          <w:tcPr>
            <w:tcW w:type="dxa" w:w="2268"/>
            <w:shd w:val="clear" w:color="auto" w:fill="1F3B63"/>
          </w:tcPr>
          <w:p>
            <w:pPr>
              <w:spacing w:after="40"/>
            </w:pPr>
            <w:r/>
            <w:r>
              <w:rPr>
                <w:b/>
                <w:color w:val="FFFFFF"/>
                <w:sz w:val="18"/>
              </w:rPr>
              <w:t>Components</w:t>
            </w:r>
          </w:p>
        </w:tc>
        <w:tc>
          <w:tcPr>
            <w:tcW w:type="dxa" w:w="2268"/>
            <w:shd w:val="clear" w:color="auto" w:fill="1F3B63"/>
          </w:tcPr>
          <w:p>
            <w:pPr>
              <w:spacing w:after="40"/>
            </w:pPr>
            <w:r/>
            <w:r>
              <w:rPr>
                <w:b/>
                <w:color w:val="FFFFFF"/>
                <w:sz w:val="18"/>
              </w:rPr>
              <w:t>Cycles</w:t>
            </w:r>
          </w:p>
        </w:tc>
      </w:tr>
      <w:tr>
        <w:trPr>
          <w:cantSplit/>
        </w:trPr>
        <w:tc>
          <w:tcPr>
            <w:tcW w:type="dxa" w:w="1701"/>
          </w:tcPr>
          <w:p>
            <w:pPr>
              <w:spacing w:after="40"/>
              <w:jc w:val="right"/>
            </w:pPr>
            <w:r/>
            <w:r>
              <w:rPr>
                <w:b w:val="0"/>
                <w:sz w:val="18"/>
              </w:rPr>
              <w:t>0.01</w:t>
            </w:r>
          </w:p>
        </w:tc>
        <w:tc>
          <w:tcPr>
            <w:tcW w:type="dxa" w:w="2268"/>
          </w:tcPr>
          <w:p>
            <w:pPr>
              <w:spacing w:after="40"/>
              <w:jc w:val="right"/>
            </w:pPr>
            <w:r/>
            <w:r>
              <w:rPr>
                <w:b w:val="0"/>
                <w:sz w:val="18"/>
              </w:rPr>
              <w:t>28,855</w:t>
            </w:r>
          </w:p>
        </w:tc>
        <w:tc>
          <w:tcPr>
            <w:tcW w:type="dxa" w:w="2268"/>
          </w:tcPr>
          <w:p>
            <w:pPr>
              <w:spacing w:after="40"/>
              <w:jc w:val="right"/>
            </w:pPr>
            <w:r/>
            <w:r>
              <w:rPr>
                <w:b w:val="0"/>
                <w:sz w:val="18"/>
              </w:rPr>
              <w:t>7,919</w:t>
            </w:r>
          </w:p>
        </w:tc>
        <w:tc>
          <w:tcPr>
            <w:tcW w:type="dxa" w:w="2268"/>
          </w:tcPr>
          <w:p>
            <w:pPr>
              <w:spacing w:after="40"/>
              <w:jc w:val="right"/>
            </w:pPr>
            <w:r/>
            <w:r>
              <w:rPr>
                <w:b w:val="0"/>
                <w:sz w:val="18"/>
              </w:rPr>
              <w:t>0</w:t>
            </w:r>
          </w:p>
        </w:tc>
      </w:tr>
      <w:tr>
        <w:trPr>
          <w:cantSplit/>
        </w:trPr>
        <w:tc>
          <w:tcPr>
            <w:tcW w:type="dxa" w:w="1701"/>
          </w:tcPr>
          <w:p>
            <w:pPr>
              <w:spacing w:after="40"/>
              <w:jc w:val="right"/>
            </w:pPr>
            <w:r/>
            <w:r>
              <w:rPr>
                <w:b w:val="0"/>
                <w:sz w:val="18"/>
              </w:rPr>
              <w:t>0.10</w:t>
            </w:r>
          </w:p>
        </w:tc>
        <w:tc>
          <w:tcPr>
            <w:tcW w:type="dxa" w:w="2268"/>
          </w:tcPr>
          <w:p>
            <w:pPr>
              <w:spacing w:after="40"/>
              <w:jc w:val="right"/>
            </w:pPr>
            <w:r/>
            <w:r>
              <w:rPr>
                <w:b w:val="0"/>
                <w:sz w:val="18"/>
              </w:rPr>
              <w:t>28,833</w:t>
            </w:r>
          </w:p>
        </w:tc>
        <w:tc>
          <w:tcPr>
            <w:tcW w:type="dxa" w:w="2268"/>
          </w:tcPr>
          <w:p>
            <w:pPr>
              <w:spacing w:after="40"/>
              <w:jc w:val="right"/>
            </w:pPr>
            <w:r/>
            <w:r>
              <w:rPr>
                <w:b w:val="0"/>
                <w:sz w:val="18"/>
              </w:rPr>
              <w:t>7,897</w:t>
            </w:r>
          </w:p>
        </w:tc>
        <w:tc>
          <w:tcPr>
            <w:tcW w:type="dxa" w:w="2268"/>
          </w:tcPr>
          <w:p>
            <w:pPr>
              <w:spacing w:after="40"/>
              <w:jc w:val="right"/>
            </w:pPr>
            <w:r/>
            <w:r>
              <w:rPr>
                <w:b w:val="0"/>
                <w:sz w:val="18"/>
              </w:rPr>
              <w:t>0</w:t>
            </w:r>
          </w:p>
        </w:tc>
      </w:tr>
      <w:tr>
        <w:trPr>
          <w:cantSplit/>
        </w:trPr>
        <w:tc>
          <w:tcPr>
            <w:tcW w:type="dxa" w:w="1701"/>
          </w:tcPr>
          <w:p>
            <w:pPr>
              <w:spacing w:after="40"/>
              <w:jc w:val="right"/>
            </w:pPr>
            <w:r/>
            <w:r>
              <w:rPr>
                <w:b w:val="0"/>
                <w:sz w:val="18"/>
              </w:rPr>
              <w:t>0.25</w:t>
            </w:r>
          </w:p>
        </w:tc>
        <w:tc>
          <w:tcPr>
            <w:tcW w:type="dxa" w:w="2268"/>
          </w:tcPr>
          <w:p>
            <w:pPr>
              <w:spacing w:after="40"/>
              <w:jc w:val="right"/>
            </w:pPr>
            <w:r/>
            <w:r>
              <w:rPr>
                <w:b w:val="0"/>
                <w:sz w:val="18"/>
              </w:rPr>
              <w:t>28,815</w:t>
            </w:r>
          </w:p>
        </w:tc>
        <w:tc>
          <w:tcPr>
            <w:tcW w:type="dxa" w:w="2268"/>
          </w:tcPr>
          <w:p>
            <w:pPr>
              <w:spacing w:after="40"/>
              <w:jc w:val="right"/>
            </w:pPr>
            <w:r/>
            <w:r>
              <w:rPr>
                <w:b w:val="0"/>
                <w:sz w:val="18"/>
              </w:rPr>
              <w:t>7,879</w:t>
            </w:r>
          </w:p>
        </w:tc>
        <w:tc>
          <w:tcPr>
            <w:tcW w:type="dxa" w:w="2268"/>
          </w:tcPr>
          <w:p>
            <w:pPr>
              <w:spacing w:after="40"/>
              <w:jc w:val="right"/>
            </w:pPr>
            <w:r/>
            <w:r>
              <w:rPr>
                <w:b w:val="0"/>
                <w:sz w:val="18"/>
              </w:rPr>
              <w:t>0</w:t>
            </w:r>
          </w:p>
        </w:tc>
      </w:tr>
      <w:tr>
        <w:trPr>
          <w:cantSplit/>
        </w:trPr>
        <w:tc>
          <w:tcPr>
            <w:tcW w:type="dxa" w:w="1701"/>
          </w:tcPr>
          <w:p>
            <w:pPr>
              <w:spacing w:after="40"/>
              <w:jc w:val="right"/>
            </w:pPr>
            <w:r/>
            <w:r>
              <w:rPr>
                <w:b w:val="0"/>
                <w:sz w:val="18"/>
              </w:rPr>
              <w:t>0.50</w:t>
            </w:r>
          </w:p>
        </w:tc>
        <w:tc>
          <w:tcPr>
            <w:tcW w:type="dxa" w:w="2268"/>
          </w:tcPr>
          <w:p>
            <w:pPr>
              <w:spacing w:after="40"/>
              <w:jc w:val="right"/>
            </w:pPr>
            <w:r/>
            <w:r>
              <w:rPr>
                <w:b w:val="0"/>
                <w:sz w:val="18"/>
              </w:rPr>
              <w:t>28,792</w:t>
            </w:r>
          </w:p>
        </w:tc>
        <w:tc>
          <w:tcPr>
            <w:tcW w:type="dxa" w:w="2268"/>
          </w:tcPr>
          <w:p>
            <w:pPr>
              <w:spacing w:after="40"/>
              <w:jc w:val="right"/>
            </w:pPr>
            <w:r/>
            <w:r>
              <w:rPr>
                <w:b w:val="0"/>
                <w:sz w:val="18"/>
              </w:rPr>
              <w:t>7,856</w:t>
            </w:r>
          </w:p>
        </w:tc>
        <w:tc>
          <w:tcPr>
            <w:tcW w:type="dxa" w:w="2268"/>
          </w:tcPr>
          <w:p>
            <w:pPr>
              <w:spacing w:after="40"/>
              <w:jc w:val="right"/>
            </w:pPr>
            <w:r/>
            <w:r>
              <w:rPr>
                <w:b w:val="0"/>
                <w:sz w:val="18"/>
              </w:rPr>
              <w:t>0</w:t>
            </w:r>
          </w:p>
        </w:tc>
      </w:tr>
      <w:tr>
        <w:trPr>
          <w:cantSplit/>
        </w:trPr>
        <w:tc>
          <w:tcPr>
            <w:tcW w:type="dxa" w:w="1701"/>
          </w:tcPr>
          <w:p>
            <w:pPr>
              <w:spacing w:after="40"/>
              <w:jc w:val="right"/>
            </w:pPr>
            <w:r/>
            <w:r>
              <w:rPr>
                <w:b w:val="0"/>
                <w:sz w:val="18"/>
              </w:rPr>
              <w:t>1.00</w:t>
            </w:r>
          </w:p>
        </w:tc>
        <w:tc>
          <w:tcPr>
            <w:tcW w:type="dxa" w:w="2268"/>
          </w:tcPr>
          <w:p>
            <w:pPr>
              <w:spacing w:after="40"/>
              <w:jc w:val="right"/>
            </w:pPr>
            <w:r/>
            <w:r>
              <w:rPr>
                <w:b w:val="0"/>
                <w:sz w:val="18"/>
              </w:rPr>
              <w:t>25,519</w:t>
            </w:r>
          </w:p>
        </w:tc>
        <w:tc>
          <w:tcPr>
            <w:tcW w:type="dxa" w:w="2268"/>
          </w:tcPr>
          <w:p>
            <w:pPr>
              <w:spacing w:after="40"/>
              <w:jc w:val="right"/>
            </w:pPr>
            <w:r/>
            <w:r>
              <w:rPr>
                <w:b w:val="0"/>
                <w:sz w:val="18"/>
              </w:rPr>
              <w:t>4,601</w:t>
            </w:r>
          </w:p>
        </w:tc>
        <w:tc>
          <w:tcPr>
            <w:tcW w:type="dxa" w:w="2268"/>
          </w:tcPr>
          <w:p>
            <w:pPr>
              <w:spacing w:after="40"/>
              <w:jc w:val="right"/>
            </w:pPr>
            <w:r/>
            <w:r>
              <w:rPr>
                <w:b w:val="0"/>
                <w:sz w:val="18"/>
              </w:rPr>
              <w:t>18</w:t>
            </w:r>
          </w:p>
        </w:tc>
      </w:tr>
      <w:tr>
        <w:trPr>
          <w:cantSplit/>
        </w:trPr>
        <w:tc>
          <w:tcPr>
            <w:tcW w:type="dxa" w:w="1701"/>
          </w:tcPr>
          <w:p>
            <w:pPr>
              <w:spacing w:after="40"/>
              <w:jc w:val="right"/>
            </w:pPr>
            <w:r/>
            <w:r>
              <w:rPr>
                <w:b w:val="0"/>
                <w:sz w:val="18"/>
              </w:rPr>
              <w:t>2.50</w:t>
            </w:r>
          </w:p>
        </w:tc>
        <w:tc>
          <w:tcPr>
            <w:tcW w:type="dxa" w:w="2268"/>
          </w:tcPr>
          <w:p>
            <w:pPr>
              <w:spacing w:after="40"/>
              <w:jc w:val="right"/>
            </w:pPr>
            <w:r/>
            <w:r>
              <w:rPr>
                <w:b w:val="0"/>
                <w:sz w:val="18"/>
              </w:rPr>
              <w:t>20,730</w:t>
            </w:r>
          </w:p>
        </w:tc>
        <w:tc>
          <w:tcPr>
            <w:tcW w:type="dxa" w:w="2268"/>
          </w:tcPr>
          <w:p>
            <w:pPr>
              <w:spacing w:after="40"/>
              <w:jc w:val="right"/>
            </w:pPr>
            <w:r/>
            <w:r>
              <w:rPr>
                <w:b w:val="0"/>
                <w:sz w:val="18"/>
              </w:rPr>
              <w:t>105</w:t>
            </w:r>
          </w:p>
        </w:tc>
        <w:tc>
          <w:tcPr>
            <w:tcW w:type="dxa" w:w="2268"/>
          </w:tcPr>
          <w:p>
            <w:pPr>
              <w:spacing w:after="40"/>
              <w:jc w:val="right"/>
            </w:pPr>
            <w:r/>
            <w:r>
              <w:rPr>
                <w:b w:val="0"/>
                <w:sz w:val="18"/>
              </w:rPr>
              <w:t>311</w:t>
            </w:r>
          </w:p>
        </w:tc>
      </w:tr>
    </w:tbl>
    <w:p/>
    <w:p>
      <w:r>
        <w:rPr>
          <w:b w:val="0"/>
          <w:i w:val="0"/>
        </w:rPr>
        <w:t>Measured on W10's 20,936 published pipes. The 311 loops we have been quoting exist only when the layer is squeezed hard enough to hide the fact that it is in 7,919 pieces. The step at exactly 1.00 m is our own stitcher: 91.4 % of its links stop 1.000 m short of what they join.</w:t>
      </w:r>
    </w:p>
    <w:p>
      <w:r>
        <w:rPr>
          <w:b/>
          <w:i w:val="0"/>
        </w:rPr>
        <w:t>The rule that follows is H16: every pipe publishes US_NODE and DS_NODE, and the declared graph must match the drawn geometry. Topology is written down, never inferred from geometry, because a tolerance is a guess about intent.</w:t>
      </w:r>
    </w:p>
    <w:p>
      <w:pPr>
        <w:pStyle w:val="Heading2"/>
        <w:outlineLvl w:val="2"/>
      </w:pPr>
      <w:r>
        <w:t>H15 forbade a design the TOR requires</w:t>
      </w:r>
    </w:p>
    <w:p>
      <w:r>
        <w:rPr>
          <w:b w:val="0"/>
          <w:i w:val="0"/>
        </w:rPr>
        <w:t>The auditor required exactly one connected component. Philosophy §8a contemplates satellite works and on-site systems, and the TOR requires every plot to be served - not that one network serve them. A correct design with a satellite works therefore failed a blocking check. H15 now reads: zero loops, and each component terminates at exactly one outfall. A satellite works is legal; a piece that drains nowhere never was.</w:t>
      </w:r>
    </w:p>
    <w:p>
      <w:pPr>
        <w:pStyle w:val="Heading1"/>
        <w:outlineLvl w:val="1"/>
      </w:pPr>
      <w:r>
        <w:t>The auditor's own defects</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567"/>
            <w:shd w:val="clear" w:color="auto" w:fill="1F3B63"/>
          </w:tcPr>
          <w:p>
            <w:pPr>
              <w:spacing w:after="40"/>
            </w:pPr>
            <w:r/>
            <w:r>
              <w:rPr>
                <w:b/>
                <w:color w:val="FFFFFF"/>
                <w:sz w:val="17"/>
              </w:rPr>
              <w:t>#</w:t>
            </w:r>
          </w:p>
        </w:tc>
        <w:tc>
          <w:tcPr>
            <w:tcW w:type="dxa" w:w="3515"/>
            <w:shd w:val="clear" w:color="auto" w:fill="1F3B63"/>
          </w:tcPr>
          <w:p>
            <w:pPr>
              <w:spacing w:after="40"/>
            </w:pPr>
            <w:r/>
            <w:r>
              <w:rPr>
                <w:b/>
                <w:color w:val="FFFFFF"/>
                <w:sz w:val="17"/>
              </w:rPr>
              <w:t>Defect</w:t>
            </w:r>
          </w:p>
        </w:tc>
        <w:tc>
          <w:tcPr>
            <w:tcW w:type="dxa" w:w="4989"/>
            <w:shd w:val="clear" w:color="auto" w:fill="1F3B63"/>
          </w:tcPr>
          <w:p>
            <w:pPr>
              <w:spacing w:after="40"/>
            </w:pPr>
            <w:r/>
            <w:r>
              <w:rPr>
                <w:b/>
                <w:color w:val="FFFFFF"/>
                <w:sz w:val="17"/>
              </w:rPr>
              <w:t>Consequence</w:t>
            </w:r>
          </w:p>
        </w:tc>
      </w:tr>
      <w:tr>
        <w:trPr>
          <w:cantSplit/>
        </w:trPr>
        <w:tc>
          <w:tcPr>
            <w:tcW w:type="dxa" w:w="567"/>
          </w:tcPr>
          <w:p>
            <w:pPr>
              <w:spacing w:after="40"/>
            </w:pPr>
            <w:r/>
            <w:r>
              <w:rPr>
                <w:b w:val="0"/>
                <w:sz w:val="17"/>
              </w:rPr>
              <w:t>1</w:t>
            </w:r>
          </w:p>
        </w:tc>
        <w:tc>
          <w:tcPr>
            <w:tcW w:type="dxa" w:w="3515"/>
          </w:tcPr>
          <w:p>
            <w:pPr>
              <w:spacing w:after="40"/>
            </w:pPr>
            <w:r/>
            <w:r>
              <w:rPr>
                <w:b w:val="0"/>
                <w:sz w:val="17"/>
              </w:rPr>
              <w:t>Outside-diameter allowance hardcoded at 0.10 m while criteria lay to 0.05 m</w:t>
            </w:r>
          </w:p>
        </w:tc>
        <w:tc>
          <w:tcPr>
            <w:tcW w:type="dxa" w:w="4989"/>
          </w:tcPr>
          <w:p>
            <w:pPr>
              <w:spacing w:after="40"/>
            </w:pPr>
            <w:r/>
            <w:r>
              <w:rPr>
                <w:b w:val="0"/>
                <w:sz w:val="17"/>
              </w:rPr>
              <w:t>Every reach 50 mm short of H3 at every diameter - a BLOCKING failure caused entirely by the auditor. W10's cover failure falls from 45.92 km to 34.78 km.</w:t>
            </w:r>
          </w:p>
        </w:tc>
      </w:tr>
      <w:tr>
        <w:trPr>
          <w:cantSplit/>
        </w:trPr>
        <w:tc>
          <w:tcPr>
            <w:tcW w:type="dxa" w:w="567"/>
          </w:tcPr>
          <w:p>
            <w:pPr>
              <w:spacing w:after="40"/>
            </w:pPr>
            <w:r/>
            <w:r>
              <w:rPr>
                <w:b w:val="0"/>
                <w:sz w:val="17"/>
              </w:rPr>
              <w:t>2</w:t>
            </w:r>
          </w:p>
        </w:tc>
        <w:tc>
          <w:tcPr>
            <w:tcW w:type="dxa" w:w="3515"/>
          </w:tcPr>
          <w:p>
            <w:pPr>
              <w:spacing w:after="40"/>
            </w:pPr>
            <w:r/>
            <w:r>
              <w:rPr>
                <w:b w:val="0"/>
                <w:sz w:val="17"/>
              </w:rPr>
              <w:t>GRADIENT_BY is 11 characters; a shapefile truncates at 10</w:t>
            </w:r>
          </w:p>
        </w:tc>
        <w:tc>
          <w:tcPr>
            <w:tcW w:type="dxa" w:w="4989"/>
          </w:tcPr>
          <w:p>
            <w:pPr>
              <w:spacing w:after="40"/>
            </w:pPr>
            <w:r/>
            <w:r>
              <w:rPr>
                <w:b w:val="0"/>
                <w:sz w:val="17"/>
              </w:rPr>
              <w:t>The check demanded a field that could never exist. Renamed GRAD_BY.</w:t>
            </w:r>
          </w:p>
        </w:tc>
      </w:tr>
      <w:tr>
        <w:trPr>
          <w:cantSplit/>
        </w:trPr>
        <w:tc>
          <w:tcPr>
            <w:tcW w:type="dxa" w:w="567"/>
          </w:tcPr>
          <w:p>
            <w:pPr>
              <w:spacing w:after="40"/>
            </w:pPr>
            <w:r/>
            <w:r>
              <w:rPr>
                <w:b w:val="0"/>
                <w:sz w:val="17"/>
              </w:rPr>
              <w:t>3</w:t>
            </w:r>
          </w:p>
        </w:tc>
        <w:tc>
          <w:tcPr>
            <w:tcW w:type="dxa" w:w="3515"/>
          </w:tcPr>
          <w:p>
            <w:pPr>
              <w:spacing w:after="40"/>
            </w:pPr>
            <w:r/>
            <w:r>
              <w:rPr>
                <w:b w:val="0"/>
                <w:sz w:val="17"/>
              </w:rPr>
              <w:t>Diameter floors keyed with spaces ("sub main")</w:t>
            </w:r>
          </w:p>
        </w:tc>
        <w:tc>
          <w:tcPr>
            <w:tcW w:type="dxa" w:w="4989"/>
          </w:tcPr>
          <w:p>
            <w:pPr>
              <w:spacing w:after="40"/>
            </w:pPr>
            <w:r/>
            <w:r>
              <w:rPr>
                <w:b w:val="0"/>
                <w:sz w:val="17"/>
              </w:rPr>
              <w:t>A dictionary miss returned None and the pipe was silently skipped. An unclassifiable tier now fails rather than passing quietly.</w:t>
            </w:r>
          </w:p>
        </w:tc>
      </w:tr>
      <w:tr>
        <w:trPr>
          <w:cantSplit/>
        </w:trPr>
        <w:tc>
          <w:tcPr>
            <w:tcW w:type="dxa" w:w="567"/>
          </w:tcPr>
          <w:p>
            <w:pPr>
              <w:spacing w:after="40"/>
            </w:pPr>
            <w:r/>
            <w:r>
              <w:rPr>
                <w:b w:val="0"/>
                <w:sz w:val="17"/>
              </w:rPr>
              <w:t>4</w:t>
            </w:r>
          </w:p>
        </w:tc>
        <w:tc>
          <w:tcPr>
            <w:tcW w:type="dxa" w:w="3515"/>
          </w:tcPr>
          <w:p>
            <w:pPr>
              <w:spacing w:after="40"/>
            </w:pPr>
            <w:r/>
            <w:r>
              <w:rPr>
                <w:b w:val="0"/>
                <w:sz w:val="17"/>
              </w:rPr>
              <w:t>Graph builder took geoms[0] of a MultiLineString</w:t>
            </w:r>
          </w:p>
        </w:tc>
        <w:tc>
          <w:tcPr>
            <w:tcW w:type="dxa" w:w="4989"/>
          </w:tcPr>
          <w:p>
            <w:pPr>
              <w:spacing w:after="40"/>
            </w:pPr>
            <w:r/>
            <w:r>
              <w:rPr>
                <w:b w:val="0"/>
                <w:sz w:val="17"/>
              </w:rPr>
              <w:t>A layer could look connected because half of it was invisible.</w:t>
            </w:r>
          </w:p>
        </w:tc>
      </w:tr>
      <w:tr>
        <w:trPr>
          <w:cantSplit/>
        </w:trPr>
        <w:tc>
          <w:tcPr>
            <w:tcW w:type="dxa" w:w="567"/>
          </w:tcPr>
          <w:p>
            <w:pPr>
              <w:spacing w:after="40"/>
            </w:pPr>
            <w:r/>
            <w:r>
              <w:rPr>
                <w:b w:val="0"/>
                <w:sz w:val="17"/>
              </w:rPr>
              <w:t>5</w:t>
            </w:r>
          </w:p>
        </w:tc>
        <w:tc>
          <w:tcPr>
            <w:tcW w:type="dxa" w:w="3515"/>
          </w:tcPr>
          <w:p>
            <w:pPr>
              <w:spacing w:after="40"/>
            </w:pPr>
            <w:r/>
            <w:r>
              <w:rPr>
                <w:b w:val="0"/>
                <w:sz w:val="17"/>
              </w:rPr>
              <w:t>R4 sampled the midpoint only</w:t>
            </w:r>
          </w:p>
        </w:tc>
        <w:tc>
          <w:tcPr>
            <w:tcW w:type="dxa" w:w="4989"/>
          </w:tcPr>
          <w:p>
            <w:pPr>
              <w:spacing w:after="40"/>
            </w:pPr>
            <w:r/>
            <w:r>
              <w:rPr>
                <w:b w:val="0"/>
                <w:sz w:val="17"/>
              </w:rPr>
              <w:t>Found 1,089 reaches on wadi ground where full-length sampling finds 1,766. It was missing 40 % of them.</w:t>
            </w:r>
          </w:p>
        </w:tc>
      </w:tr>
      <w:tr>
        <w:trPr>
          <w:cantSplit/>
        </w:trPr>
        <w:tc>
          <w:tcPr>
            <w:tcW w:type="dxa" w:w="567"/>
          </w:tcPr>
          <w:p>
            <w:pPr>
              <w:spacing w:after="40"/>
            </w:pPr>
            <w:r/>
            <w:r>
              <w:rPr>
                <w:b w:val="0"/>
                <w:sz w:val="17"/>
              </w:rPr>
              <w:t>6</w:t>
            </w:r>
          </w:p>
        </w:tc>
        <w:tc>
          <w:tcPr>
            <w:tcW w:type="dxa" w:w="3515"/>
          </w:tcPr>
          <w:p>
            <w:pPr>
              <w:spacing w:after="40"/>
            </w:pPr>
            <w:r/>
            <w:r>
              <w:rPr>
                <w:b w:val="0"/>
                <w:sz w:val="17"/>
              </w:rPr>
              <w:t>R4 scored nodata as a pass</w:t>
            </w:r>
          </w:p>
        </w:tc>
        <w:tc>
          <w:tcPr>
            <w:tcW w:type="dxa" w:w="4989"/>
          </w:tcPr>
          <w:p>
            <w:pPr>
              <w:spacing w:after="40"/>
            </w:pPr>
            <w:r/>
            <w:r>
              <w:rPr>
                <w:b w:val="0"/>
                <w:sz w:val="17"/>
              </w:rPr>
              <w:t>The grid's nodata is -9999.0, which IS finite, so even the finiteness guard let it through. Read properly, 51 % of samples have no answer.</w:t>
            </w:r>
          </w:p>
        </w:tc>
      </w:tr>
    </w:tbl>
    <w:p/>
    <w:p>
      <w:pPr>
        <w:spacing w:before="160" w:after="160"/>
        <w:ind w:left="170"/>
        <w:shd w:val="clear" w:color="auto" w:fill="EEF3FA"/>
        <w:pBdr>
          <w:top w:val="single" w:sz="6" w:space="6" w:color="D9A441"/>
          <w:left w:val="single" w:sz="6" w:space="6" w:color="D9A441"/>
          <w:bottom w:val="single" w:sz="6" w:space="6" w:color="D9A441"/>
          <w:right w:val="single" w:sz="6" w:space="6" w:color="D9A441"/>
        </w:pBdr>
      </w:pPr>
      <w:r>
        <w:rPr>
          <w:b/>
          <w:color w:val="2E629E"/>
          <w:sz w:val="20"/>
        </w:rPr>
        <w:t xml:space="preserve">The lesson worth keeping.  </w:t>
      </w:r>
      <w:r>
        <w:rPr>
          <w:sz w:val="20"/>
        </w:rPr>
        <w:t>Every one of these was found by two things disagreeing, never by review. The auditor and the criteria disagreed about wall thickness; the stage and the auditor disagreed about which reaches were on a wadi; the declared topology and the drawn geometry disagreed about connectivity. Where a stage now needs the auditor's answer it CALLS the auditor rather than re-implementing it, and where two samplers still differed at the boundary the stage asks the auditor which rows fail and removes exactly those.</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B</w:t>
      </w:r>
    </w:p>
    <w:p>
      <w:pPr>
        <w:spacing w:after="120"/>
        <w:jc w:val="center"/>
        <w:outlineLvl w:val="0"/>
      </w:pPr>
      <w:r>
        <w:rPr>
          <w:b/>
          <w:color w:val="1F3B63"/>
          <w:sz w:val="52"/>
        </w:rPr>
        <w:t>Where the design stands</w:t>
      </w:r>
    </w:p>
    <w:p>
      <w:pPr>
        <w:spacing w:after="0"/>
        <w:jc w:val="center"/>
        <w:pBdr>
          <w:bottom w:val="single" w:sz="8" w:space="4" w:color="2E629E"/>
        </w:pBdr>
      </w:pPr>
    </w:p>
    <w:p>
      <w:r>
        <w:br w:type="page"/>
      </w:r>
    </w:p>
    <w:p>
      <w:pPr>
        <w:pStyle w:val="Heading1"/>
        <w:outlineLvl w:val="1"/>
      </w:pPr>
      <w:r>
        <w:t>What runs, and what it produces</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928"/>
            <w:shd w:val="clear" w:color="auto" w:fill="1F3B63"/>
          </w:tcPr>
          <w:p>
            <w:pPr>
              <w:spacing w:after="40"/>
            </w:pPr>
            <w:r/>
            <w:r>
              <w:rPr>
                <w:b/>
                <w:color w:val="FFFFFF"/>
                <w:sz w:val="17"/>
              </w:rPr>
              <w:t>Stage</w:t>
            </w:r>
          </w:p>
        </w:tc>
        <w:tc>
          <w:tcPr>
            <w:tcW w:type="dxa" w:w="1134"/>
            <w:shd w:val="clear" w:color="auto" w:fill="1F3B63"/>
          </w:tcPr>
          <w:p>
            <w:pPr>
              <w:spacing w:after="40"/>
            </w:pPr>
            <w:r/>
            <w:r>
              <w:rPr>
                <w:b/>
                <w:color w:val="FFFFFF"/>
                <w:sz w:val="17"/>
              </w:rPr>
              <w:t>Status</w:t>
            </w:r>
          </w:p>
        </w:tc>
        <w:tc>
          <w:tcPr>
            <w:tcW w:type="dxa" w:w="6009"/>
            <w:shd w:val="clear" w:color="auto" w:fill="1F3B63"/>
          </w:tcPr>
          <w:p>
            <w:pPr>
              <w:spacing w:after="40"/>
            </w:pPr>
            <w:r/>
            <w:r>
              <w:rPr>
                <w:b/>
                <w:color w:val="FFFFFF"/>
                <w:sz w:val="17"/>
              </w:rPr>
              <w:t>Result</w:t>
            </w:r>
          </w:p>
        </w:tc>
      </w:tr>
      <w:tr>
        <w:trPr>
          <w:cantSplit/>
        </w:trPr>
        <w:tc>
          <w:tcPr>
            <w:tcW w:type="dxa" w:w="1928"/>
          </w:tcPr>
          <w:p>
            <w:pPr>
              <w:spacing w:after="40"/>
            </w:pPr>
            <w:r/>
            <w:r>
              <w:rPr>
                <w:b w:val="0"/>
                <w:sz w:val="17"/>
              </w:rPr>
              <w:t>1 scope</w:t>
            </w:r>
          </w:p>
        </w:tc>
        <w:tc>
          <w:tcPr>
            <w:tcW w:type="dxa" w:w="1134"/>
          </w:tcPr>
          <w:p>
            <w:pPr>
              <w:spacing w:after="40"/>
            </w:pPr>
            <w:r/>
            <w:r>
              <w:rPr>
                <w:b w:val="0"/>
                <w:sz w:val="17"/>
              </w:rPr>
              <w:t>runs</w:t>
            </w:r>
          </w:p>
        </w:tc>
        <w:tc>
          <w:tcPr>
            <w:tcW w:type="dxa" w:w="6009"/>
          </w:tcPr>
          <w:p>
            <w:pPr>
              <w:spacing w:after="40"/>
            </w:pPr>
            <w:r/>
            <w:r>
              <w:rPr>
                <w:b w:val="0"/>
                <w:sz w:val="17"/>
              </w:rPr>
              <w:t>187 settlements, every one on the central system. The G201-p80 25 km fall-back never fires - the furthest zero-load settlement is 6.34 km from the core.</w:t>
            </w:r>
          </w:p>
        </w:tc>
      </w:tr>
      <w:tr>
        <w:trPr>
          <w:cantSplit/>
        </w:trPr>
        <w:tc>
          <w:tcPr>
            <w:tcW w:type="dxa" w:w="1928"/>
          </w:tcPr>
          <w:p>
            <w:pPr>
              <w:spacing w:after="40"/>
            </w:pPr>
            <w:r/>
            <w:r>
              <w:rPr>
                <w:b w:val="0"/>
                <w:sz w:val="17"/>
              </w:rPr>
              <w:t>2 corridors</w:t>
            </w:r>
          </w:p>
        </w:tc>
        <w:tc>
          <w:tcPr>
            <w:tcW w:type="dxa" w:w="1134"/>
          </w:tcPr>
          <w:p>
            <w:pPr>
              <w:spacing w:after="40"/>
            </w:pPr>
            <w:r/>
            <w:r>
              <w:rPr>
                <w:b w:val="0"/>
                <w:sz w:val="17"/>
              </w:rPr>
              <w:t>runs</w:t>
            </w:r>
          </w:p>
        </w:tc>
        <w:tc>
          <w:tcPr>
            <w:tcW w:type="dxa" w:w="6009"/>
          </w:tcPr>
          <w:p>
            <w:pPr>
              <w:spacing w:after="40"/>
            </w:pPr>
            <w:r/>
            <w:r>
              <w:rPr>
                <w:b w:val="0"/>
                <w:sz w:val="17"/>
              </w:rPr>
              <w:t>25,122 corridors, 2,232.9 km, 784 components. 2,428 wadi crossings scheduled, 475 along-wadi runs deleted. 98.0 % of load-bearing plots have a corridor within 60 m.</w:t>
            </w:r>
          </w:p>
        </w:tc>
      </w:tr>
      <w:tr>
        <w:trPr>
          <w:cantSplit/>
        </w:trPr>
        <w:tc>
          <w:tcPr>
            <w:tcW w:type="dxa" w:w="1928"/>
          </w:tcPr>
          <w:p>
            <w:pPr>
              <w:spacing w:after="40"/>
            </w:pPr>
            <w:r/>
            <w:r>
              <w:rPr>
                <w:b w:val="0"/>
                <w:sz w:val="17"/>
              </w:rPr>
              <w:t>3 trunk</w:t>
            </w:r>
          </w:p>
        </w:tc>
        <w:tc>
          <w:tcPr>
            <w:tcW w:type="dxa" w:w="1134"/>
          </w:tcPr>
          <w:p>
            <w:pPr>
              <w:spacing w:after="40"/>
            </w:pPr>
            <w:r/>
            <w:r>
              <w:rPr>
                <w:b w:val="0"/>
                <w:sz w:val="17"/>
              </w:rPr>
              <w:t>runs</w:t>
            </w:r>
          </w:p>
        </w:tc>
        <w:tc>
          <w:tcPr>
            <w:tcW w:type="dxa" w:w="6009"/>
          </w:tcPr>
          <w:p>
            <w:pPr>
              <w:spacing w:after="40"/>
            </w:pPr>
            <w:r/>
            <w:r>
              <w:rPr>
                <w:b w:val="0"/>
                <w:sz w:val="17"/>
              </w:rPr>
              <w:t>85.55 km gravity, 758 chambers, DN200-1700, 73,442 m³/d and 1,350 L/s at the works, 3 pumping stations, deepest cover 11.86 m with nothing past the 12 m cap.</w:t>
            </w:r>
          </w:p>
        </w:tc>
      </w:tr>
      <w:tr>
        <w:trPr>
          <w:cantSplit/>
        </w:trPr>
        <w:tc>
          <w:tcPr>
            <w:tcW w:type="dxa" w:w="1928"/>
          </w:tcPr>
          <w:p>
            <w:pPr>
              <w:spacing w:after="40"/>
            </w:pPr>
            <w:r/>
            <w:r>
              <w:rPr>
                <w:b w:val="0"/>
                <w:sz w:val="17"/>
              </w:rPr>
              <w:t>4 hierarchy</w:t>
            </w:r>
          </w:p>
        </w:tc>
        <w:tc>
          <w:tcPr>
            <w:tcW w:type="dxa" w:w="1134"/>
          </w:tcPr>
          <w:p>
            <w:pPr>
              <w:spacing w:after="40"/>
            </w:pPr>
            <w:r/>
            <w:r>
              <w:rPr>
                <w:b w:val="0"/>
                <w:sz w:val="17"/>
              </w:rPr>
              <w:t>runs</w:t>
            </w:r>
          </w:p>
        </w:tc>
        <w:tc>
          <w:tcPr>
            <w:tcW w:type="dxa" w:w="6009"/>
          </w:tcPr>
          <w:p>
            <w:pPr>
              <w:spacing w:after="40"/>
            </w:pPr>
            <w:r/>
            <w:r>
              <w:rPr>
                <w:b w:val="0"/>
                <w:sz w:val="17"/>
              </w:rPr>
              <w:t>773 drainage systems. Trunk arrives in 74 pieces - a defect, see below.</w:t>
            </w:r>
          </w:p>
        </w:tc>
      </w:tr>
      <w:tr>
        <w:trPr>
          <w:cantSplit/>
        </w:trPr>
        <w:tc>
          <w:tcPr>
            <w:tcW w:type="dxa" w:w="1928"/>
          </w:tcPr>
          <w:p>
            <w:pPr>
              <w:spacing w:after="40"/>
            </w:pPr>
            <w:r/>
            <w:r>
              <w:rPr>
                <w:b w:val="0"/>
                <w:sz w:val="17"/>
              </w:rPr>
              <w:t>5 chambers</w:t>
            </w:r>
          </w:p>
        </w:tc>
        <w:tc>
          <w:tcPr>
            <w:tcW w:type="dxa" w:w="1134"/>
          </w:tcPr>
          <w:p>
            <w:pPr>
              <w:spacing w:after="40"/>
            </w:pPr>
            <w:r/>
            <w:r>
              <w:rPr>
                <w:b w:val="0"/>
                <w:sz w:val="17"/>
              </w:rPr>
              <w:t>runs</w:t>
            </w:r>
          </w:p>
        </w:tc>
        <w:tc>
          <w:tcPr>
            <w:tcW w:type="dxa" w:w="6009"/>
          </w:tcPr>
          <w:p>
            <w:pPr>
              <w:spacing w:after="40"/>
            </w:pPr>
            <w:r/>
            <w:r>
              <w:rPr>
                <w:b w:val="0"/>
                <w:sz w:val="17"/>
              </w:rPr>
              <w:t>50,033 chambers, 27.5 per km, 36 m mean spacing. 2,788 inlets under 90°.</w:t>
            </w:r>
          </w:p>
        </w:tc>
      </w:tr>
      <w:tr>
        <w:trPr>
          <w:cantSplit/>
        </w:trPr>
        <w:tc>
          <w:tcPr>
            <w:tcW w:type="dxa" w:w="1928"/>
          </w:tcPr>
          <w:p>
            <w:pPr>
              <w:spacing w:after="40"/>
            </w:pPr>
            <w:r/>
            <w:r>
              <w:rPr>
                <w:b w:val="0"/>
                <w:sz w:val="17"/>
              </w:rPr>
              <w:t>5b tertiary</w:t>
            </w:r>
          </w:p>
        </w:tc>
        <w:tc>
          <w:tcPr>
            <w:tcW w:type="dxa" w:w="1134"/>
          </w:tcPr>
          <w:p>
            <w:pPr>
              <w:spacing w:after="40"/>
            </w:pPr>
            <w:r/>
            <w:r>
              <w:rPr>
                <w:b w:val="0"/>
                <w:sz w:val="17"/>
              </w:rPr>
              <w:t>runs</w:t>
            </w:r>
          </w:p>
        </w:tc>
        <w:tc>
          <w:tcPr>
            <w:tcW w:type="dxa" w:w="6009"/>
          </w:tcPr>
          <w:p>
            <w:pPr>
              <w:spacing w:after="40"/>
            </w:pPr>
            <w:r/>
            <w:r>
              <w:rPr>
                <w:b w:val="0"/>
                <w:sz w:val="17"/>
              </w:rPr>
              <w:t>52,188 m³/d reaches a chamber (70 %); 22,513 m³/d over 24,554 plots does not.</w:t>
            </w:r>
          </w:p>
        </w:tc>
      </w:tr>
      <w:tr>
        <w:trPr>
          <w:cantSplit/>
        </w:trPr>
        <w:tc>
          <w:tcPr>
            <w:tcW w:type="dxa" w:w="1928"/>
          </w:tcPr>
          <w:p>
            <w:pPr>
              <w:spacing w:after="40"/>
            </w:pPr>
            <w:r/>
            <w:r>
              <w:rPr>
                <w:b w:val="0"/>
                <w:sz w:val="17"/>
              </w:rPr>
              <w:t>5c flows</w:t>
            </w:r>
          </w:p>
        </w:tc>
        <w:tc>
          <w:tcPr>
            <w:tcW w:type="dxa" w:w="1134"/>
          </w:tcPr>
          <w:p>
            <w:pPr>
              <w:spacing w:after="40"/>
            </w:pPr>
            <w:r/>
            <w:r>
              <w:rPr>
                <w:b w:val="0"/>
                <w:sz w:val="17"/>
              </w:rPr>
              <w:t>NEW</w:t>
            </w:r>
          </w:p>
        </w:tc>
        <w:tc>
          <w:tcPr>
            <w:tcW w:type="dxa" w:w="6009"/>
          </w:tcPr>
          <w:p>
            <w:pPr>
              <w:spacing w:after="40"/>
            </w:pPr>
            <w:r/>
            <w:r>
              <w:rPr>
                <w:b w:val="0"/>
                <w:sz w:val="17"/>
              </w:rPr>
              <w:t>49,274 reaches carry an accumulated flow; peak 140 L/s</w:t>
            </w:r>
          </w:p>
        </w:tc>
      </w:tr>
      <w:tr>
        <w:trPr>
          <w:cantSplit/>
        </w:trPr>
        <w:tc>
          <w:tcPr>
            <w:tcW w:type="dxa" w:w="1928"/>
          </w:tcPr>
          <w:p>
            <w:pPr>
              <w:spacing w:after="40"/>
            </w:pPr>
            <w:r/>
            <w:r>
              <w:rPr>
                <w:b w:val="0"/>
                <w:sz w:val="17"/>
              </w:rPr>
              <w:t>6 levels and sizes</w:t>
            </w:r>
          </w:p>
        </w:tc>
        <w:tc>
          <w:tcPr>
            <w:tcW w:type="dxa" w:w="1134"/>
          </w:tcPr>
          <w:p>
            <w:pPr>
              <w:spacing w:after="40"/>
            </w:pPr>
            <w:r/>
            <w:r>
              <w:rPr>
                <w:b w:val="0"/>
                <w:sz w:val="17"/>
              </w:rPr>
              <w:t>blocked</w:t>
            </w:r>
          </w:p>
        </w:tc>
        <w:tc>
          <w:tcPr>
            <w:tcW w:type="dxa" w:w="6009"/>
          </w:tcPr>
          <w:p>
            <w:pPr>
              <w:spacing w:after="40"/>
            </w:pPr>
            <w:r/>
            <w:r>
              <w:rPr>
                <w:b w:val="0"/>
                <w:sz w:val="17"/>
              </w:rPr>
              <w:t>waits on stage 5c.</w:t>
            </w:r>
          </w:p>
        </w:tc>
      </w:tr>
      <w:tr>
        <w:trPr>
          <w:cantSplit/>
        </w:trPr>
        <w:tc>
          <w:tcPr>
            <w:tcW w:type="dxa" w:w="1928"/>
          </w:tcPr>
          <w:p>
            <w:pPr>
              <w:spacing w:after="40"/>
            </w:pPr>
            <w:r/>
            <w:r>
              <w:rPr>
                <w:b w:val="0"/>
                <w:sz w:val="17"/>
              </w:rPr>
              <w:t>7 stations, 8 packages, 9 export</w:t>
            </w:r>
          </w:p>
        </w:tc>
        <w:tc>
          <w:tcPr>
            <w:tcW w:type="dxa" w:w="1134"/>
          </w:tcPr>
          <w:p>
            <w:pPr>
              <w:spacing w:after="40"/>
            </w:pPr>
            <w:r/>
            <w:r>
              <w:rPr>
                <w:b w:val="0"/>
                <w:sz w:val="17"/>
              </w:rPr>
              <w:t>blocked</w:t>
            </w:r>
          </w:p>
        </w:tc>
        <w:tc>
          <w:tcPr>
            <w:tcW w:type="dxa" w:w="6009"/>
          </w:tcPr>
          <w:p>
            <w:pPr>
              <w:spacing w:after="40"/>
            </w:pPr>
            <w:r/>
            <w:r>
              <w:rPr>
                <w:b w:val="0"/>
                <w:sz w:val="17"/>
              </w:rPr>
              <w:t>wait on stage 6.</w:t>
            </w:r>
          </w:p>
        </w:tc>
      </w:tr>
    </w:tbl>
    <w:p>
      <w:pPr>
        <w:pStyle w:val="Heading1"/>
        <w:outlineLvl w:val="1"/>
      </w:pPr>
      <w:r>
        <w:t>The trunk, measured rather than argued about</w:t>
      </w:r>
    </w:p>
    <w:p>
      <w:r>
        <w:rPr>
          <w:b w:val="0"/>
          <w:i w:val="0"/>
        </w:rPr>
        <w:t>Stage 4 had been reporting the trunk's fragmentation as one defect. Noding the same 85.5 km at 10 mm from each available source separates it into two:</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3969"/>
            <w:shd w:val="clear" w:color="auto" w:fill="1F3B63"/>
          </w:tcPr>
          <w:p>
            <w:pPr>
              <w:spacing w:after="40"/>
            </w:pPr>
            <w:r/>
            <w:r>
              <w:rPr>
                <w:b/>
                <w:color w:val="FFFFFF"/>
                <w:sz w:val="18"/>
              </w:rPr>
              <w:t>Source</w:t>
            </w:r>
          </w:p>
        </w:tc>
        <w:tc>
          <w:tcPr>
            <w:tcW w:type="dxa" w:w="1701"/>
            <w:shd w:val="clear" w:color="auto" w:fill="1F3B63"/>
          </w:tcPr>
          <w:p>
            <w:pPr>
              <w:spacing w:after="40"/>
            </w:pPr>
            <w:r/>
            <w:r>
              <w:rPr>
                <w:b/>
                <w:color w:val="FFFFFF"/>
                <w:sz w:val="18"/>
              </w:rPr>
              <w:t>Features</w:t>
            </w:r>
          </w:p>
        </w:tc>
        <w:tc>
          <w:tcPr>
            <w:tcW w:type="dxa" w:w="1701"/>
            <w:shd w:val="clear" w:color="auto" w:fill="1F3B63"/>
          </w:tcPr>
          <w:p>
            <w:pPr>
              <w:spacing w:after="40"/>
            </w:pPr>
            <w:r/>
            <w:r>
              <w:rPr>
                <w:b/>
                <w:color w:val="FFFFFF"/>
                <w:sz w:val="18"/>
              </w:rPr>
              <w:t>Length</w:t>
            </w:r>
          </w:p>
        </w:tc>
        <w:tc>
          <w:tcPr>
            <w:tcW w:type="dxa" w:w="1701"/>
            <w:shd w:val="clear" w:color="auto" w:fill="1F3B63"/>
          </w:tcPr>
          <w:p>
            <w:pPr>
              <w:spacing w:after="40"/>
            </w:pPr>
            <w:r/>
            <w:r>
              <w:rPr>
                <w:b/>
                <w:color w:val="FFFFFF"/>
                <w:sz w:val="18"/>
              </w:rPr>
              <w:t>Components</w:t>
            </w:r>
          </w:p>
        </w:tc>
      </w:tr>
      <w:tr>
        <w:trPr>
          <w:cantSplit/>
        </w:trPr>
        <w:tc>
          <w:tcPr>
            <w:tcW w:type="dxa" w:w="3969"/>
          </w:tcPr>
          <w:p>
            <w:pPr>
              <w:spacing w:after="40"/>
            </w:pPr>
            <w:r/>
            <w:r>
              <w:rPr>
                <w:b w:val="0"/>
                <w:sz w:val="18"/>
              </w:rPr>
              <w:t>The user's drawing, as given</w:t>
            </w:r>
          </w:p>
        </w:tc>
        <w:tc>
          <w:tcPr>
            <w:tcW w:type="dxa" w:w="1701"/>
          </w:tcPr>
          <w:p>
            <w:pPr>
              <w:spacing w:after="40"/>
              <w:jc w:val="right"/>
            </w:pPr>
            <w:r/>
            <w:r>
              <w:rPr>
                <w:b w:val="0"/>
                <w:sz w:val="18"/>
              </w:rPr>
              <w:t>54</w:t>
            </w:r>
          </w:p>
        </w:tc>
        <w:tc>
          <w:tcPr>
            <w:tcW w:type="dxa" w:w="1701"/>
          </w:tcPr>
          <w:p>
            <w:pPr>
              <w:spacing w:after="40"/>
              <w:jc w:val="right"/>
            </w:pPr>
            <w:r/>
            <w:r>
              <w:rPr>
                <w:b w:val="0"/>
                <w:sz w:val="18"/>
              </w:rPr>
              <w:t>85.5 km</w:t>
            </w:r>
          </w:p>
        </w:tc>
        <w:tc>
          <w:tcPr>
            <w:tcW w:type="dxa" w:w="1701"/>
          </w:tcPr>
          <w:p>
            <w:pPr>
              <w:spacing w:after="40"/>
              <w:jc w:val="right"/>
            </w:pPr>
            <w:r/>
            <w:r>
              <w:rPr>
                <w:b w:val="0"/>
                <w:sz w:val="18"/>
              </w:rPr>
              <w:t>3</w:t>
            </w:r>
          </w:p>
        </w:tc>
      </w:tr>
      <w:tr>
        <w:trPr>
          <w:cantSplit/>
        </w:trPr>
        <w:tc>
          <w:tcPr>
            <w:tcW w:type="dxa" w:w="3969"/>
          </w:tcPr>
          <w:p>
            <w:pPr>
              <w:spacing w:after="40"/>
            </w:pPr>
            <w:r/>
            <w:r>
              <w:rPr>
                <w:b w:val="0"/>
                <w:sz w:val="18"/>
              </w:rPr>
              <w:t>Stage 3's designed trunk</w:t>
            </w:r>
          </w:p>
        </w:tc>
        <w:tc>
          <w:tcPr>
            <w:tcW w:type="dxa" w:w="1701"/>
          </w:tcPr>
          <w:p>
            <w:pPr>
              <w:spacing w:after="40"/>
              <w:jc w:val="right"/>
            </w:pPr>
            <w:r/>
            <w:r>
              <w:rPr>
                <w:b w:val="0"/>
                <w:sz w:val="18"/>
              </w:rPr>
              <w:t>754</w:t>
            </w:r>
          </w:p>
        </w:tc>
        <w:tc>
          <w:tcPr>
            <w:tcW w:type="dxa" w:w="1701"/>
          </w:tcPr>
          <w:p>
            <w:pPr>
              <w:spacing w:after="40"/>
              <w:jc w:val="right"/>
            </w:pPr>
            <w:r/>
            <w:r>
              <w:rPr>
                <w:b w:val="0"/>
                <w:sz w:val="18"/>
              </w:rPr>
              <w:t>85.5 km</w:t>
            </w:r>
          </w:p>
        </w:tc>
        <w:tc>
          <w:tcPr>
            <w:tcW w:type="dxa" w:w="1701"/>
          </w:tcPr>
          <w:p>
            <w:pPr>
              <w:spacing w:after="40"/>
              <w:jc w:val="right"/>
            </w:pPr>
            <w:r/>
            <w:r>
              <w:rPr>
                <w:b w:val="0"/>
                <w:sz w:val="18"/>
              </w:rPr>
              <w:t>4</w:t>
            </w:r>
          </w:p>
        </w:tc>
      </w:tr>
      <w:tr>
        <w:trPr>
          <w:cantSplit/>
        </w:trPr>
        <w:tc>
          <w:tcPr>
            <w:tcW w:type="dxa" w:w="3969"/>
          </w:tcPr>
          <w:p>
            <w:pPr>
              <w:spacing w:after="40"/>
            </w:pPr>
            <w:r/>
            <w:r>
              <w:rPr>
                <w:b w:val="0"/>
                <w:sz w:val="18"/>
              </w:rPr>
              <w:t>Stage 2 corridors, SRC = main_pipe</w:t>
            </w:r>
          </w:p>
        </w:tc>
        <w:tc>
          <w:tcPr>
            <w:tcW w:type="dxa" w:w="1701"/>
          </w:tcPr>
          <w:p>
            <w:pPr>
              <w:spacing w:after="40"/>
              <w:jc w:val="right"/>
            </w:pPr>
            <w:r/>
            <w:r>
              <w:rPr>
                <w:b w:val="0"/>
                <w:sz w:val="18"/>
              </w:rPr>
              <w:t>667</w:t>
            </w:r>
          </w:p>
        </w:tc>
        <w:tc>
          <w:tcPr>
            <w:tcW w:type="dxa" w:w="1701"/>
          </w:tcPr>
          <w:p>
            <w:pPr>
              <w:spacing w:after="40"/>
              <w:jc w:val="right"/>
            </w:pPr>
            <w:r/>
            <w:r>
              <w:rPr>
                <w:b w:val="0"/>
                <w:sz w:val="18"/>
              </w:rPr>
              <w:t>80.5 km</w:t>
            </w:r>
          </w:p>
        </w:tc>
        <w:tc>
          <w:tcPr>
            <w:tcW w:type="dxa" w:w="1701"/>
          </w:tcPr>
          <w:p>
            <w:pPr>
              <w:spacing w:after="40"/>
              <w:jc w:val="right"/>
            </w:pPr>
            <w:r/>
            <w:r>
              <w:rPr>
                <w:b w:val="0"/>
                <w:sz w:val="18"/>
              </w:rPr>
              <w:t>58</w:t>
            </w:r>
          </w:p>
        </w:tc>
      </w:tr>
    </w:tbl>
    <w:p/>
    <w:p>
      <w:pPr>
        <w:pStyle w:val="ListBullet"/>
        <w:spacing w:after="60"/>
        <w:ind w:left="340"/>
      </w:pPr>
      <w:r>
        <w:rPr>
          <w:b/>
        </w:rPr>
        <w:t>First,</w:t>
      </w:r>
      <w:r>
        <w:t>the corridor treatment shreds the trunk from 3 pieces to 58 and loses 5.0 km of it, which is a stage 2 defect and not an alignment one;</w:t>
      </w:r>
    </w:p>
    <w:p>
      <w:pPr>
        <w:pStyle w:val="ListBullet"/>
        <w:spacing w:after="60"/>
        <w:ind w:left="340"/>
      </w:pPr>
      <w:r>
        <w:rPr>
          <w:b/>
        </w:rPr>
        <w:t>Second,</w:t>
      </w:r>
      <w:r>
        <w:t>stage 4 then takes a 4-piece trunk to 74, because the trunk's chamber coordinates do not coincide with the corridor node set it is matched into. Raised as OPEN-S4-1.</w:t>
      </w:r>
    </w:p>
    <w:p/>
    <w:p>
      <w:r>
        <w:rPr>
          <w:b/>
          <w:i w:val="0"/>
        </w:rPr>
        <w:t>Until one of those is fixed, the drainage-system count is an artefact of the mismatch and not a design result. The report says so rather than letting 773 stand as a finding.</w:t>
      </w:r>
    </w:p>
    <w:p>
      <w:pPr>
        <w:pStyle w:val="Heading1"/>
        <w:outlineLvl w:val="1"/>
      </w:pPr>
      <w:r>
        <w:t>Defects that are real and still open</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608"/>
            <w:shd w:val="clear" w:color="auto" w:fill="1F3B63"/>
          </w:tcPr>
          <w:p>
            <w:pPr>
              <w:spacing w:after="40"/>
            </w:pPr>
            <w:r/>
            <w:r>
              <w:rPr>
                <w:b/>
                <w:color w:val="FFFFFF"/>
                <w:sz w:val="17"/>
              </w:rPr>
              <w:t>What</w:t>
            </w:r>
          </w:p>
        </w:tc>
        <w:tc>
          <w:tcPr>
            <w:tcW w:type="dxa" w:w="1928"/>
            <w:shd w:val="clear" w:color="auto" w:fill="1F3B63"/>
          </w:tcPr>
          <w:p>
            <w:pPr>
              <w:spacing w:after="40"/>
            </w:pPr>
            <w:r/>
            <w:r>
              <w:rPr>
                <w:b/>
                <w:color w:val="FFFFFF"/>
                <w:sz w:val="17"/>
              </w:rPr>
              <w:t>Size</w:t>
            </w:r>
          </w:p>
        </w:tc>
        <w:tc>
          <w:tcPr>
            <w:tcW w:type="dxa" w:w="4535"/>
            <w:shd w:val="clear" w:color="auto" w:fill="1F3B63"/>
          </w:tcPr>
          <w:p>
            <w:pPr>
              <w:spacing w:after="40"/>
            </w:pPr>
            <w:r/>
            <w:r>
              <w:rPr>
                <w:b/>
                <w:color w:val="FFFFFF"/>
                <w:sz w:val="17"/>
              </w:rPr>
              <w:t>Why it matters</w:t>
            </w:r>
          </w:p>
        </w:tc>
      </w:tr>
      <w:tr>
        <w:trPr>
          <w:cantSplit/>
        </w:trPr>
        <w:tc>
          <w:tcPr>
            <w:tcW w:type="dxa" w:w="2608"/>
          </w:tcPr>
          <w:p>
            <w:pPr>
              <w:spacing w:after="40"/>
            </w:pPr>
            <w:r/>
            <w:r>
              <w:rPr>
                <w:b w:val="0"/>
                <w:sz w:val="17"/>
              </w:rPr>
              <w:t>Chambers on wadi ground</w:t>
            </w:r>
          </w:p>
        </w:tc>
        <w:tc>
          <w:tcPr>
            <w:tcW w:type="dxa" w:w="1928"/>
          </w:tcPr>
          <w:p>
            <w:pPr>
              <w:spacing w:after="40"/>
            </w:pPr>
            <w:r/>
            <w:r>
              <w:rPr>
                <w:b w:val="0"/>
                <w:sz w:val="17"/>
              </w:rPr>
              <w:t>1,051</w:t>
            </w:r>
          </w:p>
        </w:tc>
        <w:tc>
          <w:tcPr>
            <w:tcW w:type="dxa" w:w="4535"/>
          </w:tcPr>
          <w:p>
            <w:pPr>
              <w:spacing w:after="40"/>
            </w:pPr>
            <w:r/>
            <w:r>
              <w:rPr>
                <w:b w:val="0"/>
                <w:sz w:val="17"/>
              </w:rPr>
              <w:t>H1a item 2 admits no exemption for a chamber, on a crossing or anywhere else (G201-p86). Each must be re-sited.</w:t>
            </w:r>
          </w:p>
        </w:tc>
      </w:tr>
      <w:tr>
        <w:trPr>
          <w:cantSplit/>
        </w:trPr>
        <w:tc>
          <w:tcPr>
            <w:tcW w:type="dxa" w:w="2608"/>
          </w:tcPr>
          <w:p>
            <w:pPr>
              <w:spacing w:after="40"/>
            </w:pPr>
            <w:r/>
            <w:r>
              <w:rPr>
                <w:b w:val="0"/>
                <w:sz w:val="17"/>
              </w:rPr>
              <w:t>Plots outside the 45 m tertiary limit</w:t>
            </w:r>
          </w:p>
        </w:tc>
        <w:tc>
          <w:tcPr>
            <w:tcW w:type="dxa" w:w="1928"/>
          </w:tcPr>
          <w:p>
            <w:pPr>
              <w:spacing w:after="40"/>
            </w:pPr>
            <w:r/>
            <w:r>
              <w:rPr>
                <w:b w:val="0"/>
                <w:sz w:val="17"/>
              </w:rPr>
              <w:t>24,554 plots, 22,513 m³/d</w:t>
            </w:r>
          </w:p>
        </w:tc>
        <w:tc>
          <w:tcPr>
            <w:tcW w:type="dxa" w:w="4535"/>
          </w:tcPr>
          <w:p>
            <w:pPr>
              <w:spacing w:after="40"/>
            </w:pPr>
            <w:r/>
            <w:r>
              <w:rPr>
                <w:b w:val="0"/>
                <w:sz w:val="17"/>
              </w:rPr>
              <w:t>30 % of the load has no compliant connection. The limit is G203-p22 Table 6 and is not negotiable, so the answer is more chambers or a different connection strategy - see Part C.</w:t>
            </w:r>
          </w:p>
        </w:tc>
      </w:tr>
      <w:tr>
        <w:trPr>
          <w:cantSplit/>
        </w:trPr>
        <w:tc>
          <w:tcPr>
            <w:tcW w:type="dxa" w:w="2608"/>
          </w:tcPr>
          <w:p>
            <w:pPr>
              <w:spacing w:after="40"/>
            </w:pPr>
            <w:r/>
            <w:r>
              <w:rPr>
                <w:b w:val="0"/>
                <w:sz w:val="17"/>
              </w:rPr>
              <w:t>Inlets under 90°</w:t>
            </w:r>
          </w:p>
        </w:tc>
        <w:tc>
          <w:tcPr>
            <w:tcW w:type="dxa" w:w="1928"/>
          </w:tcPr>
          <w:p>
            <w:pPr>
              <w:spacing w:after="40"/>
            </w:pPr>
            <w:r/>
            <w:r>
              <w:rPr>
                <w:b w:val="0"/>
                <w:sz w:val="17"/>
              </w:rPr>
              <w:t>2,788</w:t>
            </w:r>
          </w:p>
        </w:tc>
        <w:tc>
          <w:tcPr>
            <w:tcW w:type="dxa" w:w="4535"/>
          </w:tcPr>
          <w:p>
            <w:pPr>
              <w:spacing w:after="40"/>
            </w:pPr>
            <w:r/>
            <w:r>
              <w:rPr>
                <w:b w:val="0"/>
                <w:sz w:val="17"/>
              </w:rPr>
              <w:t>H10 / G203-p30. Each needs a purpose-made chamber with a swept channel.</w:t>
            </w:r>
          </w:p>
        </w:tc>
      </w:tr>
      <w:tr>
        <w:trPr>
          <w:cantSplit/>
        </w:trPr>
        <w:tc>
          <w:tcPr>
            <w:tcW w:type="dxa" w:w="2608"/>
          </w:tcPr>
          <w:p>
            <w:pPr>
              <w:spacing w:after="40"/>
            </w:pPr>
            <w:r/>
            <w:r>
              <w:rPr>
                <w:b w:val="0"/>
                <w:sz w:val="17"/>
              </w:rPr>
              <w:t>Network reaching no trunk</w:t>
            </w:r>
          </w:p>
        </w:tc>
        <w:tc>
          <w:tcPr>
            <w:tcW w:type="dxa" w:w="1928"/>
          </w:tcPr>
          <w:p>
            <w:pPr>
              <w:spacing w:after="40"/>
            </w:pPr>
            <w:r/>
            <w:r>
              <w:rPr>
                <w:b w:val="0"/>
                <w:sz w:val="17"/>
              </w:rPr>
              <w:t>729 km, 40 %</w:t>
            </w:r>
          </w:p>
        </w:tc>
        <w:tc>
          <w:tcPr>
            <w:tcW w:type="dxa" w:w="4535"/>
          </w:tcPr>
          <w:p>
            <w:pPr>
              <w:spacing w:after="40"/>
            </w:pPr>
            <w:r/>
            <w:r>
              <w:rPr>
                <w:b w:val="0"/>
                <w:sz w:val="17"/>
              </w:rPr>
              <w:t>Drains to a provisional outfall. Mostly a consequence of the trunk fragmentation above.</w:t>
            </w:r>
          </w:p>
        </w:tc>
      </w:tr>
      <w:tr>
        <w:trPr>
          <w:cantSplit/>
        </w:trPr>
        <w:tc>
          <w:tcPr>
            <w:tcW w:type="dxa" w:w="2608"/>
          </w:tcPr>
          <w:p>
            <w:pPr>
              <w:spacing w:after="40"/>
            </w:pPr>
            <w:r/>
            <w:r>
              <w:rPr>
                <w:b w:val="0"/>
                <w:sz w:val="17"/>
              </w:rPr>
              <w:t>Trunk on a dual carriageway</w:t>
            </w:r>
          </w:p>
        </w:tc>
        <w:tc>
          <w:tcPr>
            <w:tcW w:type="dxa" w:w="1928"/>
          </w:tcPr>
          <w:p>
            <w:pPr>
              <w:spacing w:after="40"/>
            </w:pPr>
            <w:r/>
            <w:r>
              <w:rPr>
                <w:b w:val="0"/>
                <w:sz w:val="17"/>
              </w:rPr>
              <w:t>535 m over 10 reaches</w:t>
            </w:r>
          </w:p>
        </w:tc>
        <w:tc>
          <w:tcPr>
            <w:tcW w:type="dxa" w:w="4535"/>
          </w:tcPr>
          <w:p>
            <w:pPr>
              <w:spacing w:after="40"/>
            </w:pPr>
            <w:r/>
            <w:r>
              <w:rPr>
                <w:b w:val="0"/>
                <w:sz w:val="17"/>
              </w:rPr>
              <w:t>A defect of the INPUT alignment. The main pipe is an input, so this needs the client's decision, not a re-route by us.</w:t>
            </w:r>
          </w:p>
        </w:tc>
      </w:tr>
      <w:tr>
        <w:trPr>
          <w:cantSplit/>
        </w:trPr>
        <w:tc>
          <w:tcPr>
            <w:tcW w:type="dxa" w:w="2608"/>
          </w:tcPr>
          <w:p>
            <w:pPr>
              <w:spacing w:after="40"/>
            </w:pPr>
            <w:r/>
            <w:r>
              <w:rPr>
                <w:b w:val="0"/>
                <w:sz w:val="17"/>
              </w:rPr>
              <w:t>Trunk on wadi ground</w:t>
            </w:r>
          </w:p>
        </w:tc>
        <w:tc>
          <w:tcPr>
            <w:tcW w:type="dxa" w:w="1928"/>
          </w:tcPr>
          <w:p>
            <w:pPr>
              <w:spacing w:after="40"/>
            </w:pPr>
            <w:r/>
            <w:r>
              <w:rPr>
                <w:b w:val="0"/>
                <w:sz w:val="17"/>
              </w:rPr>
              <w:t>10.98 km over 152 reaches</w:t>
            </w:r>
          </w:p>
        </w:tc>
        <w:tc>
          <w:tcPr>
            <w:tcW w:type="dxa" w:w="4535"/>
          </w:tcPr>
          <w:p>
            <w:pPr>
              <w:spacing w:after="40"/>
            </w:pPr>
            <w:r/>
            <w:r>
              <w:rPr>
                <w:b w:val="0"/>
                <w:sz w:val="17"/>
              </w:rPr>
              <w:t>Measured before H1a. Most is likely to classify as legal crossings once stage 3 applies the same test - it does not yet.</w:t>
            </w:r>
          </w:p>
        </w:tc>
      </w:tr>
    </w:tbl>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C</w:t>
      </w:r>
    </w:p>
    <w:p>
      <w:pPr>
        <w:spacing w:after="120"/>
        <w:jc w:val="center"/>
        <w:outlineLvl w:val="0"/>
      </w:pPr>
      <w:r>
        <w:rPr>
          <w:b/>
          <w:color w:val="1F3B63"/>
          <w:sz w:val="52"/>
        </w:rPr>
        <w:t>What I would do, and why</w:t>
      </w:r>
    </w:p>
    <w:p>
      <w:pPr>
        <w:spacing w:after="0"/>
        <w:jc w:val="center"/>
        <w:pBdr>
          <w:bottom w:val="single" w:sz="8" w:space="4" w:color="2E629E"/>
        </w:pBdr>
      </w:pPr>
    </w:p>
    <w:p>
      <w:r>
        <w:br w:type="page"/>
      </w:r>
    </w:p>
    <w:p>
      <w:pPr>
        <w:pStyle w:val="Heading1"/>
        <w:outlineLvl w:val="1"/>
      </w:pPr>
      <w:r>
        <w:t>On BAT: do not choose, carry both</w:t>
      </w:r>
    </w:p>
    <w:p>
      <w:r>
        <w:rPr>
          <w:b/>
          <w:i w:val="0"/>
        </w:rPr>
        <w:t>2,231 properties and 1,752 m³/d sit 22-25 km from the core, above every decentralised ceiling in the guidelines and below the density that makes conveyance obviously right. My recommendation is to carry BOTH a conveyance option and a satellite works into the options appraisal rather than deciding here.</w:t>
      </w:r>
    </w:p>
    <w:p>
      <w:r>
        <w:rPr>
          <w:b w:val="0"/>
          <w:i w:val="0"/>
        </w:rPr>
        <w:t>The reasoning is not indecision. The options doctrine already requires three options per system appraised over seven criteria on a 25-year life-cycle cost at 5 %, with NWS setting the weights. Choosing between conveyance and a satellite works on engineering judgement now would pre-empt exactly the comparison that process exists to make, and it would do so before we have the two inputs that decide it: a confirmed treated-effluent demand near those settlements, and the operating-cost basis NWS want used.</w:t>
      </w:r>
    </w:p>
    <w:p>
      <w:r>
        <w:rPr>
          <w:b w:val="0"/>
          <w:i w:val="0"/>
        </w:rPr>
        <w:t>There is also a specific reason to distrust an early decision here. Manning is roughly 86 % of a pumping station's life-cycle cost and energy about 0.4 %. Any comparison that ranks options on energy or on capital alone will get this question wrong, and a satellite works adds an operating point - which is the expensive kind of cost, not the cheap kind.</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trap to avoid.  </w:t>
      </w:r>
      <w:r>
        <w:rPr>
          <w:sz w:val="20"/>
        </w:rPr>
        <w:t>A satellite works looks cheap on a spreadsheet that counts pipe and pumps and does not count an operator visiting a second site for twenty-five years. Price the visits, or the comparison is decided by whichever cost we forgot.</w:t>
      </w:r>
    </w:p>
    <w:p>
      <w:pPr>
        <w:pStyle w:val="Heading1"/>
        <w:outlineLvl w:val="1"/>
      </w:pPr>
      <w:r>
        <w:t>The recommendations, ranked by what they change</w:t>
      </w:r>
    </w:p>
    <w:p>
      <w:pPr>
        <w:spacing w:after="60"/>
        <w:ind w:left="510" w:hanging="510"/>
      </w:pPr>
      <w:r>
        <w:rPr>
          <w:b/>
        </w:rPr>
        <w:t xml:space="preserve">1.   </w:t>
      </w:r>
      <w:r>
        <w:rPr>
          <w:b/>
        </w:rPr>
        <w:t>Get full-coverage flood mapping.</w:t>
      </w:r>
      <w:r>
        <w:t>51 % of the network has no wadi answer either way. Every layout decision we make about wadis today is provisional on half the area. This is a data request to NWS / MoAFWR, it is cheap relative to what it de-risks, and nothing else on this list unblocks as much.</w:t>
      </w:r>
    </w:p>
    <w:p>
      <w:pPr>
        <w:spacing w:after="60"/>
        <w:ind w:left="510" w:hanging="510"/>
      </w:pPr>
      <w:r>
        <w:rPr>
          <w:b/>
        </w:rPr>
        <w:t xml:space="preserve">2.   </w:t>
      </w:r>
      <w:r>
        <w:rPr>
          <w:b/>
        </w:rPr>
        <w:t>Get NWS to confirm the design tractive stress.</w:t>
      </w:r>
      <w:r>
        <w:t>97 % of the network's self-cleansing rests on the tractive route because no legal gradient makes a lightly loaded DN200 reach 0.75 m/s. The guideline gives no value for τ; we assume 1.0 Pa (GAP-9). At 2.0 Pa the required gradient rises by a factor of 2.35, which changes depths, changes pumping, and changes the cost of the whole scheme. This is the largest single hydraulic assumption in the design and it is one question to one client.</w:t>
      </w:r>
    </w:p>
    <w:p>
      <w:pPr>
        <w:spacing w:after="60"/>
        <w:ind w:left="510" w:hanging="510"/>
      </w:pPr>
      <w:r>
        <w:rPr>
          <w:b/>
        </w:rPr>
        <w:t xml:space="preserve">3.   </w:t>
      </w:r>
      <w:r>
        <w:rPr>
          <w:b/>
        </w:rPr>
        <w:t>Get the existing works inlet invert.</w:t>
      </w:r>
      <w:r>
        <w:t>H14 says an existing structure's invert is fixed and the design yields to it, soffit to soffit. Without it the trunk is laid to its own level - currently 319.94 m aOD, 8.78 m below ground at the works - and that level is published for confirmation rather than agreed. If it is wrong, it is wrong at the deepest and most expensive end of the scheme.</w:t>
      </w:r>
    </w:p>
    <w:p>
      <w:pPr>
        <w:spacing w:after="60"/>
        <w:ind w:left="510" w:hanging="510"/>
      </w:pPr>
      <w:r>
        <w:rPr>
          <w:b/>
        </w:rPr>
        <w:t xml:space="preserve">4.   </w:t>
      </w:r>
      <w:r>
        <w:rPr>
          <w:b/>
        </w:rPr>
        <w:t>Make stage 3 design on the corridor graph.</w:t>
      </w:r>
      <w:r>
        <w:t>The trunk is the one alignment where fragmentation is fatal rather than untidy, and it is currently designed on one geometry and consumed on another. Either stage 3 designs on the corridor node set or stage 4 snaps the trunk into it. Until then the drainage-system count is not a design result.</w:t>
      </w:r>
    </w:p>
    <w:p>
      <w:pPr>
        <w:spacing w:after="60"/>
        <w:ind w:left="510" w:hanging="510"/>
      </w:pPr>
      <w:r>
        <w:rPr>
          <w:b/>
        </w:rPr>
        <w:t xml:space="preserve">5.   </w:t>
      </w:r>
      <w:r>
        <w:rPr>
          <w:b/>
        </w:rPr>
        <w:t>Solve the 45 m tertiary problem deliberately, not by adding chambers everywhere.</w:t>
      </w:r>
      <w:r>
        <w:t>30 % of the load currently has no compliant connection. Mean chamber spacing is already 36 m, so the failures are not caused by coarse spacing in general - they are plots whose offset to the carrier eats most of the 45 m budget before the run along the carrier starts. The honest options are a chamber placed for the plot rather than for the run, a shared connection where G203 allows it, or a recorded decision that a particular frontage is not served. Adding chambers uniformly would buy compliance with maintenance cost we do not need.</w:t>
      </w:r>
    </w:p>
    <w:p>
      <w:pPr>
        <w:spacing w:after="60"/>
        <w:ind w:left="510" w:hanging="510"/>
      </w:pPr>
      <w:r>
        <w:rPr>
          <w:b/>
        </w:rPr>
        <w:t xml:space="preserve">6.   </w:t>
      </w:r>
      <w:r>
        <w:rPr>
          <w:b/>
        </w:rPr>
        <w:t>Re-site the 1,051 chambers on wadi ground before anything downstream reads them.</w:t>
      </w:r>
      <w:r>
        <w:t>This one has no argument on the other side. G201-p86 is explicit, and a chamber in a wadi bed is the failure mode that takes the network out of service in the event it was designed for.</w:t>
      </w:r>
    </w:p>
    <w:p>
      <w:pPr>
        <w:spacing w:after="60"/>
        <w:ind w:left="510" w:hanging="510"/>
      </w:pPr>
      <w:r>
        <w:rPr>
          <w:b/>
        </w:rPr>
        <w:t xml:space="preserve">7.   </w:t>
      </w:r>
      <w:r>
        <w:rPr>
          <w:b/>
        </w:rPr>
        <w:t>Extend the diameter series, once, with NWS confirmation.</w:t>
      </w:r>
      <w:r>
        <w:t>criteria.DN_SERIES stops at DN1200 and the trunk needs more. The sizes above it used here - 1400 / 1700 / 1800 / 2000 / 2400 - are the ones G203-p32 Table 13, p35 Table 15 and p30 Table 12 print, so this is a confirmation rather than a derivation. Change it in one place.</w:t>
      </w:r>
    </w:p>
    <w:p>
      <w:pPr>
        <w:spacing w:after="60"/>
        <w:ind w:left="510" w:hanging="510"/>
      </w:pPr>
      <w:r>
        <w:rPr>
          <w:b/>
        </w:rPr>
        <w:t xml:space="preserve">8.   </w:t>
      </w:r>
      <w:r>
        <w:rPr>
          <w:b/>
        </w:rPr>
        <w:t>Do not oversize to lay flatter, whatever the depth savings look like.</w:t>
      </w:r>
      <w:r>
        <w:t>G203-p29 says sewers shall not be oversized to facilitate flatter slopes, and Ten States §33.43 says the same independently. This was tested as an optimisation in W10, it is the single largest lever available on depth and pumping, and it is prohibited. It will be proposed again by someone looking at the depth histogram; the answer is no.</w:t>
      </w:r>
    </w:p>
    <w:p>
      <w:pPr>
        <w:pStyle w:val="Heading1"/>
        <w:outlineLvl w:val="1"/>
      </w:pPr>
      <w:r>
        <w:t>Two things I would not do</w:t>
      </w:r>
    </w:p>
    <w:p>
      <w:pPr>
        <w:pStyle w:val="ListBullet"/>
        <w:spacing w:after="60"/>
        <w:ind w:left="340"/>
      </w:pPr>
      <w:r>
        <w:rPr>
          <w:b/>
        </w:rPr>
        <w:t>Do not optimise for the number of pumping stations.</w:t>
      </w:r>
      <w:r>
        <w:t>Station count is a poor objective. A STRICTER depth limit can produce FEWER stations, because the solver resets shallower and the next breach arrives later. Total lift is the honest measure, and it is what the life-cycle cost reads.</w:t>
      </w:r>
    </w:p>
    <w:p>
      <w:pPr>
        <w:pStyle w:val="ListBullet"/>
        <w:spacing w:after="60"/>
        <w:ind w:left="340"/>
      </w:pPr>
      <w:r>
        <w:rPr>
          <w:b/>
        </w:rPr>
        <w:t>Do not treat agreement with the as-built averages as validation.</w:t>
      </w:r>
      <w:r>
        <w:t>Their gradients and depths match ours closely, and that agreement says the hydraulics are right and nothing at all about whether the layout is buildable. The hierarchy is invisible in gradient and depth statistics. Copy the as-built's shape and its packaging; do not copy its sizing - a significant fraction of its pipes cannot pass today's peak flow.</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D</w:t>
      </w:r>
    </w:p>
    <w:p>
      <w:pPr>
        <w:spacing w:after="120"/>
        <w:jc w:val="center"/>
        <w:outlineLvl w:val="0"/>
      </w:pPr>
      <w:r>
        <w:rPr>
          <w:b/>
          <w:color w:val="1F3B63"/>
          <w:sz w:val="52"/>
        </w:rPr>
        <w:t>What is needed from others</w:t>
      </w:r>
    </w:p>
    <w:p>
      <w:pPr>
        <w:spacing w:after="0"/>
        <w:jc w:val="center"/>
        <w:pBdr>
          <w:bottom w:val="single" w:sz="8" w:space="4" w:color="2E629E"/>
        </w:pBdr>
      </w:pPr>
    </w:p>
    <w:p>
      <w:r>
        <w:br w:type="page"/>
      </w:r>
    </w:p>
    <w:p>
      <w:pPr>
        <w:pStyle w:val="Heading1"/>
        <w:outlineLvl w:val="1"/>
      </w:pPr>
      <w:r>
        <w:t>Data requests, in the order they unblock work</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701"/>
            <w:shd w:val="clear" w:color="auto" w:fill="1F3B63"/>
          </w:tcPr>
          <w:p>
            <w:pPr>
              <w:spacing w:after="40"/>
            </w:pPr>
            <w:r/>
            <w:r>
              <w:rPr>
                <w:b/>
                <w:color w:val="FFFFFF"/>
                <w:sz w:val="17"/>
              </w:rPr>
              <w:t>From</w:t>
            </w:r>
          </w:p>
        </w:tc>
        <w:tc>
          <w:tcPr>
            <w:tcW w:type="dxa" w:w="3969"/>
            <w:shd w:val="clear" w:color="auto" w:fill="1F3B63"/>
          </w:tcPr>
          <w:p>
            <w:pPr>
              <w:spacing w:after="40"/>
            </w:pPr>
            <w:r/>
            <w:r>
              <w:rPr>
                <w:b/>
                <w:color w:val="FFFFFF"/>
                <w:sz w:val="17"/>
              </w:rPr>
              <w:t>What</w:t>
            </w:r>
          </w:p>
        </w:tc>
        <w:tc>
          <w:tcPr>
            <w:tcW w:type="dxa" w:w="3402"/>
            <w:shd w:val="clear" w:color="auto" w:fill="1F3B63"/>
          </w:tcPr>
          <w:p>
            <w:pPr>
              <w:spacing w:after="40"/>
            </w:pPr>
            <w:r/>
            <w:r>
              <w:rPr>
                <w:b/>
                <w:color w:val="FFFFFF"/>
                <w:sz w:val="17"/>
              </w:rPr>
              <w:t>Blocks</w:t>
            </w:r>
          </w:p>
        </w:tc>
      </w:tr>
      <w:tr>
        <w:trPr>
          <w:cantSplit/>
        </w:trPr>
        <w:tc>
          <w:tcPr>
            <w:tcW w:type="dxa" w:w="1701"/>
          </w:tcPr>
          <w:p>
            <w:pPr>
              <w:spacing w:after="40"/>
            </w:pPr>
            <w:r/>
            <w:r>
              <w:rPr>
                <w:b w:val="0"/>
                <w:sz w:val="17"/>
              </w:rPr>
              <w:t>NWS / MoAFWR</w:t>
            </w:r>
          </w:p>
        </w:tc>
        <w:tc>
          <w:tcPr>
            <w:tcW w:type="dxa" w:w="3969"/>
          </w:tcPr>
          <w:p>
            <w:pPr>
              <w:spacing w:after="40"/>
            </w:pPr>
            <w:r/>
            <w:r>
              <w:rPr>
                <w:b w:val="0"/>
                <w:sz w:val="17"/>
              </w:rPr>
              <w:t>50-year flood mapping covering the whole study area</w:t>
            </w:r>
          </w:p>
        </w:tc>
        <w:tc>
          <w:tcPr>
            <w:tcW w:type="dxa" w:w="3402"/>
          </w:tcPr>
          <w:p>
            <w:pPr>
              <w:spacing w:after="40"/>
            </w:pPr>
            <w:r/>
            <w:r>
              <w:rPr>
                <w:b w:val="0"/>
                <w:sz w:val="17"/>
              </w:rPr>
              <w:t>Every wadi decision on 51 % of the network</w:t>
            </w:r>
          </w:p>
        </w:tc>
      </w:tr>
      <w:tr>
        <w:trPr>
          <w:cantSplit/>
        </w:trPr>
        <w:tc>
          <w:tcPr>
            <w:tcW w:type="dxa" w:w="1701"/>
          </w:tcPr>
          <w:p>
            <w:pPr>
              <w:spacing w:after="40"/>
            </w:pPr>
            <w:r/>
            <w:r>
              <w:rPr>
                <w:b w:val="0"/>
                <w:sz w:val="17"/>
              </w:rPr>
              <w:t>NWS</w:t>
            </w:r>
          </w:p>
        </w:tc>
        <w:tc>
          <w:tcPr>
            <w:tcW w:type="dxa" w:w="3969"/>
          </w:tcPr>
          <w:p>
            <w:pPr>
              <w:spacing w:after="40"/>
            </w:pPr>
            <w:r/>
            <w:r>
              <w:rPr>
                <w:b w:val="0"/>
                <w:sz w:val="17"/>
              </w:rPr>
              <w:t>Design tractive stress τ, or confirmation of 1.0 Pa</w:t>
            </w:r>
          </w:p>
        </w:tc>
        <w:tc>
          <w:tcPr>
            <w:tcW w:type="dxa" w:w="3402"/>
          </w:tcPr>
          <w:p>
            <w:pPr>
              <w:spacing w:after="40"/>
            </w:pPr>
            <w:r/>
            <w:r>
              <w:rPr>
                <w:b w:val="0"/>
                <w:sz w:val="17"/>
              </w:rPr>
              <w:t>Gradients, depths and pumping across 97 % of the network</w:t>
            </w:r>
          </w:p>
        </w:tc>
      </w:tr>
      <w:tr>
        <w:trPr>
          <w:cantSplit/>
        </w:trPr>
        <w:tc>
          <w:tcPr>
            <w:tcW w:type="dxa" w:w="1701"/>
          </w:tcPr>
          <w:p>
            <w:pPr>
              <w:spacing w:after="40"/>
            </w:pPr>
            <w:r/>
            <w:r>
              <w:rPr>
                <w:b w:val="0"/>
                <w:sz w:val="17"/>
              </w:rPr>
              <w:t>NWS</w:t>
            </w:r>
          </w:p>
        </w:tc>
        <w:tc>
          <w:tcPr>
            <w:tcW w:type="dxa" w:w="3969"/>
          </w:tcPr>
          <w:p>
            <w:pPr>
              <w:spacing w:after="40"/>
            </w:pPr>
            <w:r/>
            <w:r>
              <w:rPr>
                <w:b w:val="0"/>
                <w:sz w:val="17"/>
              </w:rPr>
              <w:t>Existing works inlet invert level</w:t>
            </w:r>
          </w:p>
        </w:tc>
        <w:tc>
          <w:tcPr>
            <w:tcW w:type="dxa" w:w="3402"/>
          </w:tcPr>
          <w:p>
            <w:pPr>
              <w:spacing w:after="40"/>
            </w:pPr>
            <w:r/>
            <w:r>
              <w:rPr>
                <w:b w:val="0"/>
                <w:sz w:val="17"/>
              </w:rPr>
              <w:t>The trunk's outfall level and the deepest excavation in the scheme</w:t>
            </w:r>
          </w:p>
        </w:tc>
      </w:tr>
      <w:tr>
        <w:trPr>
          <w:cantSplit/>
        </w:trPr>
        <w:tc>
          <w:tcPr>
            <w:tcW w:type="dxa" w:w="1701"/>
          </w:tcPr>
          <w:p>
            <w:pPr>
              <w:spacing w:after="40"/>
            </w:pPr>
            <w:r/>
            <w:r>
              <w:rPr>
                <w:b w:val="0"/>
                <w:sz w:val="17"/>
              </w:rPr>
              <w:t>NWS</w:t>
            </w:r>
          </w:p>
        </w:tc>
        <w:tc>
          <w:tcPr>
            <w:tcW w:type="dxa" w:w="3969"/>
          </w:tcPr>
          <w:p>
            <w:pPr>
              <w:spacing w:after="40"/>
            </w:pPr>
            <w:r/>
            <w:r>
              <w:rPr>
                <w:b w:val="0"/>
                <w:sz w:val="17"/>
              </w:rPr>
              <w:t>Confirmation of DN1400-2400 in the pipe series</w:t>
            </w:r>
          </w:p>
        </w:tc>
        <w:tc>
          <w:tcPr>
            <w:tcW w:type="dxa" w:w="3402"/>
          </w:tcPr>
          <w:p>
            <w:pPr>
              <w:spacing w:after="40"/>
            </w:pPr>
            <w:r/>
            <w:r>
              <w:rPr>
                <w:b w:val="0"/>
                <w:sz w:val="17"/>
              </w:rPr>
              <w:t>Trunk sizing above DN1200</w:t>
            </w:r>
          </w:p>
        </w:tc>
      </w:tr>
      <w:tr>
        <w:trPr>
          <w:cantSplit/>
        </w:trPr>
        <w:tc>
          <w:tcPr>
            <w:tcW w:type="dxa" w:w="1701"/>
          </w:tcPr>
          <w:p>
            <w:pPr>
              <w:spacing w:after="40"/>
            </w:pPr>
            <w:r/>
            <w:r>
              <w:rPr>
                <w:b w:val="0"/>
                <w:sz w:val="17"/>
              </w:rPr>
              <w:t>NWS</w:t>
            </w:r>
          </w:p>
        </w:tc>
        <w:tc>
          <w:tcPr>
            <w:tcW w:type="dxa" w:w="3969"/>
          </w:tcPr>
          <w:p>
            <w:pPr>
              <w:spacing w:after="40"/>
            </w:pPr>
            <w:r/>
            <w:r>
              <w:rPr>
                <w:b w:val="0"/>
                <w:sz w:val="17"/>
              </w:rPr>
              <w:t>Decision on 236 plots whose only frontage is a dual carriageway</w:t>
            </w:r>
          </w:p>
        </w:tc>
        <w:tc>
          <w:tcPr>
            <w:tcW w:type="dxa" w:w="3402"/>
          </w:tcPr>
          <w:p>
            <w:pPr>
              <w:spacing w:after="40"/>
            </w:pPr>
            <w:r/>
            <w:r>
              <w:rPr>
                <w:b w:val="0"/>
                <w:sz w:val="17"/>
              </w:rPr>
              <w:t>Their connection, and whether they are served at all</w:t>
            </w:r>
          </w:p>
        </w:tc>
      </w:tr>
      <w:tr>
        <w:trPr>
          <w:cantSplit/>
        </w:trPr>
        <w:tc>
          <w:tcPr>
            <w:tcW w:type="dxa" w:w="1701"/>
          </w:tcPr>
          <w:p>
            <w:pPr>
              <w:spacing w:after="40"/>
            </w:pPr>
            <w:r/>
            <w:r>
              <w:rPr>
                <w:b w:val="0"/>
                <w:sz w:val="17"/>
              </w:rPr>
              <w:t>Draftsman</w:t>
            </w:r>
          </w:p>
        </w:tc>
        <w:tc>
          <w:tcPr>
            <w:tcW w:type="dxa" w:w="3969"/>
          </w:tcPr>
          <w:p>
            <w:pPr>
              <w:spacing w:after="40"/>
            </w:pPr>
            <w:r/>
            <w:r>
              <w:rPr>
                <w:b w:val="0"/>
                <w:sz w:val="17"/>
              </w:rPr>
              <w:t>Final treated road centrelines</w:t>
            </w:r>
          </w:p>
        </w:tc>
        <w:tc>
          <w:tcPr>
            <w:tcW w:type="dxa" w:w="3402"/>
          </w:tcPr>
          <w:p>
            <w:pPr>
              <w:spacing w:after="40"/>
            </w:pPr>
            <w:r/>
            <w:r>
              <w:rPr>
                <w:b w:val="0"/>
                <w:sz w:val="17"/>
              </w:rPr>
              <w:t>A re-run of the whole pipeline on final geometry</w:t>
            </w:r>
          </w:p>
        </w:tc>
      </w:tr>
      <w:tr>
        <w:trPr>
          <w:cantSplit/>
        </w:trPr>
        <w:tc>
          <w:tcPr>
            <w:tcW w:type="dxa" w:w="1701"/>
          </w:tcPr>
          <w:p>
            <w:pPr>
              <w:spacing w:after="40"/>
            </w:pPr>
            <w:r/>
            <w:r>
              <w:rPr>
                <w:b w:val="0"/>
                <w:sz w:val="17"/>
              </w:rPr>
              <w:t>GIS expert</w:t>
            </w:r>
          </w:p>
        </w:tc>
        <w:tc>
          <w:tcPr>
            <w:tcW w:type="dxa" w:w="3969"/>
          </w:tcPr>
          <w:p>
            <w:pPr>
              <w:spacing w:after="40"/>
            </w:pPr>
            <w:r/>
            <w:r>
              <w:rPr>
                <w:b w:val="0"/>
                <w:sz w:val="17"/>
              </w:rPr>
              <w:t>Clean land-use data</w:t>
            </w:r>
          </w:p>
        </w:tc>
        <w:tc>
          <w:tcPr>
            <w:tcW w:type="dxa" w:w="3402"/>
          </w:tcPr>
          <w:p>
            <w:pPr>
              <w:spacing w:after="40"/>
            </w:pPr>
            <w:r/>
            <w:r>
              <w:rPr>
                <w:b w:val="0"/>
                <w:sz w:val="17"/>
              </w:rPr>
              <w:t>Load placement, and Table 12 drivers</w:t>
            </w:r>
          </w:p>
        </w:tc>
      </w:tr>
    </w:tbl>
    <w:p/>
    <w:p>
      <w:r>
        <w:rPr>
          <w:b/>
          <w:i w:val="0"/>
        </w:rPr>
        <w:t>The first two are worth pressing hardest. They are single questions with short answers that change the design more than anything we can do ourselves.</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E</w:t>
      </w:r>
    </w:p>
    <w:p>
      <w:pPr>
        <w:spacing w:after="120"/>
        <w:jc w:val="center"/>
        <w:outlineLvl w:val="0"/>
      </w:pPr>
      <w:r>
        <w:rPr>
          <w:b/>
          <w:color w:val="1F3B63"/>
          <w:sz w:val="52"/>
        </w:rPr>
        <w:t>Next steps</w:t>
      </w:r>
    </w:p>
    <w:p>
      <w:pPr>
        <w:spacing w:after="0"/>
        <w:jc w:val="center"/>
        <w:pBdr>
          <w:bottom w:val="single" w:sz="8" w:space="4" w:color="2E629E"/>
        </w:pBdr>
      </w:pPr>
    </w:p>
    <w:p>
      <w:r>
        <w:br w:type="page"/>
      </w:r>
    </w:p>
    <w:p>
      <w:pPr>
        <w:pStyle w:val="Heading1"/>
        <w:outlineLvl w:val="1"/>
      </w:pPr>
      <w:r>
        <w:t>In order</w:t>
      </w:r>
    </w:p>
    <w:p>
      <w:pPr>
        <w:spacing w:after="60"/>
        <w:ind w:left="510" w:hanging="510"/>
      </w:pPr>
      <w:r>
        <w:rPr>
          <w:b/>
        </w:rPr>
        <w:t xml:space="preserve">1.   </w:t>
      </w:r>
      <w:r>
        <w:t>Finish stage 5c and let the chain reach stages 6 to 9, so there is a levelled, sized network to audit rather than a graph.</w:t>
      </w:r>
    </w:p>
    <w:p>
      <w:pPr>
        <w:spacing w:after="60"/>
        <w:ind w:left="510" w:hanging="510"/>
      </w:pPr>
      <w:r>
        <w:rPr>
          <w:b/>
        </w:rPr>
        <w:t xml:space="preserve">2.   </w:t>
      </w:r>
      <w:r>
        <w:t>Run the auditor over W11a and publish the failing table. The philosophy is explicit that a failing table is the specification, not an embarrassment.</w:t>
      </w:r>
    </w:p>
    <w:p>
      <w:pPr>
        <w:spacing w:after="60"/>
        <w:ind w:left="510" w:hanging="510"/>
      </w:pPr>
      <w:r>
        <w:rPr>
          <w:b/>
        </w:rPr>
        <w:t xml:space="preserve">3.   </w:t>
      </w:r>
      <w:r>
        <w:t>Fix OPEN-S4-1 (the trunk / corridor node mismatch) before reading anything into the drainage-system count.</w:t>
      </w:r>
    </w:p>
    <w:p>
      <w:pPr>
        <w:spacing w:after="60"/>
        <w:ind w:left="510" w:hanging="510"/>
      </w:pPr>
      <w:r>
        <w:rPr>
          <w:b/>
        </w:rPr>
        <w:t xml:space="preserve">4.   </w:t>
      </w:r>
      <w:r>
        <w:t>Re-site the chambers on wadi ground, and apply the H1a classification inside stage 3 so the trunk's 10.98 km is separated into crossings and defects.</w:t>
      </w:r>
    </w:p>
    <w:p>
      <w:pPr>
        <w:spacing w:after="60"/>
        <w:ind w:left="510" w:hanging="510"/>
      </w:pPr>
      <w:r>
        <w:rPr>
          <w:b/>
        </w:rPr>
        <w:t xml:space="preserve">5.   </w:t>
      </w:r>
      <w:r>
        <w:t>Re-run everything when the draftsman's final lines and the clean land-use data arrive. The scripts are being purified so both drop straight in.</w:t>
      </w:r>
    </w:p>
    <w:p>
      <w:pPr>
        <w:spacing w:after="60"/>
        <w:ind w:left="510" w:hanging="510"/>
      </w:pPr>
      <w:r>
        <w:rPr>
          <w:b/>
        </w:rPr>
        <w:t xml:space="preserve">6.   </w:t>
      </w:r>
      <w:r>
        <w:t>Only then build the three concept options per system and take them through the seven-criteria appraisal, with BAT carried as two options rather than one answer.</w:t>
      </w:r>
    </w:p>
    <w:p/>
    <w:p>
      <w:pPr>
        <w:spacing w:before="160" w:after="160"/>
        <w:ind w:left="170"/>
        <w:shd w:val="clear" w:color="auto" w:fill="EEF3FA"/>
        <w:pBdr>
          <w:top w:val="single" w:sz="6" w:space="6" w:color="D9A441"/>
          <w:left w:val="single" w:sz="6" w:space="6" w:color="D9A441"/>
          <w:bottom w:val="single" w:sz="6" w:space="6" w:color="D9A441"/>
          <w:right w:val="single" w:sz="6" w:space="6" w:color="D9A441"/>
        </w:pBdr>
      </w:pPr>
      <w:r>
        <w:rPr>
          <w:b/>
          <w:color w:val="2E629E"/>
          <w:sz w:val="20"/>
        </w:rPr>
        <w:t xml:space="preserve">One thing to hold on to.  </w:t>
      </w:r>
      <w:r>
        <w:rPr>
          <w:sz w:val="20"/>
        </w:rPr>
        <w:t>Every defect in this report was found by making two things that should agree disagree in public - the auditor against the criteria, a stage against the auditor, the declared graph against the drawn one. None was found by reading the code carefully. That is the method worth keeping when the final data arrives and the pressure is to get a network out.</w:t>
      </w:r>
    </w:p>
    <w:sectPr w:rsidR="00FC693F" w:rsidRPr="0006063C" w:rsidSect="00034616">
      <w:pgSz w:w="11906" w:h="16838"/>
      <w:pgMar w:top="1247" w:right="1247" w:bottom="1134" w:left="1247" w:header="720" w:footer="720" w:gutter="0"/>
      <w:cols w:space="720"/>
      <w:docGrid w:linePitch="360"/>
      <w:footerReference w:type="default" r:id="rId9"/>
      <w:footnotePr>
        <w:numRestart w:val="eachPage"/>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 xml:space="preserve">2621 Ibri - W11a Design Review R1 - internal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629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62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