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SOC 2 Type II Report</w:t>
      </w:r>
    </w:p>
    <w:p/>
    <w:p>
      <w:pPr>
        <w:jc w:val="center"/>
      </w:pPr>
      <w:r>
        <w:rPr>
          <w:sz w:val="28"/>
        </w:rPr>
        <w:t>Report on Controls Related to Security, Availability, Processing Integrity, Confidentiality, and Privacy</w:t>
      </w:r>
    </w:p>
    <w:p/>
    <w:p/>
    <w:p>
      <w:pPr>
        <w:jc w:val="center"/>
      </w:pPr>
      <w:r>
        <w:rPr>
          <w:b/>
          <w:sz w:val="32"/>
        </w:rPr>
        <w:t>Acme Cloud Services, Inc.</w:t>
      </w:r>
    </w:p>
    <w:p>
      <w:pPr>
        <w:jc w:val="center"/>
      </w:pPr>
      <w:r>
        <w:rPr>
          <w:sz w:val="24"/>
        </w:rPr>
        <w:t>Period: January 1, 2023 to December 31, 2023</w:t>
      </w:r>
    </w:p>
    <w:p/>
    <w:p>
      <w:pPr>
        <w:jc w:val="center"/>
      </w:pPr>
      <w:r>
        <w:rPr>
          <w:sz w:val="24"/>
        </w:rPr>
        <w:t>Report Date: March 15, 2024</w:t>
      </w:r>
    </w:p>
    <w:p>
      <w:r>
        <w:br w:type="page"/>
      </w:r>
    </w:p>
    <w:p>
      <w:pPr>
        <w:pStyle w:val="Heading1"/>
      </w:pPr>
      <w:r>
        <w:t>Management's Assertion</w:t>
      </w:r>
    </w:p>
    <w:p>
      <w:r>
        <w:t>Acme Cloud Services, Inc. (the Company) asserts that it maintains a system of controls, consistent with the Trust Services Criteria for Security, Availability, Processing Integrity, Confidentiality, and Privacy (the Criteria), that are suitable to achieve the Company's objective of providing its customers with products and services in accordance with the commitments in its service organization's contracts or other agreements.</w:t>
      </w:r>
    </w:p>
    <w:p>
      <w:r>
        <w:t>This assertion is based on the criteria set forth in Trust Services Criteria established by the American Institute of Certified Public Accountants (AICPA) and confirmed by the Trust Services Maturity Model.</w:t>
      </w:r>
    </w:p>
    <w:p>
      <w:r>
        <w:br w:type="page"/>
      </w:r>
    </w:p>
    <w:p>
      <w:pPr>
        <w:pStyle w:val="Heading1"/>
      </w:pPr>
      <w:r>
        <w:t>Auditor's Opinion</w:t>
      </w:r>
    </w:p>
    <w:p>
      <w:r>
        <w:t>We have examined the accompanying Management Assertion regarding the effectiveness of Acme Cloud Services, Inc.'s controls related to Security, Availability, Processing Integrity, Confidentiality, and Privacy during the period January 1, 2023 to December 31, 2023, in accordance with attestation standards established by the AICPA.</w:t>
      </w:r>
    </w:p>
    <w:p>
      <w:r>
        <w:t>Based on our examination and the evidence we obtained, we assert with reasonable assurance that Acme Cloud Services, Inc. maintained effective controls during the specified period to achieve the objectives stated in the Management Assertion.</w:t>
      </w:r>
    </w:p>
    <w:p>
      <w:r>
        <w:t>The controls described in this report address the security, availability, processing integrity, confidentiality, and privacy of the Company's system and the processing of information on behalf of customers.</w:t>
      </w:r>
    </w:p>
    <w:p>
      <w:r>
        <w:br w:type="page"/>
      </w:r>
    </w:p>
    <w:p>
      <w:pPr>
        <w:pStyle w:val="Heading1"/>
      </w:pPr>
      <w:r>
        <w:t>Service Organization and System Description</w:t>
      </w:r>
    </w:p>
    <w:p>
      <w:r>
        <w:t>Acme Cloud Services, Inc. is a cloud-based software-as-a-service (SaaS) provider offering enterprise resource planning (ERP) solutions to mid-market companies across various industries.</w:t>
      </w:r>
    </w:p>
    <w:p>
      <w:pPr>
        <w:pStyle w:val="Heading2"/>
      </w:pPr>
      <w:r>
        <w:t>System Infrastructure</w:t>
      </w:r>
    </w:p>
    <w:p>
      <w:r>
        <w:t>The Company operates a multi-tenant cloud infrastructure hosted on Amazon Web Services (AWS) in the US-East and US-West regions. The system includes the following components:</w:t>
      </w:r>
    </w:p>
    <w:p>
      <w:pPr>
        <w:pStyle w:val="ListBullet"/>
      </w:pPr>
      <w:r>
        <w:t>Web Application Tier: Running on EC2 instances behind an Elastic Load Balancer</w:t>
      </w:r>
    </w:p>
    <w:p>
      <w:pPr>
        <w:pStyle w:val="ListBullet"/>
      </w:pPr>
      <w:r>
        <w:t>Application Tier: Microservices architecture containerized with Docker and orchestrated via Kubernetes</w:t>
      </w:r>
    </w:p>
    <w:p>
      <w:pPr>
        <w:pStyle w:val="ListBullet"/>
      </w:pPr>
      <w:r>
        <w:t>Database Tier: RDS PostgreSQL with Multi-AZ deployment and automated backups</w:t>
      </w:r>
    </w:p>
    <w:p>
      <w:pPr>
        <w:pStyle w:val="ListBullet"/>
      </w:pPr>
      <w:r>
        <w:t>Storage Tier: S3 buckets for document and file storage with encryption at rest</w:t>
      </w:r>
    </w:p>
    <w:p>
      <w:pPr>
        <w:pStyle w:val="ListBullet"/>
      </w:pPr>
      <w:r>
        <w:t>Network: VPC with strict security groups and network ACLs</w:t>
      </w:r>
    </w:p>
    <w:p>
      <w:r>
        <w:br w:type="page"/>
      </w:r>
    </w:p>
    <w:p>
      <w:pPr>
        <w:pStyle w:val="Heading1"/>
      </w:pPr>
      <w:r>
        <w:t>Trust Services Criteria - Security</w:t>
      </w:r>
    </w:p>
    <w:p>
      <w:r>
        <w:t>The Company has implemented controls to ensure that system access is restricted to authorized personnel and that unauthorized access attempts are detected and prevented.</w:t>
      </w:r>
    </w:p>
    <w:p>
      <w:pPr>
        <w:pStyle w:val="Heading2"/>
      </w:pPr>
      <w:r>
        <w:t>CC1: Risk Assessment</w:t>
      </w:r>
    </w:p>
    <w:p>
      <w:r>
        <w:t>Management performs annual risk assessments to identify and evaluate potential threats and vulnerabilities to the system. Risk assessment results are documented and reviewed by leadership on a quarterly basis.</w:t>
      </w:r>
    </w:p>
    <w:p>
      <w:pPr>
        <w:pStyle w:val="Heading2"/>
      </w:pPr>
      <w:r>
        <w:t>CC2: Logical Access Control</w:t>
      </w:r>
    </w:p>
    <w:p>
      <w:r>
        <w:t>The Company enforces role-based access control (RBAC) with principle of least privilege. Multi-factor authentication (MFA) is required for all administrative access. Access reviews are performed quarterly and access is revoked upon termination.</w:t>
      </w:r>
    </w:p>
    <w:p>
      <w:r>
        <w:br w:type="page"/>
      </w:r>
    </w:p>
    <w:p>
      <w:pPr>
        <w:pStyle w:val="Heading1"/>
      </w:pPr>
      <w:r>
        <w:t>Trust Services Criteria - Availability</w:t>
      </w:r>
    </w:p>
    <w:p>
      <w:r>
        <w:t>The Company has implemented controls to provide availability of system resources to process information as committed and required by stakeholders.</w:t>
      </w:r>
    </w:p>
    <w:p>
      <w:pPr>
        <w:pStyle w:val="Heading2"/>
      </w:pPr>
      <w:r>
        <w:t>A1: System Monitoring</w:t>
      </w:r>
    </w:p>
    <w:p>
      <w:r>
        <w:t>The Company employs 24/7 monitoring of system infrastructure and application health. Alerts are configured for CPU usage, memory utilization, disk space, and network connectivity. Critical alerts are escalated immediately to on-call engineers.</w:t>
      </w:r>
    </w:p>
    <w:p>
      <w:pPr>
        <w:pStyle w:val="Heading2"/>
      </w:pPr>
      <w:r>
        <w:t>A2: Disaster Recovery and Business Continuity</w:t>
      </w:r>
    </w:p>
    <w:p>
      <w:r>
        <w:t>A comprehensive Disaster Recovery Plan is maintained and tested annually. The Company maintains a Recovery Time Objective (RTO) of 4 hours and Recovery Point Objective (RPO) of 1 hour. Backups are performed continuously and stored in geographically diverse locations.</w:t>
      </w:r>
    </w:p>
    <w:p>
      <w:r>
        <w:br w:type="page"/>
      </w:r>
    </w:p>
    <w:p>
      <w:pPr>
        <w:pStyle w:val="Heading1"/>
      </w:pPr>
      <w:r>
        <w:t>Trust Services Criteria - Processing Integrity</w:t>
      </w:r>
    </w:p>
    <w:p>
      <w:r>
        <w:t>The Company has implemented controls to ensure that system processing is complete, accurate, timely, and authorized.</w:t>
      </w:r>
    </w:p>
    <w:p>
      <w:pPr>
        <w:pStyle w:val="Heading2"/>
      </w:pPr>
      <w:r>
        <w:t>PI1: Data Validation</w:t>
      </w:r>
    </w:p>
    <w:p>
      <w:r>
        <w:t>Input validation is implemented at all application entry points to ensure data accuracy and completeness. Automated validation rules check for data type, format, range, and referential integrity. Failed validations are logged and rejected.</w:t>
      </w:r>
    </w:p>
    <w:p>
      <w:pPr>
        <w:pStyle w:val="Heading2"/>
      </w:pPr>
      <w:r>
        <w:t>PI2: Error Handling and Reconciliation</w:t>
      </w:r>
    </w:p>
    <w:p>
      <w:r>
        <w:t>Errors are captured, logged, and escalated based on severity. Reconciliation processes are automated and run hourly to detect discrepancies. Monthly management reconciliation reports are reviewed for completeness and accuracy.</w:t>
      </w:r>
    </w:p>
    <w:p>
      <w:r>
        <w:br w:type="page"/>
      </w:r>
    </w:p>
    <w:p>
      <w:pPr>
        <w:pStyle w:val="Heading1"/>
      </w:pPr>
      <w:r>
        <w:t>Trust Services Criteria - Confidentiality and Privacy</w:t>
      </w:r>
    </w:p>
    <w:p>
      <w:r>
        <w:t>The Company has implemented controls to ensure that personal information and confidential data are protected from unauthorized access and use.</w:t>
      </w:r>
    </w:p>
    <w:p>
      <w:pPr>
        <w:pStyle w:val="Heading2"/>
      </w:pPr>
      <w:r>
        <w:t>C1: Data Classification and Encryption</w:t>
      </w:r>
    </w:p>
    <w:p>
      <w:r>
        <w:t>All data is classified as Public, Internal, Confidential, or Restricted. Encryption at rest uses AES-256, and encryption in transit uses TLS 1.2 or higher. Encryption keys are managed through AWS Key Management Service (KMS) with key rotation every 90 days.</w:t>
      </w:r>
    </w:p>
    <w:p>
      <w:pPr>
        <w:pStyle w:val="Heading2"/>
      </w:pPr>
      <w:r>
        <w:t>P1: Privacy Policy and Consent</w:t>
      </w:r>
    </w:p>
    <w:p>
      <w:r>
        <w:t>The Company maintains a comprehensive privacy policy that outlines how personal information is collected, used, retained, and shared. Customer consent is obtained at the time of data collection, and individuals have the right to access, correct, or delete their data.</w:t>
      </w:r>
    </w:p>
    <w:p>
      <w:r>
        <w:br w:type="page"/>
      </w:r>
    </w:p>
    <w:p>
      <w:pPr>
        <w:pStyle w:val="Heading1"/>
      </w:pPr>
      <w:r>
        <w:t>Summary of Control Testing</w:t>
      </w:r>
    </w:p>
    <w:p>
      <w:r>
        <w:t>During our examination period (January 1, 2023 - December 31, 2023), we tested a sample of controls across all Trust Service Criteria. The following table summarizes the results of our testing: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Control Objective</w:t>
            </w:r>
          </w:p>
        </w:tc>
        <w:tc>
          <w:tcPr>
            <w:tcW w:type="dxa" w:w="2880"/>
          </w:tcPr>
          <w:p>
            <w:r>
              <w:t>Tests Performed</w:t>
            </w:r>
          </w:p>
        </w:tc>
        <w:tc>
          <w:tcPr>
            <w:tcW w:type="dxa" w:w="2880"/>
          </w:tcPr>
          <w:p>
            <w:r>
              <w:t>Result</w:t>
            </w:r>
          </w:p>
        </w:tc>
      </w:tr>
      <w:tr>
        <w:tc>
          <w:tcPr>
            <w:tcW w:type="dxa" w:w="2880"/>
          </w:tcPr>
          <w:p>
            <w:r>
              <w:t>Risk Assessment</w:t>
            </w:r>
          </w:p>
        </w:tc>
        <w:tc>
          <w:tcPr>
            <w:tcW w:type="dxa" w:w="2880"/>
          </w:tcPr>
          <w:p>
            <w:r>
              <w:t>5</w:t>
            </w:r>
          </w:p>
        </w:tc>
        <w:tc>
          <w:tcPr>
            <w:tcW w:type="dxa" w:w="2880"/>
          </w:tcPr>
          <w:p>
            <w:r>
              <w:t>Effective</w:t>
            </w:r>
          </w:p>
        </w:tc>
      </w:tr>
      <w:tr>
        <w:tc>
          <w:tcPr>
            <w:tcW w:type="dxa" w:w="2880"/>
          </w:tcPr>
          <w:p>
            <w:r>
              <w:t>Logical Access Control</w:t>
            </w:r>
          </w:p>
        </w:tc>
        <w:tc>
          <w:tcPr>
            <w:tcW w:type="dxa" w:w="2880"/>
          </w:tcPr>
          <w:p>
            <w:r>
              <w:t>8</w:t>
            </w:r>
          </w:p>
        </w:tc>
        <w:tc>
          <w:tcPr>
            <w:tcW w:type="dxa" w:w="2880"/>
          </w:tcPr>
          <w:p>
            <w:r>
              <w:t>Effective</w:t>
            </w:r>
          </w:p>
        </w:tc>
      </w:tr>
      <w:tr>
        <w:tc>
          <w:tcPr>
            <w:tcW w:type="dxa" w:w="2880"/>
          </w:tcPr>
          <w:p>
            <w:r>
              <w:t>System Monitoring</w:t>
            </w:r>
          </w:p>
        </w:tc>
        <w:tc>
          <w:tcPr>
            <w:tcW w:type="dxa" w:w="2880"/>
          </w:tcPr>
          <w:p>
            <w:r>
              <w:t>4</w:t>
            </w:r>
          </w:p>
        </w:tc>
        <w:tc>
          <w:tcPr>
            <w:tcW w:type="dxa" w:w="2880"/>
          </w:tcPr>
          <w:p>
            <w:r>
              <w:t>Effective</w:t>
            </w:r>
          </w:p>
        </w:tc>
      </w:tr>
      <w:tr>
        <w:tc>
          <w:tcPr>
            <w:tcW w:type="dxa" w:w="2880"/>
          </w:tcPr>
          <w:p>
            <w:r>
              <w:t>Disaster Recovery</w:t>
            </w:r>
          </w:p>
        </w:tc>
        <w:tc>
          <w:tcPr>
            <w:tcW w:type="dxa" w:w="2880"/>
          </w:tcPr>
          <w:p>
            <w:r>
              <w:t>3</w:t>
            </w:r>
          </w:p>
        </w:tc>
        <w:tc>
          <w:tcPr>
            <w:tcW w:type="dxa" w:w="2880"/>
          </w:tcPr>
          <w:p>
            <w:r>
              <w:t>Effective</w:t>
            </w:r>
          </w:p>
        </w:tc>
      </w:tr>
      <w:tr>
        <w:tc>
          <w:tcPr>
            <w:tcW w:type="dxa" w:w="2880"/>
          </w:tcPr>
          <w:p>
            <w:r>
              <w:t>Data Validation</w:t>
            </w:r>
          </w:p>
        </w:tc>
        <w:tc>
          <w:tcPr>
            <w:tcW w:type="dxa" w:w="2880"/>
          </w:tcPr>
          <w:p>
            <w:r>
              <w:t>6</w:t>
            </w:r>
          </w:p>
        </w:tc>
        <w:tc>
          <w:tcPr>
            <w:tcW w:type="dxa" w:w="2880"/>
          </w:tcPr>
          <w:p>
            <w:r>
              <w:t>Effective</w:t>
            </w:r>
          </w:p>
        </w:tc>
      </w:tr>
      <w:tr>
        <w:tc>
          <w:tcPr>
            <w:tcW w:type="dxa" w:w="2880"/>
          </w:tcPr>
          <w:p>
            <w:r>
              <w:t>Encryption Controls</w:t>
            </w:r>
          </w:p>
        </w:tc>
        <w:tc>
          <w:tcPr>
            <w:tcW w:type="dxa" w:w="2880"/>
          </w:tcPr>
          <w:p>
            <w:r>
              <w:t>5</w:t>
            </w:r>
          </w:p>
        </w:tc>
        <w:tc>
          <w:tcPr>
            <w:tcW w:type="dxa" w:w="2880"/>
          </w:tcPr>
          <w:p>
            <w:r>
              <w:t>Effective</w:t>
            </w:r>
          </w:p>
        </w:tc>
      </w:tr>
      <w:tr>
        <w:tc>
          <w:tcPr>
            <w:tcW w:type="dxa" w:w="2880"/>
          </w:tcPr>
          <w:p>
            <w:r>
              <w:t>Privacy Controls</w:t>
            </w:r>
          </w:p>
        </w:tc>
        <w:tc>
          <w:tcPr>
            <w:tcW w:type="dxa" w:w="2880"/>
          </w:tcPr>
          <w:p>
            <w:r>
              <w:t>4</w:t>
            </w:r>
          </w:p>
        </w:tc>
        <w:tc>
          <w:tcPr>
            <w:tcW w:type="dxa" w:w="2880"/>
          </w:tcPr>
          <w:p>
            <w:r>
              <w:t>Effective</w:t>
            </w:r>
          </w:p>
        </w:tc>
      </w:tr>
    </w:tbl>
    <w:p>
      <w:r>
        <w:br w:type="page"/>
      </w:r>
    </w:p>
    <w:p>
      <w:pPr>
        <w:pStyle w:val="Heading1"/>
      </w:pPr>
      <w:r>
        <w:t>Conclusion and Management Responsibilities</w:t>
      </w:r>
    </w:p>
    <w:p>
      <w:r>
        <w:t>In conclusion, Acme Cloud Services, Inc. has implemented and maintained effective controls related to Security, Availability, Processing Integrity, Confidentiality, and Privacy during the period January 1, 2023 to December 31, 2023.</w:t>
      </w:r>
    </w:p>
    <w:p>
      <w:r>
        <w:t>Management is responsible for: (1) selecting the appropriate Trust Service Criteria; (2) designing, implementing, and documenting controls; (3) ensuring controls are operating effectively; and (4) evaluating the effectiveness of controls and communicating results to authorized parties.</w:t>
      </w:r>
    </w:p>
    <w:p>
      <w:r>
        <w:t>We believe this report provides reasonable assurance regarding the operating effectiveness of the Company's controls during the specified period. However, we emphasize that controls may become less effective over time and that the occurrences of errors and irregularities, though unlikely, cannot be ruled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