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sz w:val="32"/>
        </w:rPr>
        <w:t>AI 在法律领域应用的技术研究报告</w:t>
      </w:r>
    </w:p>
    <w:p>
      <w:pPr>
        <w:pStyle w:val="Heading2"/>
      </w:pPr>
      <w:r>
        <w:rPr>
          <w:rFonts w:ascii="Times New Roman" w:hAnsi="Times New Roman" w:eastAsia="黑体"/>
          <w:sz w:val="28"/>
        </w:rPr>
        <w:t>一、研究概述</w:t>
      </w:r>
    </w:p>
    <w:p>
      <w:pPr>
        <w:pStyle w:val="Heading3"/>
      </w:pPr>
      <w:r>
        <w:rPr>
          <w:rFonts w:ascii="Times New Roman" w:hAnsi="Times New Roman" w:eastAsia="宋体"/>
          <w:sz w:val="26"/>
        </w:rPr>
        <w:t>1.1 研究背景</w:t>
      </w:r>
    </w:p>
    <w:p>
      <w:pPr>
        <w:ind w:firstLine="420"/>
      </w:pPr>
      <w:r>
        <w:rPr>
          <w:rFonts w:ascii="Times New Roman" w:hAnsi="Times New Roman" w:eastAsia="宋体"/>
          <w:b w:val="0"/>
          <w:sz w:val="24"/>
        </w:rPr>
        <w:t>人工智能技术正深刻改变法律行业的运作方式。从早期的规则式专家系统到当前基于大语言模型（LLM）的智能应用，法律 AI 经历了多次技术范式转换。本报告对 AI 在法律领域的技术发展、核心挑战、应用现状及未来趋势进行系统梳理，为本智能法务系统的设计提供技术依据。</w:t>
      </w:r>
    </w:p>
    <w:p>
      <w:pPr>
        <w:pStyle w:val="Heading3"/>
      </w:pPr>
      <w:r>
        <w:rPr>
          <w:rFonts w:ascii="Times New Roman" w:hAnsi="Times New Roman" w:eastAsia="宋体"/>
          <w:sz w:val="26"/>
        </w:rPr>
        <w:t>1.2 研究方法</w:t>
      </w:r>
    </w:p>
    <w:p>
      <w:pPr>
        <w:pStyle w:val="ListBullet"/>
      </w:pPr>
      <w:r>
        <w:rPr>
          <w:rFonts w:ascii="Times New Roman" w:hAnsi="Times New Roman" w:eastAsia="宋体"/>
          <w:sz w:val="22"/>
        </w:rPr>
        <w:t>文献调研：覆盖 2020-2026 年法律 AI 领域的学术论文和技术报告</w:t>
      </w:r>
    </w:p>
    <w:p>
      <w:pPr>
        <w:pStyle w:val="ListBullet"/>
      </w:pPr>
      <w:r>
        <w:rPr>
          <w:rFonts w:ascii="Times New Roman" w:hAnsi="Times New Roman" w:eastAsia="宋体"/>
          <w:sz w:val="22"/>
        </w:rPr>
        <w:t>产品调研：分析国内外主流法律 AI 产品的技术架构和能力边界</w:t>
      </w:r>
    </w:p>
    <w:p>
      <w:pPr>
        <w:pStyle w:val="ListBullet"/>
      </w:pPr>
      <w:r>
        <w:rPr>
          <w:rFonts w:ascii="Times New Roman" w:hAnsi="Times New Roman" w:eastAsia="宋体"/>
          <w:sz w:val="22"/>
        </w:rPr>
        <w:t>实验验证：基于合同审查、法律咨询等场景，对比不同 LLM 模型的表现</w:t>
      </w:r>
    </w:p>
    <w:p/>
    <w:p>
      <w:pPr>
        <w:pStyle w:val="Heading2"/>
      </w:pPr>
      <w:r>
        <w:rPr>
          <w:rFonts w:ascii="Times New Roman" w:hAnsi="Times New Roman" w:eastAsia="黑体"/>
          <w:sz w:val="28"/>
        </w:rPr>
        <w:t>二、法律 AI 技术发展综述</w:t>
      </w:r>
    </w:p>
    <w:p>
      <w:pPr>
        <w:pStyle w:val="Heading3"/>
      </w:pPr>
      <w:r>
        <w:rPr>
          <w:rFonts w:ascii="Times New Roman" w:hAnsi="Times New Roman" w:eastAsia="宋体"/>
          <w:sz w:val="26"/>
        </w:rPr>
        <w:t>2.1 发展历程</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B2A4A" w:val="clear"/>
          </w:tcPr>
          <w:p>
            <w:pPr>
              <w:jc w:val="center"/>
            </w:pPr>
            <w:r/>
            <w:r>
              <w:rPr>
                <w:rFonts w:ascii="Times New Roman" w:hAnsi="Times New Roman" w:eastAsia="宋体"/>
                <w:b/>
                <w:color w:val="FFFFFF"/>
                <w:sz w:val="20"/>
              </w:rPr>
              <w:t>阶段</w:t>
            </w:r>
          </w:p>
        </w:tc>
        <w:tc>
          <w:tcPr>
            <w:tcW w:type="dxa" w:w="1729"/>
            <w:shd w:fill="1B2A4A" w:val="clear"/>
          </w:tcPr>
          <w:p>
            <w:pPr>
              <w:jc w:val="center"/>
            </w:pPr>
            <w:r/>
            <w:r>
              <w:rPr>
                <w:rFonts w:ascii="Times New Roman" w:hAnsi="Times New Roman" w:eastAsia="宋体"/>
                <w:b/>
                <w:color w:val="FFFFFF"/>
                <w:sz w:val="20"/>
              </w:rPr>
              <w:t>时间</w:t>
            </w:r>
          </w:p>
        </w:tc>
        <w:tc>
          <w:tcPr>
            <w:tcW w:type="dxa" w:w="1729"/>
            <w:shd w:fill="1B2A4A" w:val="clear"/>
          </w:tcPr>
          <w:p>
            <w:pPr>
              <w:jc w:val="center"/>
            </w:pPr>
            <w:r/>
            <w:r>
              <w:rPr>
                <w:rFonts w:ascii="Times New Roman" w:hAnsi="Times New Roman" w:eastAsia="宋体"/>
                <w:b/>
                <w:color w:val="FFFFFF"/>
                <w:sz w:val="20"/>
              </w:rPr>
              <w:t>技术路线</w:t>
            </w:r>
          </w:p>
        </w:tc>
        <w:tc>
          <w:tcPr>
            <w:tcW w:type="dxa" w:w="1729"/>
            <w:shd w:fill="1B2A4A" w:val="clear"/>
          </w:tcPr>
          <w:p>
            <w:pPr>
              <w:jc w:val="center"/>
            </w:pPr>
            <w:r/>
            <w:r>
              <w:rPr>
                <w:rFonts w:ascii="Times New Roman" w:hAnsi="Times New Roman" w:eastAsia="宋体"/>
                <w:b/>
                <w:color w:val="FFFFFF"/>
                <w:sz w:val="20"/>
              </w:rPr>
              <w:t>代表性系统</w:t>
            </w:r>
          </w:p>
        </w:tc>
        <w:tc>
          <w:tcPr>
            <w:tcW w:type="dxa" w:w="1729"/>
            <w:shd w:fill="1B2A4A" w:val="clear"/>
          </w:tcPr>
          <w:p>
            <w:pPr>
              <w:jc w:val="center"/>
            </w:pPr>
            <w:r/>
            <w:r>
              <w:rPr>
                <w:rFonts w:ascii="Times New Roman" w:hAnsi="Times New Roman" w:eastAsia="宋体"/>
                <w:b/>
                <w:color w:val="FFFFFF"/>
                <w:sz w:val="20"/>
              </w:rPr>
              <w:t>能力边界</w:t>
            </w:r>
          </w:p>
        </w:tc>
      </w:tr>
      <w:tr>
        <w:tc>
          <w:tcPr>
            <w:tcW w:type="dxa" w:w="1729"/>
            <w:shd w:fill="F7F3EB" w:val="clear"/>
          </w:tcPr>
          <w:p>
            <w:r/>
            <w:r>
              <w:rPr>
                <w:rFonts w:ascii="Times New Roman" w:hAnsi="Times New Roman" w:eastAsia="宋体"/>
                <w:sz w:val="18"/>
              </w:rPr>
              <w:t>规则时代</w:t>
            </w:r>
          </w:p>
        </w:tc>
        <w:tc>
          <w:tcPr>
            <w:tcW w:type="dxa" w:w="1729"/>
            <w:shd w:fill="F7F3EB" w:val="clear"/>
          </w:tcPr>
          <w:p>
            <w:r/>
            <w:r>
              <w:rPr>
                <w:rFonts w:ascii="Times New Roman" w:hAnsi="Times New Roman" w:eastAsia="宋体"/>
                <w:sz w:val="18"/>
              </w:rPr>
              <w:t>1970s-2000s</w:t>
            </w:r>
          </w:p>
        </w:tc>
        <w:tc>
          <w:tcPr>
            <w:tcW w:type="dxa" w:w="1729"/>
            <w:shd w:fill="F7F3EB" w:val="clear"/>
          </w:tcPr>
          <w:p>
            <w:r/>
            <w:r>
              <w:rPr>
                <w:rFonts w:ascii="Times New Roman" w:hAnsi="Times New Roman" w:eastAsia="宋体"/>
                <w:sz w:val="18"/>
              </w:rPr>
              <w:t>专家系统、决策树</w:t>
            </w:r>
          </w:p>
        </w:tc>
        <w:tc>
          <w:tcPr>
            <w:tcW w:type="dxa" w:w="1729"/>
            <w:shd w:fill="F7F3EB" w:val="clear"/>
          </w:tcPr>
          <w:p>
            <w:r/>
            <w:r>
              <w:rPr>
                <w:rFonts w:ascii="Times New Roman" w:hAnsi="Times New Roman" w:eastAsia="宋体"/>
                <w:sz w:val="18"/>
              </w:rPr>
              <w:t>法律检索数据库</w:t>
            </w:r>
          </w:p>
        </w:tc>
        <w:tc>
          <w:tcPr>
            <w:tcW w:type="dxa" w:w="1729"/>
            <w:shd w:fill="F7F3EB" w:val="clear"/>
          </w:tcPr>
          <w:p>
            <w:r/>
            <w:r>
              <w:rPr>
                <w:rFonts w:ascii="Times New Roman" w:hAnsi="Times New Roman" w:eastAsia="宋体"/>
                <w:sz w:val="18"/>
              </w:rPr>
              <w:t>仅关键词匹配</w:t>
            </w:r>
          </w:p>
        </w:tc>
      </w:tr>
      <w:tr>
        <w:tc>
          <w:tcPr>
            <w:tcW w:type="dxa" w:w="1729"/>
          </w:tcPr>
          <w:p>
            <w:r/>
            <w:r>
              <w:rPr>
                <w:rFonts w:ascii="Times New Roman" w:hAnsi="Times New Roman" w:eastAsia="宋体"/>
                <w:sz w:val="18"/>
              </w:rPr>
              <w:t>统计时代</w:t>
            </w:r>
          </w:p>
        </w:tc>
        <w:tc>
          <w:tcPr>
            <w:tcW w:type="dxa" w:w="1729"/>
          </w:tcPr>
          <w:p>
            <w:r/>
            <w:r>
              <w:rPr>
                <w:rFonts w:ascii="Times New Roman" w:hAnsi="Times New Roman" w:eastAsia="宋体"/>
                <w:sz w:val="18"/>
              </w:rPr>
              <w:t>2000s-2015</w:t>
            </w:r>
          </w:p>
        </w:tc>
        <w:tc>
          <w:tcPr>
            <w:tcW w:type="dxa" w:w="1729"/>
          </w:tcPr>
          <w:p>
            <w:r/>
            <w:r>
              <w:rPr>
                <w:rFonts w:ascii="Times New Roman" w:hAnsi="Times New Roman" w:eastAsia="宋体"/>
                <w:sz w:val="18"/>
              </w:rPr>
              <w:t>机器学习、NLP</w:t>
            </w:r>
          </w:p>
        </w:tc>
        <w:tc>
          <w:tcPr>
            <w:tcW w:type="dxa" w:w="1729"/>
          </w:tcPr>
          <w:p>
            <w:r/>
            <w:r>
              <w:rPr>
                <w:rFonts w:ascii="Times New Roman" w:hAnsi="Times New Roman" w:eastAsia="宋体"/>
                <w:sz w:val="18"/>
              </w:rPr>
              <w:t>ROSS Intelligence（IBM Watson）</w:t>
            </w:r>
          </w:p>
        </w:tc>
        <w:tc>
          <w:tcPr>
            <w:tcW w:type="dxa" w:w="1729"/>
          </w:tcPr>
          <w:p>
            <w:r/>
            <w:r>
              <w:rPr>
                <w:rFonts w:ascii="Times New Roman" w:hAnsi="Times New Roman" w:eastAsia="宋体"/>
                <w:sz w:val="18"/>
              </w:rPr>
              <w:t>简单分类和检索</w:t>
            </w:r>
          </w:p>
        </w:tc>
      </w:tr>
      <w:tr>
        <w:tc>
          <w:tcPr>
            <w:tcW w:type="dxa" w:w="1729"/>
            <w:shd w:fill="F7F3EB" w:val="clear"/>
          </w:tcPr>
          <w:p>
            <w:r/>
            <w:r>
              <w:rPr>
                <w:rFonts w:ascii="Times New Roman" w:hAnsi="Times New Roman" w:eastAsia="宋体"/>
                <w:sz w:val="18"/>
              </w:rPr>
              <w:t>深度学习</w:t>
            </w:r>
          </w:p>
        </w:tc>
        <w:tc>
          <w:tcPr>
            <w:tcW w:type="dxa" w:w="1729"/>
            <w:shd w:fill="F7F3EB" w:val="clear"/>
          </w:tcPr>
          <w:p>
            <w:r/>
            <w:r>
              <w:rPr>
                <w:rFonts w:ascii="Times New Roman" w:hAnsi="Times New Roman" w:eastAsia="宋体"/>
                <w:sz w:val="18"/>
              </w:rPr>
              <w:t>2015-2022</w:t>
            </w:r>
          </w:p>
        </w:tc>
        <w:tc>
          <w:tcPr>
            <w:tcW w:type="dxa" w:w="1729"/>
            <w:shd w:fill="F7F3EB" w:val="clear"/>
          </w:tcPr>
          <w:p>
            <w:r/>
            <w:r>
              <w:rPr>
                <w:rFonts w:ascii="Times New Roman" w:hAnsi="Times New Roman" w:eastAsia="宋体"/>
                <w:sz w:val="18"/>
              </w:rPr>
              <w:t>LSTM、BERT 等</w:t>
            </w:r>
          </w:p>
        </w:tc>
        <w:tc>
          <w:tcPr>
            <w:tcW w:type="dxa" w:w="1729"/>
            <w:shd w:fill="F7F3EB" w:val="clear"/>
          </w:tcPr>
          <w:p>
            <w:r/>
            <w:r>
              <w:rPr>
                <w:rFonts w:ascii="Times New Roman" w:hAnsi="Times New Roman" w:eastAsia="宋体"/>
                <w:sz w:val="18"/>
              </w:rPr>
              <w:t>Casetext、Luminance</w:t>
            </w:r>
          </w:p>
        </w:tc>
        <w:tc>
          <w:tcPr>
            <w:tcW w:type="dxa" w:w="1729"/>
            <w:shd w:fill="F7F3EB" w:val="clear"/>
          </w:tcPr>
          <w:p>
            <w:r/>
            <w:r>
              <w:rPr>
                <w:rFonts w:ascii="Times New Roman" w:hAnsi="Times New Roman" w:eastAsia="宋体"/>
                <w:sz w:val="18"/>
              </w:rPr>
              <w:t>语义理解初步</w:t>
            </w:r>
          </w:p>
        </w:tc>
      </w:tr>
      <w:tr>
        <w:tc>
          <w:tcPr>
            <w:tcW w:type="dxa" w:w="1729"/>
          </w:tcPr>
          <w:p>
            <w:r/>
            <w:r>
              <w:rPr>
                <w:rFonts w:ascii="Times New Roman" w:hAnsi="Times New Roman" w:eastAsia="宋体"/>
                <w:sz w:val="18"/>
              </w:rPr>
              <w:t>大模型时代</w:t>
            </w:r>
          </w:p>
        </w:tc>
        <w:tc>
          <w:tcPr>
            <w:tcW w:type="dxa" w:w="1729"/>
          </w:tcPr>
          <w:p>
            <w:r/>
            <w:r>
              <w:rPr>
                <w:rFonts w:ascii="Times New Roman" w:hAnsi="Times New Roman" w:eastAsia="宋体"/>
                <w:sz w:val="18"/>
              </w:rPr>
              <w:t>2023-至今</w:t>
            </w:r>
          </w:p>
        </w:tc>
        <w:tc>
          <w:tcPr>
            <w:tcW w:type="dxa" w:w="1729"/>
          </w:tcPr>
          <w:p>
            <w:r/>
            <w:r>
              <w:rPr>
                <w:rFonts w:ascii="Times New Roman" w:hAnsi="Times New Roman" w:eastAsia="宋体"/>
                <w:sz w:val="18"/>
              </w:rPr>
              <w:t>Transformer、GPT-4、Claude</w:t>
            </w:r>
          </w:p>
        </w:tc>
        <w:tc>
          <w:tcPr>
            <w:tcW w:type="dxa" w:w="1729"/>
          </w:tcPr>
          <w:p>
            <w:r/>
            <w:r>
              <w:rPr>
                <w:rFonts w:ascii="Times New Roman" w:hAnsi="Times New Roman" w:eastAsia="宋体"/>
                <w:sz w:val="18"/>
              </w:rPr>
              <w:t>Harvey AI、CoCounsel、本系统</w:t>
            </w:r>
          </w:p>
        </w:tc>
        <w:tc>
          <w:tcPr>
            <w:tcW w:type="dxa" w:w="1729"/>
          </w:tcPr>
          <w:p>
            <w:r/>
            <w:r>
              <w:rPr>
                <w:rFonts w:ascii="Times New Roman" w:hAnsi="Times New Roman" w:eastAsia="宋体"/>
                <w:sz w:val="18"/>
              </w:rPr>
              <w:t>深度理解和生成</w:t>
            </w:r>
          </w:p>
        </w:tc>
      </w:tr>
    </w:tbl>
    <w:p>
      <w:pPr>
        <w:pStyle w:val="Heading3"/>
      </w:pPr>
      <w:r>
        <w:rPr>
          <w:rFonts w:ascii="Times New Roman" w:hAnsi="Times New Roman" w:eastAsia="宋体"/>
          <w:sz w:val="26"/>
        </w:rPr>
        <w:t>2.2 关键技术演进</w:t>
      </w:r>
    </w:p>
    <w:p>
      <w:pPr>
        <w:pStyle w:val="Heading4"/>
      </w:pPr>
      <w:r>
        <w:rPr>
          <w:rFonts w:ascii="Times New Roman" w:hAnsi="Times New Roman" w:eastAsia="宋体"/>
          <w:sz w:val="24"/>
        </w:rPr>
        <w:t>2.2.1 法律文本表示</w:t>
      </w:r>
    </w:p>
    <w:p>
      <w:pPr>
        <w:ind w:firstLine="420"/>
      </w:pPr>
      <w:r>
        <w:rPr>
          <w:rFonts w:ascii="Times New Roman" w:hAnsi="Times New Roman" w:eastAsia="宋体"/>
          <w:b w:val="0"/>
          <w:sz w:val="24"/>
        </w:rPr>
        <w:t>从 TF-IDF → Word2Vec → BERT → GPT/Claude 的演进，法律文本的语义理解能力实现了质的飞跃。尤其是 2023 年以后，GPT-4 和 Claude 系列模型在法律领域的表现已达到甚至超过部分法律专业人士的水平。</w:t>
      </w:r>
    </w:p>
    <w:p>
      <w:pPr>
        <w:pStyle w:val="Heading4"/>
      </w:pPr>
      <w:r>
        <w:rPr>
          <w:rFonts w:ascii="Times New Roman" w:hAnsi="Times New Roman" w:eastAsia="宋体"/>
          <w:sz w:val="24"/>
        </w:rPr>
        <w:t>2.2.2 检索增强生成（RAG）</w:t>
      </w:r>
    </w:p>
    <w:p>
      <w:pPr>
        <w:ind w:firstLine="420"/>
      </w:pPr>
      <w:r>
        <w:rPr>
          <w:rFonts w:ascii="Times New Roman" w:hAnsi="Times New Roman" w:eastAsia="宋体"/>
          <w:b w:val="0"/>
          <w:sz w:val="24"/>
        </w:rPr>
        <w:t>2023 年，RAG 技术成为法律 AI 的事实标准架构。其核心思想是在 LLM 生成回答之前，先从外部知识库检索相关法律依据，以检索结果作为上下文指导生成过程。这有效缓解了 LLM 的幻觉问题，并提供回答的可追溯性。</w:t>
      </w:r>
    </w:p>
    <w:p>
      <w:pPr>
        <w:pStyle w:val="Heading4"/>
      </w:pPr>
      <w:r>
        <w:rPr>
          <w:rFonts w:ascii="Times New Roman" w:hAnsi="Times New Roman" w:eastAsia="宋体"/>
          <w:sz w:val="24"/>
        </w:rPr>
        <w:t>2.2.3 智能体（Agent）技术</w:t>
      </w:r>
    </w:p>
    <w:p>
      <w:pPr>
        <w:ind w:firstLine="420"/>
      </w:pPr>
      <w:r>
        <w:rPr>
          <w:rFonts w:ascii="Times New Roman" w:hAnsi="Times New Roman" w:eastAsia="宋体"/>
          <w:b w:val="0"/>
          <w:sz w:val="24"/>
        </w:rPr>
        <w:t>2024 年以来，基于 LangChain、LangGraph、AutoGPT 等框架的 Agent 技术崛起。Agent 赋予 LLM 使用工具（搜索、计算、代码执行）和自主决策的能力，使得法律 AI 从简单的"问答"升级为能执行多步骤法律任务的"智能助手"。</w:t>
      </w:r>
    </w:p>
    <w:p/>
    <w:p>
      <w:pPr>
        <w:pStyle w:val="Heading2"/>
      </w:pPr>
      <w:r>
        <w:rPr>
          <w:rFonts w:ascii="Times New Roman" w:hAnsi="Times New Roman" w:eastAsia="黑体"/>
          <w:sz w:val="28"/>
        </w:rPr>
        <w:t>三、主流法律 AI 产品技术分析</w:t>
      </w:r>
    </w:p>
    <w:p>
      <w:pPr>
        <w:pStyle w:val="Heading3"/>
      </w:pPr>
      <w:r>
        <w:rPr>
          <w:rFonts w:ascii="Times New Roman" w:hAnsi="Times New Roman" w:eastAsia="宋体"/>
          <w:sz w:val="26"/>
        </w:rPr>
        <w:t>3.1 国际市场</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B2A4A" w:val="clear"/>
          </w:tcPr>
          <w:p>
            <w:pPr>
              <w:jc w:val="center"/>
            </w:pPr>
            <w:r/>
            <w:r>
              <w:rPr>
                <w:rFonts w:ascii="Times New Roman" w:hAnsi="Times New Roman" w:eastAsia="宋体"/>
                <w:b/>
                <w:color w:val="FFFFFF"/>
                <w:sz w:val="20"/>
              </w:rPr>
              <w:t>产品</w:t>
            </w:r>
          </w:p>
        </w:tc>
        <w:tc>
          <w:tcPr>
            <w:tcW w:type="dxa" w:w="1729"/>
            <w:shd w:fill="1B2A4A" w:val="clear"/>
          </w:tcPr>
          <w:p>
            <w:pPr>
              <w:jc w:val="center"/>
            </w:pPr>
            <w:r/>
            <w:r>
              <w:rPr>
                <w:rFonts w:ascii="Times New Roman" w:hAnsi="Times New Roman" w:eastAsia="宋体"/>
                <w:b/>
                <w:color w:val="FFFFFF"/>
                <w:sz w:val="20"/>
              </w:rPr>
              <w:t>公司</w:t>
            </w:r>
          </w:p>
        </w:tc>
        <w:tc>
          <w:tcPr>
            <w:tcW w:type="dxa" w:w="1729"/>
            <w:shd w:fill="1B2A4A" w:val="clear"/>
          </w:tcPr>
          <w:p>
            <w:pPr>
              <w:jc w:val="center"/>
            </w:pPr>
            <w:r/>
            <w:r>
              <w:rPr>
                <w:rFonts w:ascii="Times New Roman" w:hAnsi="Times New Roman" w:eastAsia="宋体"/>
                <w:b/>
                <w:color w:val="FFFFFF"/>
                <w:sz w:val="20"/>
              </w:rPr>
              <w:t>核心技术</w:t>
            </w:r>
          </w:p>
        </w:tc>
        <w:tc>
          <w:tcPr>
            <w:tcW w:type="dxa" w:w="1729"/>
            <w:shd w:fill="1B2A4A" w:val="clear"/>
          </w:tcPr>
          <w:p>
            <w:pPr>
              <w:jc w:val="center"/>
            </w:pPr>
            <w:r/>
            <w:r>
              <w:rPr>
                <w:rFonts w:ascii="Times New Roman" w:hAnsi="Times New Roman" w:eastAsia="宋体"/>
                <w:b/>
                <w:color w:val="FFFFFF"/>
                <w:sz w:val="20"/>
              </w:rPr>
              <w:t>功能特点</w:t>
            </w:r>
          </w:p>
        </w:tc>
        <w:tc>
          <w:tcPr>
            <w:tcW w:type="dxa" w:w="1729"/>
            <w:shd w:fill="1B2A4A" w:val="clear"/>
          </w:tcPr>
          <w:p>
            <w:pPr>
              <w:jc w:val="center"/>
            </w:pPr>
            <w:r/>
            <w:r>
              <w:rPr>
                <w:rFonts w:ascii="Times New Roman" w:hAnsi="Times New Roman" w:eastAsia="宋体"/>
                <w:b/>
                <w:color w:val="FFFFFF"/>
                <w:sz w:val="20"/>
              </w:rPr>
              <w:t>局限性</w:t>
            </w:r>
          </w:p>
        </w:tc>
      </w:tr>
      <w:tr>
        <w:tc>
          <w:tcPr>
            <w:tcW w:type="dxa" w:w="1729"/>
            <w:shd w:fill="F7F3EB" w:val="clear"/>
          </w:tcPr>
          <w:p>
            <w:r/>
            <w:r>
              <w:rPr>
                <w:rFonts w:ascii="Times New Roman" w:hAnsi="Times New Roman" w:eastAsia="宋体"/>
                <w:sz w:val="18"/>
              </w:rPr>
              <w:t>**Harvey AI**</w:t>
            </w:r>
          </w:p>
        </w:tc>
        <w:tc>
          <w:tcPr>
            <w:tcW w:type="dxa" w:w="1729"/>
            <w:shd w:fill="F7F3EB" w:val="clear"/>
          </w:tcPr>
          <w:p>
            <w:r/>
            <w:r>
              <w:rPr>
                <w:rFonts w:ascii="Times New Roman" w:hAnsi="Times New Roman" w:eastAsia="宋体"/>
                <w:sz w:val="18"/>
              </w:rPr>
              <w:t>Harvey</w:t>
            </w:r>
          </w:p>
        </w:tc>
        <w:tc>
          <w:tcPr>
            <w:tcW w:type="dxa" w:w="1729"/>
            <w:shd w:fill="F7F3EB" w:val="clear"/>
          </w:tcPr>
          <w:p>
            <w:r/>
            <w:r>
              <w:rPr>
                <w:rFonts w:ascii="Times New Roman" w:hAnsi="Times New Roman" w:eastAsia="宋体"/>
                <w:sz w:val="18"/>
              </w:rPr>
              <w:t>GPT-4 + 法律微调</w:t>
            </w:r>
          </w:p>
        </w:tc>
        <w:tc>
          <w:tcPr>
            <w:tcW w:type="dxa" w:w="1729"/>
            <w:shd w:fill="F7F3EB" w:val="clear"/>
          </w:tcPr>
          <w:p>
            <w:r/>
            <w:r>
              <w:rPr>
                <w:rFonts w:ascii="Times New Roman" w:hAnsi="Times New Roman" w:eastAsia="宋体"/>
                <w:sz w:val="18"/>
              </w:rPr>
              <w:t>合同分析、法律研究、文档生成</w:t>
            </w:r>
          </w:p>
        </w:tc>
        <w:tc>
          <w:tcPr>
            <w:tcW w:type="dxa" w:w="1729"/>
            <w:shd w:fill="F7F3EB" w:val="clear"/>
          </w:tcPr>
          <w:p>
            <w:r/>
            <w:r>
              <w:rPr>
                <w:rFonts w:ascii="Times New Roman" w:hAnsi="Times New Roman" w:eastAsia="宋体"/>
                <w:sz w:val="18"/>
              </w:rPr>
              <w:t>仅支持英美法系，价格昂贵</w:t>
            </w:r>
          </w:p>
        </w:tc>
      </w:tr>
      <w:tr>
        <w:tc>
          <w:tcPr>
            <w:tcW w:type="dxa" w:w="1729"/>
          </w:tcPr>
          <w:p>
            <w:r/>
            <w:r>
              <w:rPr>
                <w:rFonts w:ascii="Times New Roman" w:hAnsi="Times New Roman" w:eastAsia="宋体"/>
                <w:sz w:val="18"/>
              </w:rPr>
              <w:t>**CoCounsel**</w:t>
            </w:r>
          </w:p>
        </w:tc>
        <w:tc>
          <w:tcPr>
            <w:tcW w:type="dxa" w:w="1729"/>
          </w:tcPr>
          <w:p>
            <w:r/>
            <w:r>
              <w:rPr>
                <w:rFonts w:ascii="Times New Roman" w:hAnsi="Times New Roman" w:eastAsia="宋体"/>
                <w:sz w:val="18"/>
              </w:rPr>
              <w:t>Thomson Reuters</w:t>
            </w:r>
          </w:p>
        </w:tc>
        <w:tc>
          <w:tcPr>
            <w:tcW w:type="dxa" w:w="1729"/>
          </w:tcPr>
          <w:p>
            <w:r/>
            <w:r>
              <w:rPr>
                <w:rFonts w:ascii="Times New Roman" w:hAnsi="Times New Roman" w:eastAsia="宋体"/>
                <w:sz w:val="18"/>
              </w:rPr>
              <w:t>GPT-4 + Westlaw 数据库</w:t>
            </w:r>
          </w:p>
        </w:tc>
        <w:tc>
          <w:tcPr>
            <w:tcW w:type="dxa" w:w="1729"/>
          </w:tcPr>
          <w:p>
            <w:r/>
            <w:r>
              <w:rPr>
                <w:rFonts w:ascii="Times New Roman" w:hAnsi="Times New Roman" w:eastAsia="宋体"/>
                <w:sz w:val="18"/>
              </w:rPr>
              <w:t>法律检索、合同审查、尽职调查</w:t>
            </w:r>
          </w:p>
        </w:tc>
        <w:tc>
          <w:tcPr>
            <w:tcW w:type="dxa" w:w="1729"/>
          </w:tcPr>
          <w:p>
            <w:r/>
            <w:r>
              <w:rPr>
                <w:rFonts w:ascii="Times New Roman" w:hAnsi="Times New Roman" w:eastAsia="宋体"/>
                <w:sz w:val="18"/>
              </w:rPr>
              <w:t>依赖 Westlaw 生态</w:t>
            </w:r>
          </w:p>
        </w:tc>
      </w:tr>
      <w:tr>
        <w:tc>
          <w:tcPr>
            <w:tcW w:type="dxa" w:w="1729"/>
            <w:shd w:fill="F7F3EB" w:val="clear"/>
          </w:tcPr>
          <w:p>
            <w:r/>
            <w:r>
              <w:rPr>
                <w:rFonts w:ascii="Times New Roman" w:hAnsi="Times New Roman" w:eastAsia="宋体"/>
                <w:sz w:val="18"/>
              </w:rPr>
              <w:t>**Luminance**</w:t>
            </w:r>
          </w:p>
        </w:tc>
        <w:tc>
          <w:tcPr>
            <w:tcW w:type="dxa" w:w="1729"/>
            <w:shd w:fill="F7F3EB" w:val="clear"/>
          </w:tcPr>
          <w:p>
            <w:r/>
            <w:r>
              <w:rPr>
                <w:rFonts w:ascii="Times New Roman" w:hAnsi="Times New Roman" w:eastAsia="宋体"/>
                <w:sz w:val="18"/>
              </w:rPr>
              <w:t>Luminance</w:t>
            </w:r>
          </w:p>
        </w:tc>
        <w:tc>
          <w:tcPr>
            <w:tcW w:type="dxa" w:w="1729"/>
            <w:shd w:fill="F7F3EB" w:val="clear"/>
          </w:tcPr>
          <w:p>
            <w:r/>
            <w:r>
              <w:rPr>
                <w:rFonts w:ascii="Times New Roman" w:hAnsi="Times New Roman" w:eastAsia="宋体"/>
                <w:sz w:val="18"/>
              </w:rPr>
              <w:t>自研 LLM + 模式识别</w:t>
            </w:r>
          </w:p>
        </w:tc>
        <w:tc>
          <w:tcPr>
            <w:tcW w:type="dxa" w:w="1729"/>
            <w:shd w:fill="F7F3EB" w:val="clear"/>
          </w:tcPr>
          <w:p>
            <w:r/>
            <w:r>
              <w:rPr>
                <w:rFonts w:ascii="Times New Roman" w:hAnsi="Times New Roman" w:eastAsia="宋体"/>
                <w:sz w:val="18"/>
              </w:rPr>
              <w:t>合同分析、合规审查</w:t>
            </w:r>
          </w:p>
        </w:tc>
        <w:tc>
          <w:tcPr>
            <w:tcW w:type="dxa" w:w="1729"/>
            <w:shd w:fill="F7F3EB" w:val="clear"/>
          </w:tcPr>
          <w:p>
            <w:r/>
            <w:r>
              <w:rPr>
                <w:rFonts w:ascii="Times New Roman" w:hAnsi="Times New Roman" w:eastAsia="宋体"/>
                <w:sz w:val="18"/>
              </w:rPr>
              <w:t>侧重企业法务</w:t>
            </w:r>
          </w:p>
        </w:tc>
      </w:tr>
      <w:tr>
        <w:tc>
          <w:tcPr>
            <w:tcW w:type="dxa" w:w="1729"/>
          </w:tcPr>
          <w:p>
            <w:r/>
            <w:r>
              <w:rPr>
                <w:rFonts w:ascii="Times New Roman" w:hAnsi="Times New Roman" w:eastAsia="宋体"/>
                <w:sz w:val="18"/>
              </w:rPr>
              <w:t>**Lexis+ AI**</w:t>
            </w:r>
          </w:p>
        </w:tc>
        <w:tc>
          <w:tcPr>
            <w:tcW w:type="dxa" w:w="1729"/>
          </w:tcPr>
          <w:p>
            <w:r/>
            <w:r>
              <w:rPr>
                <w:rFonts w:ascii="Times New Roman" w:hAnsi="Times New Roman" w:eastAsia="宋体"/>
                <w:sz w:val="18"/>
              </w:rPr>
              <w:t>LexisNexis</w:t>
            </w:r>
          </w:p>
        </w:tc>
        <w:tc>
          <w:tcPr>
            <w:tcW w:type="dxa" w:w="1729"/>
          </w:tcPr>
          <w:p>
            <w:r/>
            <w:r>
              <w:rPr>
                <w:rFonts w:ascii="Times New Roman" w:hAnsi="Times New Roman" w:eastAsia="宋体"/>
                <w:sz w:val="18"/>
              </w:rPr>
              <w:t>自研 + 第三方 LLM</w:t>
            </w:r>
          </w:p>
        </w:tc>
        <w:tc>
          <w:tcPr>
            <w:tcW w:type="dxa" w:w="1729"/>
          </w:tcPr>
          <w:p>
            <w:r/>
            <w:r>
              <w:rPr>
                <w:rFonts w:ascii="Times New Roman" w:hAnsi="Times New Roman" w:eastAsia="宋体"/>
                <w:sz w:val="18"/>
              </w:rPr>
              <w:t>法律检索、文档分析</w:t>
            </w:r>
          </w:p>
        </w:tc>
        <w:tc>
          <w:tcPr>
            <w:tcW w:type="dxa" w:w="1729"/>
          </w:tcPr>
          <w:p>
            <w:r/>
            <w:r>
              <w:rPr>
                <w:rFonts w:ascii="Times New Roman" w:hAnsi="Times New Roman" w:eastAsia="宋体"/>
                <w:sz w:val="18"/>
              </w:rPr>
              <w:t>依赖 LexisNexis 数据库</w:t>
            </w:r>
          </w:p>
        </w:tc>
      </w:tr>
    </w:tbl>
    <w:p>
      <w:pPr>
        <w:pStyle w:val="Heading3"/>
      </w:pPr>
      <w:r>
        <w:rPr>
          <w:rFonts w:ascii="Times New Roman" w:hAnsi="Times New Roman" w:eastAsia="宋体"/>
          <w:sz w:val="26"/>
        </w:rPr>
        <w:t>3.2 中国市场</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B2A4A" w:val="clear"/>
          </w:tcPr>
          <w:p>
            <w:pPr>
              <w:jc w:val="center"/>
            </w:pPr>
            <w:r/>
            <w:r>
              <w:rPr>
                <w:rFonts w:ascii="Times New Roman" w:hAnsi="Times New Roman" w:eastAsia="宋体"/>
                <w:b/>
                <w:color w:val="FFFFFF"/>
                <w:sz w:val="20"/>
              </w:rPr>
              <w:t>产品</w:t>
            </w:r>
          </w:p>
        </w:tc>
        <w:tc>
          <w:tcPr>
            <w:tcW w:type="dxa" w:w="1729"/>
            <w:shd w:fill="1B2A4A" w:val="clear"/>
          </w:tcPr>
          <w:p>
            <w:pPr>
              <w:jc w:val="center"/>
            </w:pPr>
            <w:r/>
            <w:r>
              <w:rPr>
                <w:rFonts w:ascii="Times New Roman" w:hAnsi="Times New Roman" w:eastAsia="宋体"/>
                <w:b/>
                <w:color w:val="FFFFFF"/>
                <w:sz w:val="20"/>
              </w:rPr>
              <w:t>公司</w:t>
            </w:r>
          </w:p>
        </w:tc>
        <w:tc>
          <w:tcPr>
            <w:tcW w:type="dxa" w:w="1729"/>
            <w:shd w:fill="1B2A4A" w:val="clear"/>
          </w:tcPr>
          <w:p>
            <w:pPr>
              <w:jc w:val="center"/>
            </w:pPr>
            <w:r/>
            <w:r>
              <w:rPr>
                <w:rFonts w:ascii="Times New Roman" w:hAnsi="Times New Roman" w:eastAsia="宋体"/>
                <w:b/>
                <w:color w:val="FFFFFF"/>
                <w:sz w:val="20"/>
              </w:rPr>
              <w:t>核心技术</w:t>
            </w:r>
          </w:p>
        </w:tc>
        <w:tc>
          <w:tcPr>
            <w:tcW w:type="dxa" w:w="1729"/>
            <w:shd w:fill="1B2A4A" w:val="clear"/>
          </w:tcPr>
          <w:p>
            <w:pPr>
              <w:jc w:val="center"/>
            </w:pPr>
            <w:r/>
            <w:r>
              <w:rPr>
                <w:rFonts w:ascii="Times New Roman" w:hAnsi="Times New Roman" w:eastAsia="宋体"/>
                <w:b/>
                <w:color w:val="FFFFFF"/>
                <w:sz w:val="20"/>
              </w:rPr>
              <w:t>功能特点</w:t>
            </w:r>
          </w:p>
        </w:tc>
        <w:tc>
          <w:tcPr>
            <w:tcW w:type="dxa" w:w="1729"/>
            <w:shd w:fill="1B2A4A" w:val="clear"/>
          </w:tcPr>
          <w:p>
            <w:pPr>
              <w:jc w:val="center"/>
            </w:pPr>
            <w:r/>
            <w:r>
              <w:rPr>
                <w:rFonts w:ascii="Times New Roman" w:hAnsi="Times New Roman" w:eastAsia="宋体"/>
                <w:b/>
                <w:color w:val="FFFFFF"/>
                <w:sz w:val="20"/>
              </w:rPr>
              <w:t>局限性</w:t>
            </w:r>
          </w:p>
        </w:tc>
      </w:tr>
      <w:tr>
        <w:tc>
          <w:tcPr>
            <w:tcW w:type="dxa" w:w="1729"/>
            <w:shd w:fill="F7F3EB" w:val="clear"/>
          </w:tcPr>
          <w:p>
            <w:r/>
            <w:r>
              <w:rPr>
                <w:rFonts w:ascii="Times New Roman" w:hAnsi="Times New Roman" w:eastAsia="宋体"/>
                <w:sz w:val="18"/>
              </w:rPr>
              <w:t>**智爱法律**</w:t>
            </w:r>
          </w:p>
        </w:tc>
        <w:tc>
          <w:tcPr>
            <w:tcW w:type="dxa" w:w="1729"/>
            <w:shd w:fill="F7F3EB" w:val="clear"/>
          </w:tcPr>
          <w:p>
            <w:r/>
            <w:r>
              <w:rPr>
                <w:rFonts w:ascii="Times New Roman" w:hAnsi="Times New Roman" w:eastAsia="宋体"/>
                <w:sz w:val="18"/>
              </w:rPr>
              <w:t>智爱科技</w:t>
            </w:r>
          </w:p>
        </w:tc>
        <w:tc>
          <w:tcPr>
            <w:tcW w:type="dxa" w:w="1729"/>
            <w:shd w:fill="F7F3EB" w:val="clear"/>
          </w:tcPr>
          <w:p>
            <w:r/>
            <w:r>
              <w:rPr>
                <w:rFonts w:ascii="Times New Roman" w:hAnsi="Times New Roman" w:eastAsia="宋体"/>
                <w:sz w:val="18"/>
              </w:rPr>
              <w:t>自研法律 LLM</w:t>
            </w:r>
          </w:p>
        </w:tc>
        <w:tc>
          <w:tcPr>
            <w:tcW w:type="dxa" w:w="1729"/>
            <w:shd w:fill="F7F3EB" w:val="clear"/>
          </w:tcPr>
          <w:p>
            <w:r/>
            <w:r>
              <w:rPr>
                <w:rFonts w:ascii="Times New Roman" w:hAnsi="Times New Roman" w:eastAsia="宋体"/>
                <w:sz w:val="18"/>
              </w:rPr>
              <w:t>合同审查、法律检索</w:t>
            </w:r>
          </w:p>
        </w:tc>
        <w:tc>
          <w:tcPr>
            <w:tcW w:type="dxa" w:w="1729"/>
            <w:shd w:fill="F7F3EB" w:val="clear"/>
          </w:tcPr>
          <w:p>
            <w:r/>
            <w:r>
              <w:rPr>
                <w:rFonts w:ascii="Times New Roman" w:hAnsi="Times New Roman" w:eastAsia="宋体"/>
                <w:sz w:val="18"/>
              </w:rPr>
              <w:t>新兴产品，功能有限</w:t>
            </w:r>
          </w:p>
        </w:tc>
      </w:tr>
      <w:tr>
        <w:tc>
          <w:tcPr>
            <w:tcW w:type="dxa" w:w="1729"/>
          </w:tcPr>
          <w:p>
            <w:r/>
            <w:r>
              <w:rPr>
                <w:rFonts w:ascii="Times New Roman" w:hAnsi="Times New Roman" w:eastAsia="宋体"/>
                <w:sz w:val="18"/>
              </w:rPr>
              <w:t>**幂律智能**</w:t>
            </w:r>
          </w:p>
        </w:tc>
        <w:tc>
          <w:tcPr>
            <w:tcW w:type="dxa" w:w="1729"/>
          </w:tcPr>
          <w:p>
            <w:r/>
            <w:r>
              <w:rPr>
                <w:rFonts w:ascii="Times New Roman" w:hAnsi="Times New Roman" w:eastAsia="宋体"/>
                <w:sz w:val="18"/>
              </w:rPr>
              <w:t>幂律智能</w:t>
            </w:r>
          </w:p>
        </w:tc>
        <w:tc>
          <w:tcPr>
            <w:tcW w:type="dxa" w:w="1729"/>
          </w:tcPr>
          <w:p>
            <w:r/>
            <w:r>
              <w:rPr>
                <w:rFonts w:ascii="Times New Roman" w:hAnsi="Times New Roman" w:eastAsia="宋体"/>
                <w:sz w:val="18"/>
              </w:rPr>
              <w:t>BERT + 规则引擎</w:t>
            </w:r>
          </w:p>
        </w:tc>
        <w:tc>
          <w:tcPr>
            <w:tcW w:type="dxa" w:w="1729"/>
          </w:tcPr>
          <w:p>
            <w:r/>
            <w:r>
              <w:rPr>
                <w:rFonts w:ascii="Times New Roman" w:hAnsi="Times New Roman" w:eastAsia="宋体"/>
                <w:sz w:val="18"/>
              </w:rPr>
              <w:t>合同智能审查</w:t>
            </w:r>
          </w:p>
        </w:tc>
        <w:tc>
          <w:tcPr>
            <w:tcW w:type="dxa" w:w="1729"/>
          </w:tcPr>
          <w:p>
            <w:r/>
            <w:r>
              <w:rPr>
                <w:rFonts w:ascii="Times New Roman" w:hAnsi="Times New Roman" w:eastAsia="宋体"/>
                <w:sz w:val="18"/>
              </w:rPr>
              <w:t>传统 NLP 路线</w:t>
            </w:r>
          </w:p>
        </w:tc>
      </w:tr>
      <w:tr>
        <w:tc>
          <w:tcPr>
            <w:tcW w:type="dxa" w:w="1729"/>
            <w:shd w:fill="F7F3EB" w:val="clear"/>
          </w:tcPr>
          <w:p>
            <w:r/>
            <w:r>
              <w:rPr>
                <w:rFonts w:ascii="Times New Roman" w:hAnsi="Times New Roman" w:eastAsia="宋体"/>
                <w:sz w:val="18"/>
              </w:rPr>
              <w:t>**北大法宝 AI**</w:t>
            </w:r>
          </w:p>
        </w:tc>
        <w:tc>
          <w:tcPr>
            <w:tcW w:type="dxa" w:w="1729"/>
            <w:shd w:fill="F7F3EB" w:val="clear"/>
          </w:tcPr>
          <w:p>
            <w:r/>
            <w:r>
              <w:rPr>
                <w:rFonts w:ascii="Times New Roman" w:hAnsi="Times New Roman" w:eastAsia="宋体"/>
                <w:sz w:val="18"/>
              </w:rPr>
              <w:t>北大英华</w:t>
            </w:r>
          </w:p>
        </w:tc>
        <w:tc>
          <w:tcPr>
            <w:tcW w:type="dxa" w:w="1729"/>
            <w:shd w:fill="F7F3EB" w:val="clear"/>
          </w:tcPr>
          <w:p>
            <w:r/>
            <w:r>
              <w:rPr>
                <w:rFonts w:ascii="Times New Roman" w:hAnsi="Times New Roman" w:eastAsia="宋体"/>
                <w:sz w:val="18"/>
              </w:rPr>
              <w:t>GPT 系列 + 法宝数据库</w:t>
            </w:r>
          </w:p>
        </w:tc>
        <w:tc>
          <w:tcPr>
            <w:tcW w:type="dxa" w:w="1729"/>
            <w:shd w:fill="F7F3EB" w:val="clear"/>
          </w:tcPr>
          <w:p>
            <w:r/>
            <w:r>
              <w:rPr>
                <w:rFonts w:ascii="Times New Roman" w:hAnsi="Times New Roman" w:eastAsia="宋体"/>
                <w:sz w:val="18"/>
              </w:rPr>
              <w:t>法律法规检索、案例分析</w:t>
            </w:r>
          </w:p>
        </w:tc>
        <w:tc>
          <w:tcPr>
            <w:tcW w:type="dxa" w:w="1729"/>
            <w:shd w:fill="F7F3EB" w:val="clear"/>
          </w:tcPr>
          <w:p>
            <w:r/>
            <w:r>
              <w:rPr>
                <w:rFonts w:ascii="Times New Roman" w:hAnsi="Times New Roman" w:eastAsia="宋体"/>
                <w:sz w:val="18"/>
              </w:rPr>
              <w:t>依赖北大法宝数据</w:t>
            </w:r>
          </w:p>
        </w:tc>
      </w:tr>
      <w:tr>
        <w:tc>
          <w:tcPr>
            <w:tcW w:type="dxa" w:w="1729"/>
          </w:tcPr>
          <w:p>
            <w:r/>
            <w:r>
              <w:rPr>
                <w:rFonts w:ascii="Times New Roman" w:hAnsi="Times New Roman" w:eastAsia="宋体"/>
                <w:sz w:val="18"/>
              </w:rPr>
              <w:t>**华宇元典**</w:t>
            </w:r>
          </w:p>
        </w:tc>
        <w:tc>
          <w:tcPr>
            <w:tcW w:type="dxa" w:w="1729"/>
          </w:tcPr>
          <w:p>
            <w:r/>
            <w:r>
              <w:rPr>
                <w:rFonts w:ascii="Times New Roman" w:hAnsi="Times New Roman" w:eastAsia="宋体"/>
                <w:sz w:val="18"/>
              </w:rPr>
              <w:t>华宇软件</w:t>
            </w:r>
          </w:p>
        </w:tc>
        <w:tc>
          <w:tcPr>
            <w:tcW w:type="dxa" w:w="1729"/>
          </w:tcPr>
          <w:p>
            <w:r/>
            <w:r>
              <w:rPr>
                <w:rFonts w:ascii="Times New Roman" w:hAnsi="Times New Roman" w:eastAsia="宋体"/>
                <w:sz w:val="18"/>
              </w:rPr>
              <w:t>自研法律模型</w:t>
            </w:r>
          </w:p>
        </w:tc>
        <w:tc>
          <w:tcPr>
            <w:tcW w:type="dxa" w:w="1729"/>
          </w:tcPr>
          <w:p>
            <w:r/>
            <w:r>
              <w:rPr>
                <w:rFonts w:ascii="Times New Roman" w:hAnsi="Times New Roman" w:eastAsia="宋体"/>
                <w:sz w:val="18"/>
              </w:rPr>
              <w:t>裁判文书分析</w:t>
            </w:r>
          </w:p>
        </w:tc>
        <w:tc>
          <w:tcPr>
            <w:tcW w:type="dxa" w:w="1729"/>
          </w:tcPr>
          <w:p>
            <w:r/>
            <w:r>
              <w:rPr>
                <w:rFonts w:ascii="Times New Roman" w:hAnsi="Times New Roman" w:eastAsia="宋体"/>
                <w:sz w:val="18"/>
              </w:rPr>
              <w:t>面向司法机关</w:t>
            </w:r>
          </w:p>
        </w:tc>
      </w:tr>
    </w:tbl>
    <w:p>
      <w:pPr>
        <w:pStyle w:val="Heading3"/>
      </w:pPr>
      <w:r>
        <w:rPr>
          <w:rFonts w:ascii="Times New Roman" w:hAnsi="Times New Roman" w:eastAsia="宋体"/>
          <w:sz w:val="26"/>
        </w:rPr>
        <w:t>3.3 产品对比启示</w:t>
      </w:r>
    </w:p>
    <w:p>
      <w:pPr>
        <w:pStyle w:val="ListBullet"/>
      </w:pPr>
      <w:r>
        <w:rPr>
          <w:rFonts w:ascii="Times New Roman" w:hAnsi="Times New Roman" w:eastAsia="宋体"/>
          <w:sz w:val="22"/>
        </w:rPr>
        <w:t>**数据壁垒是关键**：优质法律数据库（法规、判例、合同）是核心竞争力</w:t>
      </w:r>
    </w:p>
    <w:p>
      <w:pPr>
        <w:pStyle w:val="ListBullet"/>
      </w:pPr>
      <w:r>
        <w:rPr>
          <w:rFonts w:ascii="Times New Roman" w:hAnsi="Times New Roman" w:eastAsia="宋体"/>
          <w:sz w:val="22"/>
        </w:rPr>
        <w:t>**中国法律环境特殊**：成文法体系 + 独特的案例指导制度，需要本土化适配</w:t>
      </w:r>
    </w:p>
    <w:p>
      <w:pPr>
        <w:pStyle w:val="ListBullet"/>
      </w:pPr>
      <w:r>
        <w:rPr>
          <w:rFonts w:ascii="Times New Roman" w:hAnsi="Times New Roman" w:eastAsia="宋体"/>
          <w:sz w:val="22"/>
        </w:rPr>
        <w:t>**安全合规是底线**：法律 AI 必须满足可解释性、可追溯性的监管要求</w:t>
      </w:r>
    </w:p>
    <w:p>
      <w:pPr>
        <w:pStyle w:val="ListBullet"/>
      </w:pPr>
      <w:r>
        <w:rPr>
          <w:rFonts w:ascii="Times New Roman" w:hAnsi="Times New Roman" w:eastAsia="宋体"/>
          <w:sz w:val="22"/>
        </w:rPr>
        <w:t>**人机协作是方向**：AI 辅助而非替代律师，这是行业共识</w:t>
      </w:r>
    </w:p>
    <w:p/>
    <w:p>
      <w:pPr>
        <w:pStyle w:val="Heading2"/>
      </w:pPr>
      <w:r>
        <w:rPr>
          <w:rFonts w:ascii="Times New Roman" w:hAnsi="Times New Roman" w:eastAsia="黑体"/>
          <w:sz w:val="28"/>
        </w:rPr>
        <w:t>四、大语言模型在法律任务中的能力对比</w:t>
      </w:r>
    </w:p>
    <w:p>
      <w:pPr>
        <w:pStyle w:val="Heading3"/>
      </w:pPr>
      <w:r>
        <w:rPr>
          <w:rFonts w:ascii="Times New Roman" w:hAnsi="Times New Roman" w:eastAsia="宋体"/>
          <w:sz w:val="26"/>
        </w:rPr>
        <w:t>4.1 模型对比框架</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B2A4A" w:val="clear"/>
          </w:tcPr>
          <w:p>
            <w:pPr>
              <w:jc w:val="center"/>
            </w:pPr>
            <w:r/>
            <w:r>
              <w:rPr>
                <w:rFonts w:ascii="Times New Roman" w:hAnsi="Times New Roman" w:eastAsia="宋体"/>
                <w:b/>
                <w:color w:val="FFFFFF"/>
                <w:sz w:val="20"/>
              </w:rPr>
              <w:t>维度</w:t>
            </w:r>
          </w:p>
        </w:tc>
        <w:tc>
          <w:tcPr>
            <w:tcW w:type="dxa" w:w="2882"/>
            <w:shd w:fill="1B2A4A" w:val="clear"/>
          </w:tcPr>
          <w:p>
            <w:pPr>
              <w:jc w:val="center"/>
            </w:pPr>
            <w:r/>
            <w:r>
              <w:rPr>
                <w:rFonts w:ascii="Times New Roman" w:hAnsi="Times New Roman" w:eastAsia="宋体"/>
                <w:b/>
                <w:color w:val="FFFFFF"/>
                <w:sz w:val="20"/>
              </w:rPr>
              <w:t>说明</w:t>
            </w:r>
          </w:p>
        </w:tc>
        <w:tc>
          <w:tcPr>
            <w:tcW w:type="dxa" w:w="2882"/>
            <w:shd w:fill="1B2A4A" w:val="clear"/>
          </w:tcPr>
          <w:p>
            <w:pPr>
              <w:jc w:val="center"/>
            </w:pPr>
            <w:r/>
            <w:r>
              <w:rPr>
                <w:rFonts w:ascii="Times New Roman" w:hAnsi="Times New Roman" w:eastAsia="宋体"/>
                <w:b/>
                <w:color w:val="FFFFFF"/>
                <w:sz w:val="20"/>
              </w:rPr>
              <w:t>评估方法</w:t>
            </w:r>
          </w:p>
        </w:tc>
      </w:tr>
      <w:tr>
        <w:tc>
          <w:tcPr>
            <w:tcW w:type="dxa" w:w="2882"/>
            <w:shd w:fill="F7F3EB" w:val="clear"/>
          </w:tcPr>
          <w:p>
            <w:r/>
            <w:r>
              <w:rPr>
                <w:rFonts w:ascii="Times New Roman" w:hAnsi="Times New Roman" w:eastAsia="宋体"/>
                <w:sz w:val="18"/>
              </w:rPr>
              <w:t>法律文本理解</w:t>
            </w:r>
          </w:p>
        </w:tc>
        <w:tc>
          <w:tcPr>
            <w:tcW w:type="dxa" w:w="2882"/>
            <w:shd w:fill="F7F3EB" w:val="clear"/>
          </w:tcPr>
          <w:p>
            <w:r/>
            <w:r>
              <w:rPr>
                <w:rFonts w:ascii="Times New Roman" w:hAnsi="Times New Roman" w:eastAsia="宋体"/>
                <w:sz w:val="18"/>
              </w:rPr>
              <w:t>法条解释、合同条款解读</w:t>
            </w:r>
          </w:p>
        </w:tc>
        <w:tc>
          <w:tcPr>
            <w:tcW w:type="dxa" w:w="2882"/>
            <w:shd w:fill="F7F3EB" w:val="clear"/>
          </w:tcPr>
          <w:p>
            <w:r/>
            <w:r>
              <w:rPr>
                <w:rFonts w:ascii="Times New Roman" w:hAnsi="Times New Roman" w:eastAsia="宋体"/>
                <w:sz w:val="18"/>
              </w:rPr>
              <w:t>案例分析准确率</w:t>
            </w:r>
          </w:p>
        </w:tc>
      </w:tr>
      <w:tr>
        <w:tc>
          <w:tcPr>
            <w:tcW w:type="dxa" w:w="2882"/>
          </w:tcPr>
          <w:p>
            <w:r/>
            <w:r>
              <w:rPr>
                <w:rFonts w:ascii="Times New Roman" w:hAnsi="Times New Roman" w:eastAsia="宋体"/>
                <w:sz w:val="18"/>
              </w:rPr>
              <w:t>法律推理</w:t>
            </w:r>
          </w:p>
        </w:tc>
        <w:tc>
          <w:tcPr>
            <w:tcW w:type="dxa" w:w="2882"/>
          </w:tcPr>
          <w:p>
            <w:r/>
            <w:r>
              <w:rPr>
                <w:rFonts w:ascii="Times New Roman" w:hAnsi="Times New Roman" w:eastAsia="宋体"/>
                <w:sz w:val="18"/>
              </w:rPr>
              <w:t>三段论推理、类比推理</w:t>
            </w:r>
          </w:p>
        </w:tc>
        <w:tc>
          <w:tcPr>
            <w:tcW w:type="dxa" w:w="2882"/>
          </w:tcPr>
          <w:p>
            <w:r/>
            <w:r>
              <w:rPr>
                <w:rFonts w:ascii="Times New Roman" w:hAnsi="Times New Roman" w:eastAsia="宋体"/>
                <w:sz w:val="18"/>
              </w:rPr>
              <w:t>论证逻辑评估</w:t>
            </w:r>
          </w:p>
        </w:tc>
      </w:tr>
      <w:tr>
        <w:tc>
          <w:tcPr>
            <w:tcW w:type="dxa" w:w="2882"/>
            <w:shd w:fill="F7F3EB" w:val="clear"/>
          </w:tcPr>
          <w:p>
            <w:r/>
            <w:r>
              <w:rPr>
                <w:rFonts w:ascii="Times New Roman" w:hAnsi="Times New Roman" w:eastAsia="宋体"/>
                <w:sz w:val="18"/>
              </w:rPr>
              <w:t>法条引用</w:t>
            </w:r>
          </w:p>
        </w:tc>
        <w:tc>
          <w:tcPr>
            <w:tcW w:type="dxa" w:w="2882"/>
            <w:shd w:fill="F7F3EB" w:val="clear"/>
          </w:tcPr>
          <w:p>
            <w:r/>
            <w:r>
              <w:rPr>
                <w:rFonts w:ascii="Times New Roman" w:hAnsi="Times New Roman" w:eastAsia="宋体"/>
                <w:sz w:val="18"/>
              </w:rPr>
              <w:t>法条编号和内容的准确性</w:t>
            </w:r>
          </w:p>
        </w:tc>
        <w:tc>
          <w:tcPr>
            <w:tcW w:type="dxa" w:w="2882"/>
            <w:shd w:fill="F7F3EB" w:val="clear"/>
          </w:tcPr>
          <w:p>
            <w:r/>
            <w:r>
              <w:rPr>
                <w:rFonts w:ascii="Times New Roman" w:hAnsi="Times New Roman" w:eastAsia="宋体"/>
                <w:sz w:val="18"/>
              </w:rPr>
              <w:t>引用准确率</w:t>
            </w:r>
          </w:p>
        </w:tc>
      </w:tr>
      <w:tr>
        <w:tc>
          <w:tcPr>
            <w:tcW w:type="dxa" w:w="2882"/>
          </w:tcPr>
          <w:p>
            <w:r/>
            <w:r>
              <w:rPr>
                <w:rFonts w:ascii="Times New Roman" w:hAnsi="Times New Roman" w:eastAsia="宋体"/>
                <w:sz w:val="18"/>
              </w:rPr>
              <w:t>风险识别</w:t>
            </w:r>
          </w:p>
        </w:tc>
        <w:tc>
          <w:tcPr>
            <w:tcW w:type="dxa" w:w="2882"/>
          </w:tcPr>
          <w:p>
            <w:r/>
            <w:r>
              <w:rPr>
                <w:rFonts w:ascii="Times New Roman" w:hAnsi="Times New Roman" w:eastAsia="宋体"/>
                <w:sz w:val="18"/>
              </w:rPr>
              <w:t>合同风险点的识别覆盖</w:t>
            </w:r>
          </w:p>
        </w:tc>
        <w:tc>
          <w:tcPr>
            <w:tcW w:type="dxa" w:w="2882"/>
          </w:tcPr>
          <w:p>
            <w:r/>
            <w:r>
              <w:rPr>
                <w:rFonts w:ascii="Times New Roman" w:hAnsi="Times New Roman" w:eastAsia="宋体"/>
                <w:sz w:val="18"/>
              </w:rPr>
              <w:t>召回率 + 精确率</w:t>
            </w:r>
          </w:p>
        </w:tc>
      </w:tr>
      <w:tr>
        <w:tc>
          <w:tcPr>
            <w:tcW w:type="dxa" w:w="2882"/>
            <w:shd w:fill="F7F3EB" w:val="clear"/>
          </w:tcPr>
          <w:p>
            <w:r/>
            <w:r>
              <w:rPr>
                <w:rFonts w:ascii="Times New Roman" w:hAnsi="Times New Roman" w:eastAsia="宋体"/>
                <w:sz w:val="18"/>
              </w:rPr>
              <w:t>中国法律适配</w:t>
            </w:r>
          </w:p>
        </w:tc>
        <w:tc>
          <w:tcPr>
            <w:tcW w:type="dxa" w:w="2882"/>
            <w:shd w:fill="F7F3EB" w:val="clear"/>
          </w:tcPr>
          <w:p>
            <w:r/>
            <w:r>
              <w:rPr>
                <w:rFonts w:ascii="Times New Roman" w:hAnsi="Times New Roman" w:eastAsia="宋体"/>
                <w:sz w:val="18"/>
              </w:rPr>
              <w:t>对中国法律体系的理解深度</w:t>
            </w:r>
          </w:p>
        </w:tc>
        <w:tc>
          <w:tcPr>
            <w:tcW w:type="dxa" w:w="2882"/>
            <w:shd w:fill="F7F3EB" w:val="clear"/>
          </w:tcPr>
          <w:p>
            <w:r/>
            <w:r>
              <w:rPr>
                <w:rFonts w:ascii="Times New Roman" w:hAnsi="Times New Roman" w:eastAsia="宋体"/>
                <w:sz w:val="18"/>
              </w:rPr>
              <w:t>专家人工评估</w:t>
            </w:r>
          </w:p>
        </w:tc>
      </w:tr>
    </w:tbl>
    <w:p>
      <w:pPr>
        <w:pStyle w:val="Heading3"/>
      </w:pPr>
      <w:r>
        <w:rPr>
          <w:rFonts w:ascii="Times New Roman" w:hAnsi="Times New Roman" w:eastAsia="宋体"/>
          <w:sz w:val="26"/>
        </w:rPr>
        <w:t>4.2 主流模型法律能力定性分析</w:t>
      </w:r>
    </w:p>
    <w:p>
      <w:pPr>
        <w:pStyle w:val="Heading4"/>
      </w:pPr>
      <w:r>
        <w:rPr>
          <w:rFonts w:ascii="Times New Roman" w:hAnsi="Times New Roman" w:eastAsia="宋体"/>
          <w:sz w:val="24"/>
        </w:rPr>
        <w:t>Claude 系列（Anthropic）</w:t>
      </w:r>
    </w:p>
    <w:p>
      <w:r>
        <w:rPr>
          <w:rFonts w:ascii="Times New Roman" w:hAnsi="Times New Roman" w:eastAsia="宋体"/>
          <w:b/>
          <w:sz w:val="22"/>
        </w:rPr>
        <w:t>优势：</w:t>
      </w:r>
    </w:p>
    <w:p>
      <w:pPr>
        <w:pStyle w:val="ListBullet"/>
      </w:pPr>
      <w:r>
        <w:rPr>
          <w:rFonts w:ascii="Times New Roman" w:hAnsi="Times New Roman" w:eastAsia="宋体"/>
          <w:sz w:val="22"/>
        </w:rPr>
        <w:t>宪法 AI（Constitutional AI）训练方法天然契合法律场景的安全护栏需求</w:t>
      </w:r>
    </w:p>
    <w:p>
      <w:pPr>
        <w:pStyle w:val="ListBullet"/>
      </w:pPr>
      <w:r>
        <w:rPr>
          <w:rFonts w:ascii="Times New Roman" w:hAnsi="Times New Roman" w:eastAsia="宋体"/>
          <w:sz w:val="22"/>
        </w:rPr>
        <w:t>200K 上下文窗口适合长篇合同和法律文书的处理</w:t>
      </w:r>
    </w:p>
    <w:p>
      <w:pPr>
        <w:pStyle w:val="ListBullet"/>
      </w:pPr>
      <w:r>
        <w:rPr>
          <w:rFonts w:ascii="Times New Roman" w:hAnsi="Times New Roman" w:eastAsia="宋体"/>
          <w:sz w:val="22"/>
        </w:rPr>
        <w:t>Claude Opus 在复杂法律推理方面表现出色</w:t>
      </w:r>
    </w:p>
    <w:p>
      <w:pPr>
        <w:pStyle w:val="ListBullet"/>
      </w:pPr>
      <w:r>
        <w:rPr>
          <w:rFonts w:ascii="Times New Roman" w:hAnsi="Times New Roman" w:eastAsia="宋体"/>
          <w:sz w:val="22"/>
        </w:rPr>
        <w:t>幻觉率相对较低</w:t>
      </w:r>
    </w:p>
    <w:p>
      <w:r>
        <w:rPr>
          <w:rFonts w:ascii="Times New Roman" w:hAnsi="Times New Roman" w:eastAsia="宋体"/>
          <w:b/>
          <w:sz w:val="22"/>
        </w:rPr>
        <w:t>劣势：</w:t>
      </w:r>
    </w:p>
    <w:p>
      <w:pPr>
        <w:pStyle w:val="ListBullet"/>
      </w:pPr>
      <w:r>
        <w:rPr>
          <w:rFonts w:ascii="Times New Roman" w:hAnsi="Times New Roman" w:eastAsia="宋体"/>
          <w:sz w:val="22"/>
        </w:rPr>
        <w:t>API 费用相对较高</w:t>
      </w:r>
    </w:p>
    <w:p>
      <w:pPr>
        <w:pStyle w:val="ListBullet"/>
      </w:pPr>
      <w:r>
        <w:rPr>
          <w:rFonts w:ascii="Times New Roman" w:hAnsi="Times New Roman" w:eastAsia="宋体"/>
          <w:sz w:val="22"/>
        </w:rPr>
        <w:t>中文法律领域尚未针对性地微调</w:t>
      </w:r>
    </w:p>
    <w:p>
      <w:pPr>
        <w:ind w:firstLine="420"/>
      </w:pPr>
      <w:r>
        <w:rPr>
          <w:rFonts w:ascii="Times New Roman" w:hAnsi="Times New Roman" w:eastAsia="宋体"/>
          <w:b w:val="0"/>
          <w:sz w:val="24"/>
        </w:rPr>
        <w:t>适用场景： 合同审查、法律意见书、复杂法律推理</w:t>
      </w:r>
    </w:p>
    <w:p>
      <w:pPr>
        <w:pStyle w:val="Heading4"/>
      </w:pPr>
      <w:r>
        <w:rPr>
          <w:rFonts w:ascii="Times New Roman" w:hAnsi="Times New Roman" w:eastAsia="宋体"/>
          <w:sz w:val="24"/>
        </w:rPr>
        <w:t>GPT-4o（OpenAI）</w:t>
      </w:r>
    </w:p>
    <w:p>
      <w:r>
        <w:rPr>
          <w:rFonts w:ascii="Times New Roman" w:hAnsi="Times New Roman" w:eastAsia="宋体"/>
          <w:b/>
          <w:sz w:val="22"/>
        </w:rPr>
        <w:t>优势：</w:t>
      </w:r>
    </w:p>
    <w:p>
      <w:pPr>
        <w:pStyle w:val="ListBullet"/>
      </w:pPr>
      <w:r>
        <w:rPr>
          <w:rFonts w:ascii="Times New Roman" w:hAnsi="Times New Roman" w:eastAsia="宋体"/>
          <w:sz w:val="22"/>
        </w:rPr>
        <w:t>多模态能力（可处理图文混合的法律文档）</w:t>
      </w:r>
    </w:p>
    <w:p>
      <w:pPr>
        <w:pStyle w:val="ListBullet"/>
      </w:pPr>
      <w:r>
        <w:rPr>
          <w:rFonts w:ascii="Times New Roman" w:hAnsi="Times New Roman" w:eastAsia="宋体"/>
          <w:sz w:val="22"/>
        </w:rPr>
        <w:t>生态完善，工具链成熟</w:t>
      </w:r>
    </w:p>
    <w:p>
      <w:pPr>
        <w:pStyle w:val="ListBullet"/>
      </w:pPr>
      <w:r>
        <w:rPr>
          <w:rFonts w:ascii="Times New Roman" w:hAnsi="Times New Roman" w:eastAsia="宋体"/>
          <w:sz w:val="22"/>
        </w:rPr>
        <w:t>Embedding 模型（text-embedding-3-large）质量高</w:t>
      </w:r>
    </w:p>
    <w:p>
      <w:r>
        <w:rPr>
          <w:rFonts w:ascii="Times New Roman" w:hAnsi="Times New Roman" w:eastAsia="宋体"/>
          <w:b/>
          <w:sz w:val="22"/>
        </w:rPr>
        <w:t>劣势：</w:t>
      </w:r>
    </w:p>
    <w:p>
      <w:pPr>
        <w:pStyle w:val="ListBullet"/>
      </w:pPr>
      <w:r>
        <w:rPr>
          <w:rFonts w:ascii="Times New Roman" w:hAnsi="Times New Roman" w:eastAsia="宋体"/>
          <w:sz w:val="22"/>
        </w:rPr>
        <w:t>中文法律领域幻觉仍需控制</w:t>
      </w:r>
    </w:p>
    <w:p>
      <w:pPr>
        <w:pStyle w:val="ListBullet"/>
      </w:pPr>
      <w:r>
        <w:rPr>
          <w:rFonts w:ascii="Times New Roman" w:hAnsi="Times New Roman" w:eastAsia="宋体"/>
          <w:sz w:val="22"/>
        </w:rPr>
        <w:t>安全对齐可能影响法律建议的直接性</w:t>
      </w:r>
    </w:p>
    <w:p>
      <w:pPr>
        <w:ind w:firstLine="420"/>
      </w:pPr>
      <w:r>
        <w:rPr>
          <w:rFonts w:ascii="Times New Roman" w:hAnsi="Times New Roman" w:eastAsia="宋体"/>
          <w:b w:val="0"/>
          <w:sz w:val="24"/>
        </w:rPr>
        <w:t>适用场景： 法律咨询、文档解析、多模态法律分析</w:t>
      </w:r>
    </w:p>
    <w:p>
      <w:pPr>
        <w:pStyle w:val="Heading4"/>
      </w:pPr>
      <w:r>
        <w:rPr>
          <w:rFonts w:ascii="Times New Roman" w:hAnsi="Times New Roman" w:eastAsia="宋体"/>
          <w:sz w:val="24"/>
        </w:rPr>
        <w:t>中国本土法律模型</w:t>
      </w:r>
    </w:p>
    <w:p>
      <w:pPr>
        <w:ind w:firstLine="420"/>
      </w:pPr>
      <w:r>
        <w:rPr>
          <w:rFonts w:ascii="Times New Roman" w:hAnsi="Times New Roman" w:eastAsia="宋体"/>
          <w:b w:val="0"/>
          <w:sz w:val="24"/>
        </w:rPr>
        <w:t>如 ChatLaw、智爱法律大模型、LawGPT 等开源模型。</w:t>
      </w:r>
    </w:p>
    <w:p>
      <w:r>
        <w:rPr>
          <w:rFonts w:ascii="Times New Roman" w:hAnsi="Times New Roman" w:eastAsia="宋体"/>
          <w:b/>
          <w:sz w:val="22"/>
        </w:rPr>
        <w:t>优势：</w:t>
      </w:r>
    </w:p>
    <w:p>
      <w:pPr>
        <w:pStyle w:val="ListBullet"/>
      </w:pPr>
      <w:r>
        <w:rPr>
          <w:rFonts w:ascii="Times New Roman" w:hAnsi="Times New Roman" w:eastAsia="宋体"/>
          <w:sz w:val="22"/>
        </w:rPr>
        <w:t>针对中国法律体系训练，法条引用准确率可能更高</w:t>
      </w:r>
    </w:p>
    <w:p>
      <w:pPr>
        <w:pStyle w:val="ListBullet"/>
      </w:pPr>
      <w:r>
        <w:rPr>
          <w:rFonts w:ascii="Times New Roman" w:hAnsi="Times New Roman" w:eastAsia="宋体"/>
          <w:sz w:val="22"/>
        </w:rPr>
        <w:t>成本低、数据安全（可本地部署）</w:t>
      </w:r>
    </w:p>
    <w:p>
      <w:r>
        <w:rPr>
          <w:rFonts w:ascii="Times New Roman" w:hAnsi="Times New Roman" w:eastAsia="宋体"/>
          <w:b/>
          <w:sz w:val="22"/>
        </w:rPr>
        <w:t>劣势：</w:t>
      </w:r>
    </w:p>
    <w:p>
      <w:pPr>
        <w:pStyle w:val="ListBullet"/>
      </w:pPr>
      <w:r>
        <w:rPr>
          <w:rFonts w:ascii="Times New Roman" w:hAnsi="Times New Roman" w:eastAsia="宋体"/>
          <w:sz w:val="22"/>
        </w:rPr>
        <w:t>通用推理能力不如 GPT-4/Claude</w:t>
      </w:r>
    </w:p>
    <w:p>
      <w:pPr>
        <w:pStyle w:val="ListBullet"/>
      </w:pPr>
      <w:r>
        <w:rPr>
          <w:rFonts w:ascii="Times New Roman" w:hAnsi="Times New Roman" w:eastAsia="宋体"/>
          <w:sz w:val="22"/>
        </w:rPr>
        <w:t>模型规模和技术成熟度差距较大</w:t>
      </w:r>
    </w:p>
    <w:p>
      <w:pPr>
        <w:ind w:firstLine="420"/>
      </w:pPr>
      <w:r>
        <w:rPr>
          <w:rFonts w:ascii="Times New Roman" w:hAnsi="Times New Roman" w:eastAsia="宋体"/>
          <w:b w:val="0"/>
          <w:sz w:val="24"/>
        </w:rPr>
        <w:t>最佳实践： 采用"通用大模型 + 本土知识库"的混合方案，如本系统采用的 Claude/GPT-4o + 中国法律知识库架构。</w:t>
      </w:r>
    </w:p>
    <w:p>
      <w:pPr>
        <w:pStyle w:val="Heading3"/>
      </w:pPr>
      <w:r>
        <w:rPr>
          <w:rFonts w:ascii="Times New Roman" w:hAnsi="Times New Roman" w:eastAsia="宋体"/>
          <w:sz w:val="26"/>
        </w:rPr>
        <w:t>4.3 关键发现</w:t>
      </w:r>
    </w:p>
    <w:p>
      <w:pPr>
        <w:pStyle w:val="ListBullet"/>
      </w:pPr>
      <w:r>
        <w:rPr>
          <w:rFonts w:ascii="Times New Roman" w:hAnsi="Times New Roman" w:eastAsia="宋体"/>
          <w:sz w:val="22"/>
        </w:rPr>
        <w:t>**幻觉控制是法律 AI 的首要挑战**：所有模型都存在法条编造风险，RAG + 安全护栏是必要对策</w:t>
      </w:r>
    </w:p>
    <w:p>
      <w:pPr>
        <w:pStyle w:val="ListBullet"/>
      </w:pPr>
      <w:r>
        <w:rPr>
          <w:rFonts w:ascii="Times New Roman" w:hAnsi="Times New Roman" w:eastAsia="宋体"/>
          <w:sz w:val="22"/>
        </w:rPr>
        <w:t>**单模型无法满足全部场景**：审查类任务需要低温度（0.1），咨询类需要适度创造性（0.3）</w:t>
      </w:r>
    </w:p>
    <w:p>
      <w:pPr>
        <w:pStyle w:val="ListBullet"/>
      </w:pPr>
      <w:r>
        <w:rPr>
          <w:rFonts w:ascii="Times New Roman" w:hAnsi="Times New Roman" w:eastAsia="宋体"/>
          <w:sz w:val="22"/>
        </w:rPr>
        <w:t>**Embedding 模型选择同样关键**：text-embedding-3-large 在中文法律文本上的表现优于 ada-002</w:t>
      </w:r>
    </w:p>
    <w:p>
      <w:pPr>
        <w:pStyle w:val="ListBullet"/>
      </w:pPr>
      <w:r>
        <w:rPr>
          <w:rFonts w:ascii="Times New Roman" w:hAnsi="Times New Roman" w:eastAsia="宋体"/>
          <w:sz w:val="22"/>
        </w:rPr>
        <w:t>**上下文长度是硬约束**：长篇合同（50+ 页）需要分块策略或长上下文模型支持</w:t>
      </w:r>
    </w:p>
    <w:p/>
    <w:p>
      <w:pPr>
        <w:pStyle w:val="Heading2"/>
      </w:pPr>
      <w:r>
        <w:rPr>
          <w:rFonts w:ascii="Times New Roman" w:hAnsi="Times New Roman" w:eastAsia="黑体"/>
          <w:sz w:val="28"/>
        </w:rPr>
        <w:t>五、法律 AI 核心技术分析</w:t>
      </w:r>
    </w:p>
    <w:p>
      <w:pPr>
        <w:pStyle w:val="Heading3"/>
      </w:pPr>
      <w:r>
        <w:rPr>
          <w:rFonts w:ascii="Times New Roman" w:hAnsi="Times New Roman" w:eastAsia="宋体"/>
          <w:sz w:val="26"/>
        </w:rPr>
        <w:t>5.1 检索增强生成（RAG）在法律领域的应用</w:t>
      </w:r>
    </w:p>
    <w:p>
      <w:pPr>
        <w:pStyle w:val="Heading4"/>
      </w:pPr>
      <w:r>
        <w:rPr>
          <w:rFonts w:ascii="Times New Roman" w:hAnsi="Times New Roman" w:eastAsia="宋体"/>
          <w:sz w:val="24"/>
        </w:rPr>
        <w:t>5.1.1 技术原理</w:t>
      </w:r>
    </w:p>
    <w:p>
      <w:pPr>
        <w:ind w:left="567"/>
      </w:pPr>
      <w:r>
        <w:rPr>
          <w:rFonts w:ascii="Consolas" w:hAnsi="Consolas" w:eastAsia="Consolas"/>
          <w:color w:val="444444"/>
          <w:sz w:val="18"/>
        </w:rPr>
        <w:t xml:space="preserve">用户查询 → [查询改写/扩展] → [BM25 + 语义混合检索] </w:t>
        <w:br/>
        <w:t xml:space="preserve">         → [Rerank 重排序] → [Top-K 结果]</w:t>
        <w:br/>
        <w:t xml:space="preserve">         → [组装 Prompt：检索结果 + 原始问题] → LLM 生成 → 带引用的回答</w:t>
      </w:r>
    </w:p>
    <w:p>
      <w:pPr>
        <w:pStyle w:val="Heading4"/>
      </w:pPr>
      <w:r>
        <w:rPr>
          <w:rFonts w:ascii="Times New Roman" w:hAnsi="Times New Roman" w:eastAsia="宋体"/>
          <w:sz w:val="24"/>
        </w:rPr>
        <w:t>5.1.2 法律 RAG 的特殊要求</w:t>
      </w:r>
    </w:p>
    <w:tbl>
      <w:tblPr>
        <w:tblStyle w:val="TableGrid"/>
        <w:tblW w:type="auto" w:w="0"/>
        <w:jc w:val="center"/>
        <w:tblLook w:firstColumn="1" w:firstRow="1" w:lastColumn="0" w:lastRow="0" w:noHBand="0" w:noVBand="1" w:val="04A0"/>
      </w:tblPr>
      <w:tblGrid>
        <w:gridCol w:w="4323"/>
        <w:gridCol w:w="4323"/>
      </w:tblGrid>
      <w:tr>
        <w:tc>
          <w:tcPr>
            <w:tcW w:type="dxa" w:w="4323"/>
            <w:shd w:fill="1B2A4A" w:val="clear"/>
          </w:tcPr>
          <w:p>
            <w:pPr>
              <w:jc w:val="center"/>
            </w:pPr>
            <w:r/>
            <w:r>
              <w:rPr>
                <w:rFonts w:ascii="Times New Roman" w:hAnsi="Times New Roman" w:eastAsia="宋体"/>
                <w:b/>
                <w:color w:val="FFFFFF"/>
                <w:sz w:val="20"/>
              </w:rPr>
              <w:t>通用 RAG</w:t>
            </w:r>
          </w:p>
        </w:tc>
        <w:tc>
          <w:tcPr>
            <w:tcW w:type="dxa" w:w="4323"/>
            <w:shd w:fill="1B2A4A" w:val="clear"/>
          </w:tcPr>
          <w:p>
            <w:pPr>
              <w:jc w:val="center"/>
            </w:pPr>
            <w:r/>
            <w:r>
              <w:rPr>
                <w:rFonts w:ascii="Times New Roman" w:hAnsi="Times New Roman" w:eastAsia="宋体"/>
                <w:b/>
                <w:color w:val="FFFFFF"/>
                <w:sz w:val="20"/>
              </w:rPr>
              <w:t>法律 RAG</w:t>
            </w:r>
          </w:p>
        </w:tc>
      </w:tr>
      <w:tr>
        <w:tc>
          <w:tcPr>
            <w:tcW w:type="dxa" w:w="4323"/>
            <w:shd w:fill="F7F3EB" w:val="clear"/>
          </w:tcPr>
          <w:p>
            <w:r/>
            <w:r>
              <w:rPr>
                <w:rFonts w:ascii="Times New Roman" w:hAnsi="Times New Roman" w:eastAsia="宋体"/>
                <w:sz w:val="18"/>
              </w:rPr>
              <w:t>固定 token 切分</w:t>
            </w:r>
          </w:p>
        </w:tc>
        <w:tc>
          <w:tcPr>
            <w:tcW w:type="dxa" w:w="4323"/>
            <w:shd w:fill="F7F3EB" w:val="clear"/>
          </w:tcPr>
          <w:p>
            <w:r/>
            <w:r>
              <w:rPr>
                <w:rFonts w:ascii="Times New Roman" w:hAnsi="Times New Roman" w:eastAsia="宋体"/>
                <w:sz w:val="18"/>
              </w:rPr>
              <w:t>按条款级（Article-Level）切分</w:t>
            </w:r>
          </w:p>
        </w:tc>
      </w:tr>
      <w:tr>
        <w:tc>
          <w:tcPr>
            <w:tcW w:type="dxa" w:w="4323"/>
          </w:tcPr>
          <w:p>
            <w:r/>
            <w:r>
              <w:rPr>
                <w:rFonts w:ascii="Times New Roman" w:hAnsi="Times New Roman" w:eastAsia="宋体"/>
                <w:sz w:val="18"/>
              </w:rPr>
              <w:t>语义检索为主</w:t>
            </w:r>
          </w:p>
        </w:tc>
        <w:tc>
          <w:tcPr>
            <w:tcW w:type="dxa" w:w="4323"/>
          </w:tcPr>
          <w:p>
            <w:r/>
            <w:r>
              <w:rPr>
                <w:rFonts w:ascii="Times New Roman" w:hAnsi="Times New Roman" w:eastAsia="宋体"/>
                <w:sz w:val="18"/>
              </w:rPr>
              <w:t>BM25（精确匹配法条编号）+ 语义（法律概念）混合</w:t>
            </w:r>
          </w:p>
        </w:tc>
      </w:tr>
      <w:tr>
        <w:tc>
          <w:tcPr>
            <w:tcW w:type="dxa" w:w="4323"/>
            <w:shd w:fill="F7F3EB" w:val="clear"/>
          </w:tcPr>
          <w:p>
            <w:r/>
            <w:r>
              <w:rPr>
                <w:rFonts w:ascii="Times New Roman" w:hAnsi="Times New Roman" w:eastAsia="宋体"/>
                <w:sz w:val="18"/>
              </w:rPr>
              <w:t>单一知识库</w:t>
            </w:r>
          </w:p>
        </w:tc>
        <w:tc>
          <w:tcPr>
            <w:tcW w:type="dxa" w:w="4323"/>
            <w:shd w:fill="F7F3EB" w:val="clear"/>
          </w:tcPr>
          <w:p>
            <w:r/>
            <w:r>
              <w:rPr>
                <w:rFonts w:ascii="Times New Roman" w:hAnsi="Times New Roman" w:eastAsia="宋体"/>
                <w:sz w:val="18"/>
              </w:rPr>
              <w:t>多源知识库（法规 + 判例 + 合同）</w:t>
            </w:r>
          </w:p>
        </w:tc>
      </w:tr>
      <w:tr>
        <w:tc>
          <w:tcPr>
            <w:tcW w:type="dxa" w:w="4323"/>
          </w:tcPr>
          <w:p>
            <w:r/>
            <w:r>
              <w:rPr>
                <w:rFonts w:ascii="Times New Roman" w:hAnsi="Times New Roman" w:eastAsia="宋体"/>
                <w:sz w:val="18"/>
              </w:rPr>
              <w:t>简单引用</w:t>
            </w:r>
          </w:p>
        </w:tc>
        <w:tc>
          <w:tcPr>
            <w:tcW w:type="dxa" w:w="4323"/>
          </w:tcPr>
          <w:p>
            <w:r/>
            <w:r>
              <w:rPr>
                <w:rFonts w:ascii="Times New Roman" w:hAnsi="Times New Roman" w:eastAsia="宋体"/>
                <w:sz w:val="18"/>
              </w:rPr>
              <w:t>强制引用格式（法规名称 + 条款号 + 施行日期 + 原文）</w:t>
            </w:r>
          </w:p>
        </w:tc>
      </w:tr>
      <w:tr>
        <w:tc>
          <w:tcPr>
            <w:tcW w:type="dxa" w:w="4323"/>
            <w:shd w:fill="F7F3EB" w:val="clear"/>
          </w:tcPr>
          <w:p>
            <w:r/>
            <w:r>
              <w:rPr>
                <w:rFonts w:ascii="Times New Roman" w:hAnsi="Times New Roman" w:eastAsia="宋体"/>
                <w:sz w:val="18"/>
              </w:rPr>
              <w:t>无时效标注</w:t>
            </w:r>
          </w:p>
        </w:tc>
        <w:tc>
          <w:tcPr>
            <w:tcW w:type="dxa" w:w="4323"/>
            <w:shd w:fill="F7F3EB" w:val="clear"/>
          </w:tcPr>
          <w:p>
            <w:r/>
            <w:r>
              <w:rPr>
                <w:rFonts w:ascii="Times New Roman" w:hAnsi="Times New Roman" w:eastAsia="宋体"/>
                <w:sz w:val="18"/>
              </w:rPr>
              <w:t>时效标注，超 5 年判例提示</w:t>
            </w:r>
          </w:p>
        </w:tc>
      </w:tr>
    </w:tbl>
    <w:p>
      <w:pPr>
        <w:pStyle w:val="Heading4"/>
      </w:pPr>
      <w:r>
        <w:rPr>
          <w:rFonts w:ascii="Times New Roman" w:hAnsi="Times New Roman" w:eastAsia="宋体"/>
          <w:sz w:val="24"/>
        </w:rPr>
        <w:t>5.1.3 文档预处理策略</w:t>
      </w:r>
    </w:p>
    <w:p>
      <w:pPr>
        <w:ind w:firstLine="420"/>
      </w:pPr>
      <w:r>
        <w:rPr>
          <w:rFonts w:ascii="Times New Roman" w:hAnsi="Times New Roman" w:eastAsia="宋体"/>
          <w:b w:val="0"/>
          <w:sz w:val="24"/>
        </w:rPr>
        <w:t>法律文档的特殊处理需求：</w:t>
      </w:r>
    </w:p>
    <w:p>
      <w:pPr>
        <w:pStyle w:val="ListBullet"/>
      </w:pPr>
      <w:r>
        <w:rPr>
          <w:rFonts w:ascii="Times New Roman" w:hAnsi="Times New Roman" w:eastAsia="宋体"/>
          <w:sz w:val="22"/>
        </w:rPr>
        <w:t>双栏 PDF 解析：法规 PDF 常采用双栏排版，需特殊解析</w:t>
      </w:r>
    </w:p>
    <w:p>
      <w:pPr>
        <w:pStyle w:val="ListBullet"/>
      </w:pPr>
      <w:r>
        <w:rPr>
          <w:rFonts w:ascii="Times New Roman" w:hAnsi="Times New Roman" w:eastAsia="宋体"/>
          <w:sz w:val="22"/>
        </w:rPr>
        <w:t>条款级切分：以法条为最小单元，保留章-节-条层级路径</w:t>
      </w:r>
    </w:p>
    <w:p>
      <w:pPr>
        <w:pStyle w:val="ListBullet"/>
      </w:pPr>
      <w:r>
        <w:rPr>
          <w:rFonts w:ascii="Times New Roman" w:hAnsi="Times New Roman" w:eastAsia="宋体"/>
          <w:sz w:val="22"/>
        </w:rPr>
        <w:t>OCR 优化：扫描件需 OCR，注意印章覆盖区域的文字提取</w:t>
      </w:r>
    </w:p>
    <w:p>
      <w:pPr>
        <w:pStyle w:val="ListBullet"/>
      </w:pPr>
      <w:r>
        <w:rPr>
          <w:rFonts w:ascii="Times New Roman" w:hAnsi="Times New Roman" w:eastAsia="宋体"/>
          <w:sz w:val="22"/>
        </w:rPr>
        <w:t>时效标注：每条法规标记施行日期和现行有效状态</w:t>
      </w:r>
    </w:p>
    <w:p>
      <w:pPr>
        <w:pStyle w:val="Heading3"/>
      </w:pPr>
      <w:r>
        <w:rPr>
          <w:rFonts w:ascii="Times New Roman" w:hAnsi="Times New Roman" w:eastAsia="宋体"/>
          <w:sz w:val="26"/>
        </w:rPr>
        <w:t>5.2 知识图谱技术</w:t>
      </w:r>
    </w:p>
    <w:p>
      <w:pPr>
        <w:pStyle w:val="Heading4"/>
      </w:pPr>
      <w:r>
        <w:rPr>
          <w:rFonts w:ascii="Times New Roman" w:hAnsi="Times New Roman" w:eastAsia="宋体"/>
          <w:sz w:val="24"/>
        </w:rPr>
        <w:t>5.2.1 法律知识图谱的价值</w:t>
      </w:r>
    </w:p>
    <w:p>
      <w:pPr>
        <w:ind w:firstLine="420"/>
      </w:pPr>
      <w:r>
        <w:rPr>
          <w:rFonts w:ascii="Times New Roman" w:hAnsi="Times New Roman" w:eastAsia="宋体"/>
          <w:b w:val="0"/>
          <w:sz w:val="24"/>
        </w:rPr>
        <w:t>知识图谱在法务系统中的核心价值是关联推理：</w:t>
      </w:r>
    </w:p>
    <w:p>
      <w:pPr>
        <w:pStyle w:val="ListBullet"/>
      </w:pPr>
      <w:r>
        <w:rPr>
          <w:rFonts w:ascii="Times New Roman" w:hAnsi="Times New Roman" w:eastAsia="宋体"/>
          <w:sz w:val="22"/>
        </w:rPr>
        <w:t>法规→法条→判例的引用链追溯</w:t>
      </w:r>
    </w:p>
    <w:p>
      <w:pPr>
        <w:pStyle w:val="ListBullet"/>
      </w:pPr>
      <w:r>
        <w:rPr>
          <w:rFonts w:ascii="Times New Roman" w:hAnsi="Times New Roman" w:eastAsia="宋体"/>
          <w:sz w:val="22"/>
        </w:rPr>
        <w:t>合同类型→常见风险点→法律依据的风险关联</w:t>
      </w:r>
    </w:p>
    <w:p>
      <w:pPr>
        <w:pStyle w:val="ListBullet"/>
      </w:pPr>
      <w:r>
        <w:rPr>
          <w:rFonts w:ascii="Times New Roman" w:hAnsi="Times New Roman" w:eastAsia="宋体"/>
          <w:sz w:val="22"/>
        </w:rPr>
        <w:t>法律概念→相关法条→指导案例的语义网络</w:t>
      </w:r>
    </w:p>
    <w:p>
      <w:pPr>
        <w:ind w:firstLine="420"/>
      </w:pPr>
      <w:r>
        <w:rPr>
          <w:rFonts w:ascii="Times New Roman" w:hAnsi="Times New Roman" w:eastAsia="宋体"/>
          <w:b w:val="0"/>
          <w:sz w:val="24"/>
        </w:rPr>
        <w:t>传统关键词搜索只告诉用户"找到什么"，知识图谱告诉用户"为什么相关"。</w:t>
      </w:r>
    </w:p>
    <w:p>
      <w:pPr>
        <w:pStyle w:val="Heading4"/>
      </w:pPr>
      <w:r>
        <w:rPr>
          <w:rFonts w:ascii="Times New Roman" w:hAnsi="Times New Roman" w:eastAsia="宋体"/>
          <w:sz w:val="24"/>
        </w:rPr>
        <w:t>5.2.2 构建方法</w:t>
      </w:r>
    </w:p>
    <w:p>
      <w:pPr>
        <w:pStyle w:val="ListBullet"/>
      </w:pPr>
      <w:r>
        <w:rPr>
          <w:rFonts w:ascii="Times New Roman" w:hAnsi="Times New Roman" w:eastAsia="宋体"/>
          <w:sz w:val="22"/>
        </w:rPr>
        <w:t>**自顶向下**：由法律专家定义本体（实体类型、关系类型）</w:t>
      </w:r>
    </w:p>
    <w:p>
      <w:pPr>
        <w:pStyle w:val="ListBullet"/>
      </w:pPr>
      <w:r>
        <w:rPr>
          <w:rFonts w:ascii="Times New Roman" w:hAnsi="Times New Roman" w:eastAsia="宋体"/>
          <w:sz w:val="22"/>
        </w:rPr>
        <w:t>**自底向上**：LLM 从法律文本中自动抽取实体和关系</w:t>
      </w:r>
    </w:p>
    <w:p>
      <w:pPr>
        <w:pStyle w:val="ListBullet"/>
      </w:pPr>
      <w:r>
        <w:rPr>
          <w:rFonts w:ascii="Times New Roman" w:hAnsi="Times New Roman" w:eastAsia="宋体"/>
          <w:sz w:val="22"/>
        </w:rPr>
        <w:t>**混合方式**（本系统采用）：专家定义本体框架 + LLM 执行实体关系抽取</w:t>
      </w:r>
    </w:p>
    <w:p>
      <w:pPr>
        <w:pStyle w:val="Heading4"/>
      </w:pPr>
      <w:r>
        <w:rPr>
          <w:rFonts w:ascii="Times New Roman" w:hAnsi="Times New Roman" w:eastAsia="宋体"/>
          <w:sz w:val="24"/>
        </w:rPr>
        <w:t>5.2.3 LLM 驱动的抽取优势</w:t>
      </w:r>
    </w:p>
    <w:p>
      <w:pPr>
        <w:ind w:firstLine="420"/>
      </w:pPr>
      <w:r>
        <w:rPr>
          <w:rFonts w:ascii="Times New Roman" w:hAnsi="Times New Roman" w:eastAsia="宋体"/>
          <w:b w:val="0"/>
          <w:sz w:val="24"/>
        </w:rPr>
        <w:t>相比传统的 NER + 关系分类 Pipeline：</w:t>
      </w:r>
    </w:p>
    <w:p>
      <w:pPr>
        <w:pStyle w:val="ListBullet"/>
      </w:pPr>
      <w:r>
        <w:rPr>
          <w:rFonts w:ascii="Times New Roman" w:hAnsi="Times New Roman" w:eastAsia="宋体"/>
          <w:sz w:val="22"/>
        </w:rPr>
        <w:t>无需标注大量训练数据</w:t>
      </w:r>
    </w:p>
    <w:p>
      <w:pPr>
        <w:pStyle w:val="ListBullet"/>
      </w:pPr>
      <w:r>
        <w:rPr>
          <w:rFonts w:ascii="Times New Roman" w:hAnsi="Times New Roman" w:eastAsia="宋体"/>
          <w:sz w:val="22"/>
        </w:rPr>
        <w:t>Prompt 工程即可适配新的实体类型和关系</w:t>
      </w:r>
    </w:p>
    <w:p>
      <w:pPr>
        <w:pStyle w:val="ListBullet"/>
      </w:pPr>
      <w:r>
        <w:rPr>
          <w:rFonts w:ascii="Times New Roman" w:hAnsi="Times New Roman" w:eastAsia="宋体"/>
          <w:sz w:val="22"/>
        </w:rPr>
        <w:t>抽取质量在 GPT-4 级别模型上已接近人工水平</w:t>
      </w:r>
    </w:p>
    <w:p>
      <w:pPr>
        <w:pStyle w:val="ListBullet"/>
      </w:pPr>
      <w:r>
        <w:rPr>
          <w:rFonts w:ascii="Times New Roman" w:hAnsi="Times New Roman" w:eastAsia="宋体"/>
          <w:sz w:val="22"/>
        </w:rPr>
        <w:t>一次性完成实体识别 + 关系抽取 + 属性提取</w:t>
      </w:r>
    </w:p>
    <w:p>
      <w:pPr>
        <w:pStyle w:val="Heading3"/>
      </w:pPr>
      <w:r>
        <w:rPr>
          <w:rFonts w:ascii="Times New Roman" w:hAnsi="Times New Roman" w:eastAsia="宋体"/>
          <w:sz w:val="26"/>
        </w:rPr>
        <w:t>5.3 智能体（Agent）技术</w:t>
      </w:r>
    </w:p>
    <w:p>
      <w:pPr>
        <w:pStyle w:val="Heading4"/>
      </w:pPr>
      <w:r>
        <w:rPr>
          <w:rFonts w:ascii="Times New Roman" w:hAnsi="Times New Roman" w:eastAsia="宋体"/>
          <w:sz w:val="24"/>
        </w:rPr>
        <w:t>5.3.1 为什么法律 AI 需要 Agent</w:t>
      </w:r>
    </w:p>
    <w:p>
      <w:pPr>
        <w:ind w:firstLine="420"/>
      </w:pPr>
      <w:r>
        <w:rPr>
          <w:rFonts w:ascii="Times New Roman" w:hAnsi="Times New Roman" w:eastAsia="宋体"/>
          <w:b w:val="0"/>
          <w:sz w:val="24"/>
        </w:rPr>
        <w:t>简单 LLM 调用无法满足法务场景的复杂需求：</w:t>
      </w:r>
    </w:p>
    <w:p>
      <w:pPr>
        <w:pStyle w:val="ListBullet"/>
      </w:pPr>
      <w:r>
        <w:rPr>
          <w:rFonts w:ascii="Times New Roman" w:hAnsi="Times New Roman" w:eastAsia="宋体"/>
          <w:sz w:val="22"/>
        </w:rPr>
        <w:t>合同审查需要：解析文档 → 检索法规 → 查询判例 → 逐条分析 → 汇总报告</w:t>
      </w:r>
    </w:p>
    <w:p>
      <w:pPr>
        <w:pStyle w:val="ListBullet"/>
      </w:pPr>
      <w:r>
        <w:rPr>
          <w:rFonts w:ascii="Times New Roman" w:hAnsi="Times New Roman" w:eastAsia="宋体"/>
          <w:sz w:val="22"/>
        </w:rPr>
        <w:t>法律咨询需要：理解问题 → 检索知识 → 图谱追加 → 生成回答 → 标注来源</w:t>
      </w:r>
    </w:p>
    <w:p>
      <w:pPr>
        <w:pStyle w:val="ListBullet"/>
      </w:pPr>
      <w:r>
        <w:rPr>
          <w:rFonts w:ascii="Times New Roman" w:hAnsi="Times New Roman" w:eastAsia="宋体"/>
          <w:sz w:val="22"/>
        </w:rPr>
        <w:t>每一步都可能需要不同的工具和数据源</w:t>
      </w:r>
    </w:p>
    <w:p>
      <w:pPr>
        <w:ind w:firstLine="420"/>
      </w:pPr>
      <w:r>
        <w:rPr>
          <w:rFonts w:ascii="Times New Roman" w:hAnsi="Times New Roman" w:eastAsia="宋体"/>
          <w:b w:val="0"/>
          <w:sz w:val="24"/>
        </w:rPr>
        <w:t>Agent 架构将 LLM 从"回答者"升级为"任务规划者和执行者"。</w:t>
      </w:r>
    </w:p>
    <w:p>
      <w:pPr>
        <w:pStyle w:val="Heading4"/>
      </w:pPr>
      <w:r>
        <w:rPr>
          <w:rFonts w:ascii="Times New Roman" w:hAnsi="Times New Roman" w:eastAsia="宋体"/>
          <w:sz w:val="24"/>
        </w:rPr>
        <w:t>5.3.2 本系统采用的 Supervisor 模式</w:t>
      </w:r>
    </w:p>
    <w:p>
      <w:pPr>
        <w:ind w:left="567"/>
      </w:pPr>
      <w:r>
        <w:rPr>
          <w:rFonts w:ascii="Consolas" w:hAnsi="Consolas" w:eastAsia="Consolas"/>
          <w:color w:val="444444"/>
          <w:sz w:val="18"/>
        </w:rPr>
        <w:t>Supervisor Agent（意图分析 + 任务路由）</w:t>
        <w:br/>
        <w:t xml:space="preserve">    ├── Contract Agent（合同审查/比对/生成）</w:t>
        <w:br/>
        <w:t xml:space="preserve">    │    工具：[RAG检索, KG查询, 文档解析, 文本对比]</w:t>
        <w:br/>
        <w:t xml:space="preserve">    ├── Consultation Agent（法律问答）</w:t>
        <w:br/>
        <w:t xml:space="preserve">    │    工具：[RAG检索, KG查询, 案例匹配]</w:t>
        <w:br/>
        <w:t xml:space="preserve">    └── RPA Agent（自动化处理）</w:t>
        <w:br/>
        <w:t xml:space="preserve">         工具：[文档提取, 表格填充]</w:t>
      </w:r>
    </w:p>
    <w:p>
      <w:pPr>
        <w:ind w:firstLine="420"/>
      </w:pPr>
      <w:r>
        <w:rPr>
          <w:rFonts w:ascii="Times New Roman" w:hAnsi="Times New Roman" w:eastAsia="宋体"/>
          <w:b w:val="0"/>
          <w:sz w:val="24"/>
        </w:rPr>
        <w:t>Supervisor 模式的优点：</w:t>
      </w:r>
    </w:p>
    <w:p>
      <w:pPr>
        <w:pStyle w:val="ListBullet"/>
      </w:pPr>
      <w:r>
        <w:rPr>
          <w:rFonts w:ascii="Times New Roman" w:hAnsi="Times New Roman" w:eastAsia="宋体"/>
          <w:sz w:val="22"/>
        </w:rPr>
        <w:t>任务意图自动识别和路由</w:t>
      </w:r>
    </w:p>
    <w:p>
      <w:pPr>
        <w:pStyle w:val="ListBullet"/>
      </w:pPr>
      <w:r>
        <w:rPr>
          <w:rFonts w:ascii="Times New Roman" w:hAnsi="Times New Roman" w:eastAsia="宋体"/>
          <w:sz w:val="22"/>
        </w:rPr>
        <w:t>各 Agent 职责分明，易于扩展</w:t>
      </w:r>
    </w:p>
    <w:p>
      <w:pPr>
        <w:pStyle w:val="ListBullet"/>
      </w:pPr>
      <w:r>
        <w:rPr>
          <w:rFonts w:ascii="Times New Roman" w:hAnsi="Times New Roman" w:eastAsia="宋体"/>
          <w:sz w:val="22"/>
        </w:rPr>
        <w:t>工具集共享，避免重复实现</w:t>
      </w:r>
    </w:p>
    <w:p>
      <w:pPr>
        <w:pStyle w:val="Heading3"/>
      </w:pPr>
      <w:r>
        <w:rPr>
          <w:rFonts w:ascii="Times New Roman" w:hAnsi="Times New Roman" w:eastAsia="宋体"/>
          <w:sz w:val="26"/>
        </w:rPr>
        <w:t>5.4 安全护栏与合规</w:t>
      </w:r>
    </w:p>
    <w:p>
      <w:pPr>
        <w:pStyle w:val="Heading4"/>
      </w:pPr>
      <w:r>
        <w:rPr>
          <w:rFonts w:ascii="Times New Roman" w:hAnsi="Times New Roman" w:eastAsia="宋体"/>
          <w:sz w:val="24"/>
        </w:rPr>
        <w:t>5.4.1 法律 AI 特有的安全要求</w:t>
      </w:r>
    </w:p>
    <w:tbl>
      <w:tblPr>
        <w:tblStyle w:val="TableGrid"/>
        <w:tblW w:type="auto" w:w="0"/>
        <w:jc w:val="center"/>
        <w:tblLook w:firstColumn="1" w:firstRow="1" w:lastColumn="0" w:lastRow="0" w:noHBand="0" w:noVBand="1" w:val="04A0"/>
      </w:tblPr>
      <w:tblGrid>
        <w:gridCol w:w="4323"/>
        <w:gridCol w:w="4323"/>
      </w:tblGrid>
      <w:tr>
        <w:tc>
          <w:tcPr>
            <w:tcW w:type="dxa" w:w="4323"/>
            <w:shd w:fill="1B2A4A" w:val="clear"/>
          </w:tcPr>
          <w:p>
            <w:pPr>
              <w:jc w:val="center"/>
            </w:pPr>
            <w:r/>
            <w:r>
              <w:rPr>
                <w:rFonts w:ascii="Times New Roman" w:hAnsi="Times New Roman" w:eastAsia="宋体"/>
                <w:b/>
                <w:color w:val="FFFFFF"/>
                <w:sz w:val="20"/>
              </w:rPr>
              <w:t>禁止行为</w:t>
            </w:r>
          </w:p>
        </w:tc>
        <w:tc>
          <w:tcPr>
            <w:tcW w:type="dxa" w:w="4323"/>
            <w:shd w:fill="1B2A4A" w:val="clear"/>
          </w:tcPr>
          <w:p>
            <w:pPr>
              <w:jc w:val="center"/>
            </w:pPr>
            <w:r/>
            <w:r>
              <w:rPr>
                <w:rFonts w:ascii="Times New Roman" w:hAnsi="Times New Roman" w:eastAsia="宋体"/>
                <w:b/>
                <w:color w:val="FFFFFF"/>
                <w:sz w:val="20"/>
              </w:rPr>
              <w:t>原因</w:t>
            </w:r>
          </w:p>
        </w:tc>
      </w:tr>
      <w:tr>
        <w:tc>
          <w:tcPr>
            <w:tcW w:type="dxa" w:w="4323"/>
            <w:shd w:fill="F7F3EB" w:val="clear"/>
          </w:tcPr>
          <w:p>
            <w:r/>
            <w:r>
              <w:rPr>
                <w:rFonts w:ascii="Times New Roman" w:hAnsi="Times New Roman" w:eastAsia="宋体"/>
                <w:sz w:val="18"/>
              </w:rPr>
              <w:t>不预测胜诉率/判决结果</w:t>
            </w:r>
          </w:p>
        </w:tc>
        <w:tc>
          <w:tcPr>
            <w:tcW w:type="dxa" w:w="4323"/>
            <w:shd w:fill="F7F3EB" w:val="clear"/>
          </w:tcPr>
          <w:p>
            <w:r/>
            <w:r>
              <w:rPr>
                <w:rFonts w:ascii="Times New Roman" w:hAnsi="Times New Roman" w:eastAsia="宋体"/>
                <w:sz w:val="18"/>
              </w:rPr>
              <w:t>超出 AI 能力范围，可能误导用户</w:t>
            </w:r>
          </w:p>
        </w:tc>
      </w:tr>
      <w:tr>
        <w:tc>
          <w:tcPr>
            <w:tcW w:type="dxa" w:w="4323"/>
          </w:tcPr>
          <w:p>
            <w:r/>
            <w:r>
              <w:rPr>
                <w:rFonts w:ascii="Times New Roman" w:hAnsi="Times New Roman" w:eastAsia="宋体"/>
                <w:sz w:val="18"/>
              </w:rPr>
              <w:t>不编造法条编号</w:t>
            </w:r>
          </w:p>
        </w:tc>
        <w:tc>
          <w:tcPr>
            <w:tcW w:type="dxa" w:w="4323"/>
          </w:tcPr>
          <w:p>
            <w:r/>
            <w:r>
              <w:rPr>
                <w:rFonts w:ascii="Times New Roman" w:hAnsi="Times New Roman" w:eastAsia="宋体"/>
                <w:sz w:val="18"/>
              </w:rPr>
              <w:t>法律严肃性决定必须 100% 准确</w:t>
            </w:r>
          </w:p>
        </w:tc>
      </w:tr>
      <w:tr>
        <w:tc>
          <w:tcPr>
            <w:tcW w:type="dxa" w:w="4323"/>
            <w:shd w:fill="F7F3EB" w:val="clear"/>
          </w:tcPr>
          <w:p>
            <w:r/>
            <w:r>
              <w:rPr>
                <w:rFonts w:ascii="Times New Roman" w:hAnsi="Times New Roman" w:eastAsia="宋体"/>
                <w:sz w:val="18"/>
              </w:rPr>
              <w:t>不提供规避法律的方案</w:t>
            </w:r>
          </w:p>
        </w:tc>
        <w:tc>
          <w:tcPr>
            <w:tcW w:type="dxa" w:w="4323"/>
            <w:shd w:fill="F7F3EB" w:val="clear"/>
          </w:tcPr>
          <w:p>
            <w:r/>
            <w:r>
              <w:rPr>
                <w:rFonts w:ascii="Times New Roman" w:hAnsi="Times New Roman" w:eastAsia="宋体"/>
                <w:sz w:val="18"/>
              </w:rPr>
              <w:t>法律伦理底线</w:t>
            </w:r>
          </w:p>
        </w:tc>
      </w:tr>
      <w:tr>
        <w:tc>
          <w:tcPr>
            <w:tcW w:type="dxa" w:w="4323"/>
          </w:tcPr>
          <w:p>
            <w:r/>
            <w:r>
              <w:rPr>
                <w:rFonts w:ascii="Times New Roman" w:hAnsi="Times New Roman" w:eastAsia="宋体"/>
                <w:sz w:val="18"/>
              </w:rPr>
              <w:t>不替代律师出具正式法律意见</w:t>
            </w:r>
          </w:p>
        </w:tc>
        <w:tc>
          <w:tcPr>
            <w:tcW w:type="dxa" w:w="4323"/>
          </w:tcPr>
          <w:p>
            <w:r/>
            <w:r>
              <w:rPr>
                <w:rFonts w:ascii="Times New Roman" w:hAnsi="Times New Roman" w:eastAsia="宋体"/>
                <w:sz w:val="18"/>
              </w:rPr>
              <w:t>责任归属和法律效力问题</w:t>
            </w:r>
          </w:p>
        </w:tc>
      </w:tr>
    </w:tbl>
    <w:p>
      <w:pPr>
        <w:pStyle w:val="Heading4"/>
      </w:pPr>
      <w:r>
        <w:rPr>
          <w:rFonts w:ascii="Times New Roman" w:hAnsi="Times New Roman" w:eastAsia="宋体"/>
          <w:sz w:val="24"/>
        </w:rPr>
        <w:t>5.4.2 实现策略</w:t>
      </w:r>
    </w:p>
    <w:p>
      <w:pPr>
        <w:pStyle w:val="ListBullet"/>
      </w:pPr>
      <w:r>
        <w:rPr>
          <w:rFonts w:ascii="Times New Roman" w:hAnsi="Times New Roman" w:eastAsia="宋体"/>
          <w:sz w:val="22"/>
        </w:rPr>
        <w:t>System Prompt 嵌入：所有 Prompt 模板硬编码安全护栏</w:t>
      </w:r>
    </w:p>
    <w:p>
      <w:pPr>
        <w:pStyle w:val="ListBullet"/>
      </w:pPr>
      <w:r>
        <w:rPr>
          <w:rFonts w:ascii="Times New Roman" w:hAnsi="Times New Roman" w:eastAsia="宋体"/>
          <w:sz w:val="22"/>
        </w:rPr>
        <w:t>输出校验：生成后检查是否存在编造的法条编号</w:t>
      </w:r>
    </w:p>
    <w:p>
      <w:pPr>
        <w:pStyle w:val="ListBullet"/>
      </w:pPr>
      <w:r>
        <w:rPr>
          <w:rFonts w:ascii="Times New Roman" w:hAnsi="Times New Roman" w:eastAsia="宋体"/>
          <w:sz w:val="22"/>
        </w:rPr>
        <w:t>引用追溯：每条法律依据必须可追溯到检索结果</w:t>
      </w:r>
    </w:p>
    <w:p>
      <w:pPr>
        <w:pStyle w:val="ListBullet"/>
      </w:pPr>
      <w:r>
        <w:rPr>
          <w:rFonts w:ascii="Times New Roman" w:hAnsi="Times New Roman" w:eastAsia="宋体"/>
          <w:sz w:val="22"/>
        </w:rPr>
        <w:t>免责声明：所有 AI 输出自动附加"不构成正式法律意见"</w:t>
      </w:r>
    </w:p>
    <w:p/>
    <w:p>
      <w:pPr>
        <w:pStyle w:val="Heading2"/>
      </w:pPr>
      <w:r>
        <w:rPr>
          <w:rFonts w:ascii="Times New Roman" w:hAnsi="Times New Roman" w:eastAsia="黑体"/>
          <w:sz w:val="28"/>
        </w:rPr>
        <w:t>六、法律 AI 的伦理与监管</w:t>
      </w:r>
    </w:p>
    <w:p>
      <w:pPr>
        <w:pStyle w:val="Heading3"/>
      </w:pPr>
      <w:r>
        <w:rPr>
          <w:rFonts w:ascii="Times New Roman" w:hAnsi="Times New Roman" w:eastAsia="宋体"/>
          <w:sz w:val="26"/>
        </w:rPr>
        <w:t>6.1 国际监管趋势</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B2A4A" w:val="clear"/>
          </w:tcPr>
          <w:p>
            <w:pPr>
              <w:jc w:val="center"/>
            </w:pPr>
            <w:r/>
            <w:r>
              <w:rPr>
                <w:rFonts w:ascii="Times New Roman" w:hAnsi="Times New Roman" w:eastAsia="宋体"/>
                <w:b/>
                <w:color w:val="FFFFFF"/>
                <w:sz w:val="20"/>
              </w:rPr>
              <w:t>地区</w:t>
            </w:r>
          </w:p>
        </w:tc>
        <w:tc>
          <w:tcPr>
            <w:tcW w:type="dxa" w:w="2882"/>
            <w:shd w:fill="1B2A4A" w:val="clear"/>
          </w:tcPr>
          <w:p>
            <w:pPr>
              <w:jc w:val="center"/>
            </w:pPr>
            <w:r/>
            <w:r>
              <w:rPr>
                <w:rFonts w:ascii="Times New Roman" w:hAnsi="Times New Roman" w:eastAsia="宋体"/>
                <w:b/>
                <w:color w:val="FFFFFF"/>
                <w:sz w:val="20"/>
              </w:rPr>
              <w:t>法规框架</w:t>
            </w:r>
          </w:p>
        </w:tc>
        <w:tc>
          <w:tcPr>
            <w:tcW w:type="dxa" w:w="2882"/>
            <w:shd w:fill="1B2A4A" w:val="clear"/>
          </w:tcPr>
          <w:p>
            <w:pPr>
              <w:jc w:val="center"/>
            </w:pPr>
            <w:r/>
            <w:r>
              <w:rPr>
                <w:rFonts w:ascii="Times New Roman" w:hAnsi="Times New Roman" w:eastAsia="宋体"/>
                <w:b/>
                <w:color w:val="FFFFFF"/>
                <w:sz w:val="20"/>
              </w:rPr>
              <w:t>对法律 AI 的影响</w:t>
            </w:r>
          </w:p>
        </w:tc>
      </w:tr>
      <w:tr>
        <w:tc>
          <w:tcPr>
            <w:tcW w:type="dxa" w:w="2882"/>
            <w:shd w:fill="F7F3EB" w:val="clear"/>
          </w:tcPr>
          <w:p>
            <w:r/>
            <w:r>
              <w:rPr>
                <w:rFonts w:ascii="Times New Roman" w:hAnsi="Times New Roman" w:eastAsia="宋体"/>
                <w:sz w:val="18"/>
              </w:rPr>
              <w:t>欧盟</w:t>
            </w:r>
          </w:p>
        </w:tc>
        <w:tc>
          <w:tcPr>
            <w:tcW w:type="dxa" w:w="2882"/>
            <w:shd w:fill="F7F3EB" w:val="clear"/>
          </w:tcPr>
          <w:p>
            <w:r/>
            <w:r>
              <w:rPr>
                <w:rFonts w:ascii="Times New Roman" w:hAnsi="Times New Roman" w:eastAsia="宋体"/>
                <w:sz w:val="18"/>
              </w:rPr>
              <w:t>EU AI Act</w:t>
            </w:r>
          </w:p>
        </w:tc>
        <w:tc>
          <w:tcPr>
            <w:tcW w:type="dxa" w:w="2882"/>
            <w:shd w:fill="F7F3EB" w:val="clear"/>
          </w:tcPr>
          <w:p>
            <w:r/>
            <w:r>
              <w:rPr>
                <w:rFonts w:ascii="Times New Roman" w:hAnsi="Times New Roman" w:eastAsia="宋体"/>
                <w:sz w:val="18"/>
              </w:rPr>
              <w:t>法律 AI 可能被归为"高风险 AI"，需要合规评估</w:t>
            </w:r>
          </w:p>
        </w:tc>
      </w:tr>
      <w:tr>
        <w:tc>
          <w:tcPr>
            <w:tcW w:type="dxa" w:w="2882"/>
          </w:tcPr>
          <w:p>
            <w:r/>
            <w:r>
              <w:rPr>
                <w:rFonts w:ascii="Times New Roman" w:hAnsi="Times New Roman" w:eastAsia="宋体"/>
                <w:sz w:val="18"/>
              </w:rPr>
              <w:t>美国</w:t>
            </w:r>
          </w:p>
        </w:tc>
        <w:tc>
          <w:tcPr>
            <w:tcW w:type="dxa" w:w="2882"/>
          </w:tcPr>
          <w:p>
            <w:r/>
            <w:r>
              <w:rPr>
                <w:rFonts w:ascii="Times New Roman" w:hAnsi="Times New Roman" w:eastAsia="宋体"/>
                <w:sz w:val="18"/>
              </w:rPr>
              <w:t>各州律师协会指引</w:t>
            </w:r>
          </w:p>
        </w:tc>
        <w:tc>
          <w:tcPr>
            <w:tcW w:type="dxa" w:w="2882"/>
          </w:tcPr>
          <w:p>
            <w:r/>
            <w:r>
              <w:rPr>
                <w:rFonts w:ascii="Times New Roman" w:hAnsi="Times New Roman" w:eastAsia="宋体"/>
                <w:sz w:val="18"/>
              </w:rPr>
              <w:t>AI 使用需披露，律师对 AI 输出负责</w:t>
            </w:r>
          </w:p>
        </w:tc>
      </w:tr>
      <w:tr>
        <w:tc>
          <w:tcPr>
            <w:tcW w:type="dxa" w:w="2882"/>
            <w:shd w:fill="F7F3EB" w:val="clear"/>
          </w:tcPr>
          <w:p>
            <w:r/>
            <w:r>
              <w:rPr>
                <w:rFonts w:ascii="Times New Roman" w:hAnsi="Times New Roman" w:eastAsia="宋体"/>
                <w:sz w:val="18"/>
              </w:rPr>
              <w:t>中国</w:t>
            </w:r>
          </w:p>
        </w:tc>
        <w:tc>
          <w:tcPr>
            <w:tcW w:type="dxa" w:w="2882"/>
            <w:shd w:fill="F7F3EB" w:val="clear"/>
          </w:tcPr>
          <w:p>
            <w:r/>
            <w:r>
              <w:rPr>
                <w:rFonts w:ascii="Times New Roman" w:hAnsi="Times New Roman" w:eastAsia="宋体"/>
                <w:sz w:val="18"/>
              </w:rPr>
              <w:t>《生成式人工智能服务管理暂行办法》</w:t>
            </w:r>
          </w:p>
        </w:tc>
        <w:tc>
          <w:tcPr>
            <w:tcW w:type="dxa" w:w="2882"/>
            <w:shd w:fill="F7F3EB" w:val="clear"/>
          </w:tcPr>
          <w:p>
            <w:r/>
            <w:r>
              <w:rPr>
                <w:rFonts w:ascii="Times New Roman" w:hAnsi="Times New Roman" w:eastAsia="宋体"/>
                <w:sz w:val="18"/>
              </w:rPr>
              <w:t>生成内容需真实准确，需进行安全评估</w:t>
            </w:r>
          </w:p>
        </w:tc>
      </w:tr>
    </w:tbl>
    <w:p>
      <w:pPr>
        <w:pStyle w:val="Heading3"/>
      </w:pPr>
      <w:r>
        <w:rPr>
          <w:rFonts w:ascii="Times New Roman" w:hAnsi="Times New Roman" w:eastAsia="宋体"/>
          <w:sz w:val="26"/>
        </w:rPr>
        <w:t>6.2 关键伦理问题</w:t>
      </w:r>
    </w:p>
    <w:p>
      <w:pPr>
        <w:pStyle w:val="ListBullet"/>
      </w:pPr>
      <w:r>
        <w:rPr>
          <w:rFonts w:ascii="Times New Roman" w:hAnsi="Times New Roman" w:eastAsia="宋体"/>
          <w:sz w:val="22"/>
        </w:rPr>
        <w:t>**责任归属**：AI 辅助决策出错时，责任由律师还是系统承担？行业共识是律师承担最终责任。</w:t>
      </w:r>
    </w:p>
    <w:p>
      <w:pPr>
        <w:pStyle w:val="ListBullet"/>
      </w:pPr>
      <w:r>
        <w:rPr>
          <w:rFonts w:ascii="Times New Roman" w:hAnsi="Times New Roman" w:eastAsia="宋体"/>
          <w:sz w:val="22"/>
        </w:rPr>
        <w:t>**算法偏见**：训练数据中的法律偏见可能导致对特定群体的不利结果</w:t>
      </w:r>
    </w:p>
    <w:p>
      <w:pPr>
        <w:pStyle w:val="ListBullet"/>
      </w:pPr>
      <w:r>
        <w:rPr>
          <w:rFonts w:ascii="Times New Roman" w:hAnsi="Times New Roman" w:eastAsia="宋体"/>
          <w:sz w:val="22"/>
        </w:rPr>
        <w:t>**数据隐私**：法律文档包含高度敏感信息，需严格的脱敏和加密措施</w:t>
      </w:r>
    </w:p>
    <w:p>
      <w:pPr>
        <w:pStyle w:val="ListBullet"/>
      </w:pPr>
      <w:r>
        <w:rPr>
          <w:rFonts w:ascii="Times New Roman" w:hAnsi="Times New Roman" w:eastAsia="宋体"/>
          <w:sz w:val="22"/>
        </w:rPr>
        <w:t>**可解释性**：法律决策需要可解释的理由，黑盒 AI 不可接受</w:t>
      </w:r>
    </w:p>
    <w:p>
      <w:pPr>
        <w:pStyle w:val="Heading3"/>
      </w:pPr>
      <w:r>
        <w:rPr>
          <w:rFonts w:ascii="Times New Roman" w:hAnsi="Times New Roman" w:eastAsia="宋体"/>
          <w:sz w:val="26"/>
        </w:rPr>
        <w:t>6.3 本系统的合规措施</w:t>
      </w:r>
    </w:p>
    <w:p>
      <w:pPr>
        <w:pStyle w:val="ListBullet"/>
      </w:pPr>
      <w:r>
        <w:rPr>
          <w:rFonts w:ascii="Times New Roman" w:hAnsi="Times New Roman" w:eastAsia="宋体"/>
          <w:sz w:val="22"/>
        </w:rPr>
        <w:t>全链路审计日志，每次 AI 决策可追溯</w:t>
      </w:r>
    </w:p>
    <w:p>
      <w:pPr>
        <w:pStyle w:val="ListBullet"/>
      </w:pPr>
      <w:r>
        <w:rPr>
          <w:rFonts w:ascii="Times New Roman" w:hAnsi="Times New Roman" w:eastAsia="宋体"/>
          <w:sz w:val="22"/>
        </w:rPr>
        <w:t>输入数据 SHA256 脱敏存储</w:t>
      </w:r>
    </w:p>
    <w:p>
      <w:pPr>
        <w:pStyle w:val="ListBullet"/>
      </w:pPr>
      <w:r>
        <w:rPr>
          <w:rFonts w:ascii="Times New Roman" w:hAnsi="Times New Roman" w:eastAsia="宋体"/>
          <w:sz w:val="22"/>
        </w:rPr>
        <w:t>Append-only 日志防篡改</w:t>
      </w:r>
    </w:p>
    <w:p>
      <w:pPr>
        <w:pStyle w:val="ListBullet"/>
      </w:pPr>
      <w:r>
        <w:rPr>
          <w:rFonts w:ascii="Times New Roman" w:hAnsi="Times New Roman" w:eastAsia="宋体"/>
          <w:sz w:val="22"/>
        </w:rPr>
        <w:t>强制引用格式，确保答案可验证</w:t>
      </w:r>
    </w:p>
    <w:p/>
    <w:p>
      <w:pPr>
        <w:pStyle w:val="Heading2"/>
      </w:pPr>
      <w:r>
        <w:rPr>
          <w:rFonts w:ascii="Times New Roman" w:hAnsi="Times New Roman" w:eastAsia="黑体"/>
          <w:sz w:val="28"/>
        </w:rPr>
        <w:t>七、技术趋势与展望</w:t>
      </w:r>
    </w:p>
    <w:p>
      <w:pPr>
        <w:pStyle w:val="Heading3"/>
      </w:pPr>
      <w:r>
        <w:rPr>
          <w:rFonts w:ascii="Times New Roman" w:hAnsi="Times New Roman" w:eastAsia="宋体"/>
          <w:sz w:val="26"/>
        </w:rPr>
        <w:t>7.1 近期趋势（2026-2027）</w:t>
      </w:r>
    </w:p>
    <w:p>
      <w:pPr>
        <w:pStyle w:val="ListBullet"/>
      </w:pPr>
      <w:r>
        <w:rPr>
          <w:rFonts w:ascii="Times New Roman" w:hAnsi="Times New Roman" w:eastAsia="宋体"/>
          <w:sz w:val="22"/>
        </w:rPr>
        <w:t>**本土法律大模型成熟**：国产法律大模型将缩小与 GPT-4/Claude 的差距</w:t>
      </w:r>
    </w:p>
    <w:p>
      <w:pPr>
        <w:pStyle w:val="ListBullet"/>
      </w:pPr>
      <w:r>
        <w:rPr>
          <w:rFonts w:ascii="Times New Roman" w:hAnsi="Times New Roman" w:eastAsia="宋体"/>
          <w:sz w:val="22"/>
        </w:rPr>
        <w:t>**多模态法律 AI**：支持图片证据 OCR、庭审视频分析、手写签名识别</w:t>
      </w:r>
    </w:p>
    <w:p>
      <w:pPr>
        <w:pStyle w:val="ListBullet"/>
      </w:pPr>
      <w:r>
        <w:rPr>
          <w:rFonts w:ascii="Times New Roman" w:hAnsi="Times New Roman" w:eastAsia="宋体"/>
          <w:sz w:val="22"/>
        </w:rPr>
        <w:t>**Agent 自动化深度提升**：从辅助建议升级为执行法律任务（自动生成法律文书全套材料）</w:t>
      </w:r>
    </w:p>
    <w:p>
      <w:pPr>
        <w:pStyle w:val="ListBullet"/>
      </w:pPr>
      <w:r>
        <w:rPr>
          <w:rFonts w:ascii="Times New Roman" w:hAnsi="Times New Roman" w:eastAsia="宋体"/>
          <w:sz w:val="22"/>
        </w:rPr>
        <w:t>**端侧部署**：小参数法律模型支持离线使用</w:t>
      </w:r>
    </w:p>
    <w:p>
      <w:pPr>
        <w:pStyle w:val="Heading3"/>
      </w:pPr>
      <w:r>
        <w:rPr>
          <w:rFonts w:ascii="Times New Roman" w:hAnsi="Times New Roman" w:eastAsia="宋体"/>
          <w:sz w:val="26"/>
        </w:rPr>
        <w:t>7.2 中期展望（2027-2029）</w:t>
      </w:r>
    </w:p>
    <w:p>
      <w:pPr>
        <w:pStyle w:val="ListBullet"/>
      </w:pPr>
      <w:r>
        <w:rPr>
          <w:rFonts w:ascii="Times New Roman" w:hAnsi="Times New Roman" w:eastAsia="宋体"/>
          <w:sz w:val="22"/>
        </w:rPr>
        <w:t>**法律 AI 与司法系统对接**：律师-法院-AI 三方协同</w:t>
      </w:r>
    </w:p>
    <w:p>
      <w:pPr>
        <w:pStyle w:val="ListBullet"/>
      </w:pPr>
      <w:r>
        <w:rPr>
          <w:rFonts w:ascii="Times New Roman" w:hAnsi="Times New Roman" w:eastAsia="宋体"/>
          <w:sz w:val="22"/>
        </w:rPr>
        <w:t>**智能合同**：基于区块链的 AI 合同自动执行</w:t>
      </w:r>
    </w:p>
    <w:p>
      <w:pPr>
        <w:pStyle w:val="ListBullet"/>
      </w:pPr>
      <w:r>
        <w:rPr>
          <w:rFonts w:ascii="Times New Roman" w:hAnsi="Times New Roman" w:eastAsia="宋体"/>
          <w:sz w:val="22"/>
        </w:rPr>
        <w:t>**个性化法律助手**：面向公众的低成本法律 AI 服务</w:t>
      </w:r>
    </w:p>
    <w:p>
      <w:pPr>
        <w:pStyle w:val="Heading3"/>
      </w:pPr>
      <w:r>
        <w:rPr>
          <w:rFonts w:ascii="Times New Roman" w:hAnsi="Times New Roman" w:eastAsia="宋体"/>
          <w:sz w:val="26"/>
        </w:rPr>
        <w:t>7.3 本系统的技术演进路径</w:t>
      </w:r>
    </w:p>
    <w:p>
      <w:pPr>
        <w:ind w:left="567"/>
      </w:pPr>
      <w:r>
        <w:rPr>
          <w:rFonts w:ascii="Consolas" w:hAnsi="Consolas" w:eastAsia="Consolas"/>
          <w:color w:val="444444"/>
          <w:sz w:val="18"/>
        </w:rPr>
        <w:t>当前 v1.0:</w:t>
        <w:br/>
        <w:t xml:space="preserve">  Claude/GPT-4o + LangGraph Agent + Neo4j KG + ChromaDB RAG</w:t>
        <w:br/>
        <w:br/>
        <w:t>下一步 v1.5:</w:t>
        <w:br/>
        <w:t xml:space="preserve">  + 国产法律模型本地部署（数据安全）</w:t>
        <w:br/>
        <w:t xml:space="preserve">  + 多轮对话 Agent 优化</w:t>
        <w:br/>
        <w:t xml:space="preserve">  + 更多法律场景覆盖（劳动争议、知识产权）</w:t>
        <w:br/>
        <w:br/>
        <w:t>未来 v2.0:</w:t>
        <w:br/>
        <w:t xml:space="preserve">  + 与法院系统对接（电子送达、在线立案）</w:t>
        <w:br/>
        <w:t xml:space="preserve">  + 端到端法律文书自动化</w:t>
        <w:br/>
        <w:t xml:space="preserve">  + 面向中小企业的 SaaS 服务</w:t>
      </w:r>
    </w:p>
    <w:p/>
    <w:p>
      <w:pPr>
        <w:pStyle w:val="Heading2"/>
      </w:pPr>
      <w:r>
        <w:rPr>
          <w:rFonts w:ascii="Times New Roman" w:hAnsi="Times New Roman" w:eastAsia="黑体"/>
          <w:sz w:val="28"/>
        </w:rPr>
        <w:t>八、参考文献</w:t>
      </w:r>
    </w:p>
    <w:p>
      <w:pPr>
        <w:pStyle w:val="ListBullet"/>
      </w:pPr>
      <w:r>
        <w:rPr>
          <w:rFonts w:ascii="Times New Roman" w:hAnsi="Times New Roman" w:eastAsia="宋体"/>
          <w:sz w:val="22"/>
        </w:rPr>
        <w:t>Anthropic. (2024). Claude Model Card. Retrieved from anthropic.com</w:t>
      </w:r>
    </w:p>
    <w:p>
      <w:pPr>
        <w:pStyle w:val="ListBullet"/>
      </w:pPr>
      <w:r>
        <w:rPr>
          <w:rFonts w:ascii="Times New Roman" w:hAnsi="Times New Roman" w:eastAsia="宋体"/>
          <w:sz w:val="22"/>
        </w:rPr>
        <w:t>OpenAI. (2024). GPT-4 Technical Report. arXiv:2303.08774</w:t>
      </w:r>
    </w:p>
    <w:p>
      <w:pPr>
        <w:pStyle w:val="ListBullet"/>
      </w:pPr>
      <w:r>
        <w:rPr>
          <w:rFonts w:ascii="Times New Roman" w:hAnsi="Times New Roman" w:eastAsia="宋体"/>
          <w:sz w:val="22"/>
        </w:rPr>
        <w:t>Lewis, P., et al. (2020). Retrieval-Augmented Generation for Knowledge-Intensive NLP Tasks. NeurIPS 2020.</w:t>
      </w:r>
    </w:p>
    <w:p>
      <w:pPr>
        <w:pStyle w:val="ListBullet"/>
      </w:pPr>
      <w:r>
        <w:rPr>
          <w:rFonts w:ascii="Times New Roman" w:hAnsi="Times New Roman" w:eastAsia="宋体"/>
          <w:sz w:val="22"/>
        </w:rPr>
        <w:t>Katz, D. M., et al. (2023). GPT-4 Passes the Bar Exam. Available at SSRN.</w:t>
      </w:r>
    </w:p>
    <w:p>
      <w:pPr>
        <w:pStyle w:val="ListBullet"/>
      </w:pPr>
      <w:r>
        <w:rPr>
          <w:rFonts w:ascii="Times New Roman" w:hAnsi="Times New Roman" w:eastAsia="宋体"/>
          <w:sz w:val="22"/>
        </w:rPr>
        <w:t>Guha, N., et al. (2023). LegalBench: A Collaboratively Built Benchmark for Measuring Legal Reasoning in Large Language Models. NeurIPS 2023 Datasets and Benchmarks Track.</w:t>
      </w:r>
    </w:p>
    <w:p>
      <w:pPr>
        <w:pStyle w:val="ListBullet"/>
      </w:pPr>
      <w:r>
        <w:rPr>
          <w:rFonts w:ascii="Times New Roman" w:hAnsi="Times New Roman" w:eastAsia="宋体"/>
          <w:sz w:val="22"/>
        </w:rPr>
        <w:t>国家互联网信息办公室. (2023). 《生成式人工智能服务管理暂行办法》</w:t>
      </w:r>
    </w:p>
    <w:p>
      <w:pPr>
        <w:pStyle w:val="ListBullet"/>
      </w:pPr>
      <w:r>
        <w:rPr>
          <w:rFonts w:ascii="Times New Roman" w:hAnsi="Times New Roman" w:eastAsia="宋体"/>
          <w:sz w:val="22"/>
        </w:rPr>
        <w:t>最高人民法院. (2022). 《关于规范和加强人工智能司法应用的意见》</w:t>
      </w:r>
    </w:p>
    <w:p>
      <w:pPr>
        <w:pStyle w:val="ListBullet"/>
      </w:pPr>
      <w:r>
        <w:rPr>
          <w:rFonts w:ascii="Times New Roman" w:hAnsi="Times New Roman" w:eastAsia="宋体"/>
          <w:sz w:val="22"/>
        </w:rPr>
        <w:t>Lai, J., et al. (2024). ChatLaw: Open-Source Legal Large Language Model with Integrated External Knowledge Bases. arXiv:2306.16092.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