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黑体"/>
          <w:sz w:val="32"/>
        </w:rPr>
        <w:t>智能法务系统 —— 原型系统演示指南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一、演示环境</w:t>
      </w:r>
    </w:p>
    <w:p>
      <w:pPr>
        <w:pStyle w:val="Heading3"/>
      </w:pPr>
      <w:r>
        <w:rPr>
          <w:rFonts w:ascii="Times New Roman" w:hAnsi="Times New Roman" w:eastAsia="宋体"/>
          <w:sz w:val="26"/>
        </w:rPr>
        <w:t>1.1 硬件要求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1B2A4A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2882"/>
            <w:shd w:fill="1B2A4A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最低配置</w:t>
            </w:r>
          </w:p>
        </w:tc>
        <w:tc>
          <w:tcPr>
            <w:tcW w:type="dxa" w:w="2882"/>
            <w:shd w:fill="1B2A4A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推荐配置</w:t>
            </w:r>
          </w:p>
        </w:tc>
      </w:tr>
      <w:tr>
        <w:tc>
          <w:tcPr>
            <w:tcW w:type="dxa" w:w="2882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CPU</w:t>
            </w:r>
          </w:p>
        </w:tc>
        <w:tc>
          <w:tcPr>
            <w:tcW w:type="dxa" w:w="2882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4 核</w:t>
            </w:r>
          </w:p>
        </w:tc>
        <w:tc>
          <w:tcPr>
            <w:tcW w:type="dxa" w:w="2882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8 核+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sz w:val="18"/>
              </w:rPr>
              <w:t>内存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sz w:val="18"/>
              </w:rPr>
              <w:t>8 GB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sz w:val="18"/>
              </w:rPr>
              <w:t>16 GB+</w:t>
            </w:r>
          </w:p>
        </w:tc>
      </w:tr>
      <w:tr>
        <w:tc>
          <w:tcPr>
            <w:tcW w:type="dxa" w:w="2882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硬盘</w:t>
            </w:r>
          </w:p>
        </w:tc>
        <w:tc>
          <w:tcPr>
            <w:tcW w:type="dxa" w:w="2882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15 GB 可用（含 1.3GB 本地模型）</w:t>
            </w:r>
          </w:p>
        </w:tc>
        <w:tc>
          <w:tcPr>
            <w:tcW w:type="dxa" w:w="2882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20 GB+ SSD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sz w:val="18"/>
              </w:rPr>
              <w:t>网络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sz w:val="18"/>
              </w:rPr>
              <w:t>需访问 LLM API（DeepSeek / Claude / OpenAI）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sz w:val="18"/>
              </w:rPr>
              <w:t>—</w:t>
            </w:r>
          </w:p>
        </w:tc>
      </w:tr>
    </w:tbl>
    <w:p>
      <w:pPr>
        <w:pStyle w:val="Heading3"/>
      </w:pPr>
      <w:r>
        <w:rPr>
          <w:rFonts w:ascii="Times New Roman" w:hAnsi="Times New Roman" w:eastAsia="宋体"/>
          <w:sz w:val="26"/>
        </w:rPr>
        <w:t>1.2 软件依赖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Python 3.11+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Neo4j Desktop（可选，知识图谱功能所需）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LLM API Key（DeepSeek 或其他）</w:t>
      </w:r>
    </w:p>
    <w:p>
      <w:pPr>
        <w:pStyle w:val="Heading3"/>
      </w:pPr>
      <w:r>
        <w:rPr>
          <w:rFonts w:ascii="Times New Roman" w:hAnsi="Times New Roman" w:eastAsia="宋体"/>
          <w:sz w:val="26"/>
        </w:rPr>
        <w:t>1.3 启动</w:t>
      </w:r>
    </w:p>
    <w:p>
      <w:pPr>
        <w:ind w:left="567"/>
      </w:pPr>
      <w:r>
        <w:rPr>
          <w:rFonts w:ascii="Consolas" w:hAnsi="Consolas" w:eastAsia="Consolas"/>
          <w:color w:val="444444"/>
          <w:sz w:val="18"/>
        </w:rPr>
        <w:t>cd d:\babyhomework\fawu\system</w:t>
        <w:br/>
        <w:t>venv\Scripts\activate</w:t>
        <w:br/>
        <w:t>python -m src.main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浏览器打开 http://localhost:8000。</w:t>
      </w:r>
    </w:p>
    <w:p>
      <w:pPr>
        <w:pStyle w:val="Heading3"/>
      </w:pPr>
      <w:r>
        <w:rPr>
          <w:rFonts w:ascii="Times New Roman" w:hAnsi="Times New Roman" w:eastAsia="宋体"/>
          <w:sz w:val="26"/>
        </w:rPr>
        <w:t>1.4 演示账号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1B2A4A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账号</w:t>
            </w:r>
          </w:p>
        </w:tc>
        <w:tc>
          <w:tcPr>
            <w:tcW w:type="dxa" w:w="2882"/>
            <w:shd w:fill="1B2A4A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2882"/>
            <w:shd w:fill="1B2A4A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2882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admin / admin</w:t>
            </w:r>
          </w:p>
        </w:tc>
        <w:tc>
          <w:tcPr>
            <w:tcW w:type="dxa" w:w="2882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系统管理员</w:t>
            </w:r>
          </w:p>
        </w:tc>
        <w:tc>
          <w:tcPr>
            <w:tcW w:type="dxa" w:w="2882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演示系统配置、用户管理、知识库初始化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sz w:val="18"/>
              </w:rPr>
              <w:t>legal01 / legal01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sz w:val="18"/>
              </w:rPr>
              <w:t>法务人员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sz w:val="18"/>
              </w:rPr>
              <w:t>演示合同审查、案件分析、知识图谱</w:t>
            </w:r>
          </w:p>
        </w:tc>
      </w:tr>
      <w:tr>
        <w:tc>
          <w:tcPr>
            <w:tcW w:type="dxa" w:w="2882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biz01 / biz01</w:t>
            </w:r>
          </w:p>
        </w:tc>
        <w:tc>
          <w:tcPr>
            <w:tcW w:type="dxa" w:w="2882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业务人员</w:t>
            </w:r>
          </w:p>
        </w:tc>
        <w:tc>
          <w:tcPr>
            <w:tcW w:type="dxa" w:w="2882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演示合同上传、法律咨询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sz w:val="18"/>
              </w:rPr>
              <w:t>audit01 / audit01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sz w:val="18"/>
              </w:rPr>
              <w:t>审计员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sz w:val="18"/>
              </w:rPr>
              <w:t>演示审计日志查看与报告导出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黑体"/>
          <w:sz w:val="28"/>
        </w:rPr>
        <w:t>二、演示场景</w:t>
      </w:r>
    </w:p>
    <w:p>
      <w:pPr>
        <w:pStyle w:val="Heading3"/>
      </w:pPr>
      <w:r>
        <w:rPr>
          <w:rFonts w:ascii="Times New Roman" w:hAnsi="Times New Roman" w:eastAsia="宋体"/>
          <w:sz w:val="26"/>
        </w:rPr>
        <w:t>场景 1：合同审查（约 3 分钟）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登录：legal01 / legal01</w:t>
      </w:r>
    </w:p>
    <w:p>
      <w:pPr>
        <w:ind w:left="567"/>
      </w:pPr>
      <w:r>
        <w:rPr>
          <w:rFonts w:ascii="Consolas" w:hAnsi="Consolas" w:eastAsia="Consolas"/>
          <w:color w:val="444444"/>
          <w:sz w:val="18"/>
        </w:rPr>
        <w:t>1. 侧边栏选择"合同管理"</w:t>
        <w:br/>
        <w:t>2. 先上传一份合同：填写标题、类型、甲乙方、合同全文 → 上传</w:t>
        <w:br/>
        <w:t>3. 在合同详情中点击"AI 审查"</w:t>
        <w:br/>
        <w:t>4. 观察 AI 逐条分析：</w:t>
        <w:br/>
        <w:t xml:space="preserve">   - 高风险（红色）：违反强制性法律规定</w:t>
        <w:br/>
        <w:t xml:space="preserve">   - 中风险（橙色）：存在争议或模糊表述</w:t>
        <w:br/>
        <w:t xml:space="preserve">   - 低风险（黄色）：轻微瑕疵</w:t>
        <w:br/>
        <w:t xml:space="preserve">   - 无风险（绿色）：合法合规</w:t>
        <w:br/>
        <w:t>5. 展开每条条款查看法律依据和修改建议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讲解要点：Agent 如何构造审查 Prompt · RAG 检索补充法条 · 风险四级分类标准 · 审计日志记录完整决策链</w:t>
      </w:r>
    </w:p>
    <w:p>
      <w:pPr>
        <w:pStyle w:val="Heading3"/>
      </w:pPr>
      <w:r>
        <w:rPr>
          <w:rFonts w:ascii="Times New Roman" w:hAnsi="Times New Roman" w:eastAsia="宋体"/>
          <w:sz w:val="26"/>
        </w:rPr>
        <w:t>场景 2：法律咨询与 RAG（约 2 分钟）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登录：任意账号</w:t>
      </w:r>
    </w:p>
    <w:p>
      <w:pPr>
        <w:ind w:left="567"/>
      </w:pPr>
      <w:r>
        <w:rPr>
          <w:rFonts w:ascii="Consolas" w:hAnsi="Consolas" w:eastAsia="Consolas"/>
          <w:color w:val="444444"/>
          <w:sz w:val="18"/>
        </w:rPr>
        <w:t>1. 侧边栏选择"法律咨询"</w:t>
        <w:br/>
        <w:t>2. 输入"违约金约定多少算过高？怎么调整？"</w:t>
        <w:br/>
        <w:t>3. AI 返回结构化回答：</w:t>
        <w:br/>
        <w:t xml:space="preserve">   - 直接回答（引用民法典第585条）</w:t>
        <w:br/>
        <w:t xml:space="preserve">   - 解释"过分高于"的司法标准（超过损失30%）</w:t>
        <w:br/>
        <w:t xml:space="preserve">   - 实操建议（协商/诉讼/仲裁）</w:t>
        <w:br/>
        <w:t>4. 点击展开引用的法条查看完整条文</w:t>
        <w:br/>
        <w:t>5. 追问"如何申请法院调整违约金？"</w:t>
        <w:br/>
        <w:t>6. AI 保持上下文，给出程序性建议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讲解要点：RAG 混合检索（ChromaDB语义 + Whoosh关键词）· 引用可追溯性 · LLM 安全护栏防止编造法条</w:t>
      </w:r>
    </w:p>
    <w:p>
      <w:pPr>
        <w:pStyle w:val="Heading3"/>
      </w:pPr>
      <w:r>
        <w:rPr>
          <w:rFonts w:ascii="Times New Roman" w:hAnsi="Times New Roman" w:eastAsia="宋体"/>
          <w:sz w:val="26"/>
        </w:rPr>
        <w:t>场景 3：案件中心与分析（约 2 分钟）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登录：legal01 / legal01 或 admin / admin</w:t>
      </w:r>
    </w:p>
    <w:p>
      <w:pPr>
        <w:ind w:left="567"/>
      </w:pPr>
      <w:r>
        <w:rPr>
          <w:rFonts w:ascii="Consolas" w:hAnsi="Consolas" w:eastAsia="Consolas"/>
          <w:color w:val="444444"/>
          <w:sz w:val="18"/>
        </w:rPr>
        <w:t>1. 侧边栏选择"案件中心"</w:t>
        <w:br/>
        <w:t>2. 展示 6 个已创建的案件，覆盖劳动/借贷/合同/人身损害/消费/婚姻六类</w:t>
        <w:br/>
        <w:t>3. 点击"张某某劳动纠纷案"查看案件详情</w:t>
        <w:br/>
        <w:t>4. 点击关联的分析报告查看：</w:t>
        <w:br/>
        <w:t xml:space="preserve">   - 案情摘要</w:t>
        <w:br/>
        <w:t xml:space="preserve">   - 法律适用分析</w:t>
        <w:br/>
        <w:t xml:space="preserve">   - 相似判例参考</w:t>
        <w:br/>
        <w:t xml:space="preserve">   - 证据收集清单</w:t>
        <w:br/>
        <w:t xml:space="preserve">   - 诉讼费用估算</w:t>
        <w:br/>
        <w:t xml:space="preserve">   - 诉讼时效检查</w:t>
        <w:br/>
        <w:t>5. 用下拉菜单切换案件状态（评估中/协商中/诉讼中/已结案）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讲解要点：CaseAnalyzer 如何从案情中提取要素 · 判例匹配机制 · 分析报告的多维度结构</w:t>
      </w:r>
    </w:p>
    <w:p>
      <w:pPr>
        <w:pStyle w:val="Heading3"/>
      </w:pPr>
      <w:r>
        <w:rPr>
          <w:rFonts w:ascii="Times New Roman" w:hAnsi="Times New Roman" w:eastAsia="宋体"/>
          <w:sz w:val="26"/>
        </w:rPr>
        <w:t>场景 4：多角色差异化（约 2 分钟）</w:t>
      </w:r>
    </w:p>
    <w:p>
      <w:r>
        <w:rPr>
          <w:rFonts w:ascii="Times New Roman" w:hAnsi="Times New Roman" w:eastAsia="宋体"/>
          <w:b/>
          <w:sz w:val="22"/>
        </w:rPr>
        <w:t>分别用四个账号登录，对比左侧导航栏：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fill="1B2A4A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4323"/>
            <w:shd w:fill="1B2A4A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可见功能</w:t>
            </w:r>
          </w:p>
        </w:tc>
      </w:tr>
      <w:tr>
        <w:tc>
          <w:tcPr>
            <w:tcW w:type="dxa" w:w="4323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业务人员 (biz01)</w:t>
            </w:r>
          </w:p>
        </w:tc>
        <w:tc>
          <w:tcPr>
            <w:tcW w:type="dxa" w:w="4323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首页、案件中心、法律咨询、文书模板、计算工具、证据指引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Times New Roman" w:hAnsi="Times New Roman" w:eastAsia="宋体"/>
                <w:sz w:val="18"/>
              </w:rPr>
              <w:t>法务人员 (legal01)</w:t>
            </w:r>
          </w:p>
        </w:tc>
        <w:tc>
          <w:tcPr>
            <w:tcW w:type="dxa" w:w="4323"/>
          </w:tcPr>
          <w:p>
            <w:r/>
            <w:r>
              <w:rPr>
                <w:rFonts w:ascii="Times New Roman" w:hAnsi="Times New Roman" w:eastAsia="宋体"/>
                <w:sz w:val="18"/>
              </w:rPr>
              <w:t>上栏全部 + 合同管理、案件分析、知识图谱、RPA、数据导出</w:t>
            </w:r>
          </w:p>
        </w:tc>
      </w:tr>
      <w:tr>
        <w:tc>
          <w:tcPr>
            <w:tcW w:type="dxa" w:w="4323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管理员 (admin)</w:t>
            </w:r>
          </w:p>
        </w:tc>
        <w:tc>
          <w:tcPr>
            <w:tcW w:type="dxa" w:w="4323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法务全部 + 系统配置（含用户管理、知识库管理、系统参数）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Times New Roman" w:hAnsi="Times New Roman" w:eastAsia="宋体"/>
                <w:sz w:val="18"/>
              </w:rPr>
              <w:t>审计员 (audit01)</w:t>
            </w:r>
          </w:p>
        </w:tc>
        <w:tc>
          <w:tcPr>
            <w:tcW w:type="dxa" w:w="4323"/>
          </w:tcPr>
          <w:p>
            <w:r/>
            <w:r>
              <w:rPr>
                <w:rFonts w:ascii="Times New Roman" w:hAnsi="Times New Roman" w:eastAsia="宋体"/>
                <w:sz w:val="18"/>
              </w:rPr>
              <w:t>首页、案件中心、法律咨询、模板、计算、证据、**审计日志**</w:t>
            </w:r>
          </w:p>
        </w:tc>
      </w:tr>
    </w:tbl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讲解要点：RBAC 权限模型 · 角色继承（admin → legal → business）· 审计员独立监督</w:t>
      </w:r>
    </w:p>
    <w:p>
      <w:pPr>
        <w:pStyle w:val="Heading3"/>
      </w:pPr>
      <w:r>
        <w:rPr>
          <w:rFonts w:ascii="Times New Roman" w:hAnsi="Times New Roman" w:eastAsia="宋体"/>
          <w:sz w:val="26"/>
        </w:rPr>
        <w:t>场景 5：审计日志与合规追溯（约 2 分钟）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登录：audit01 / audit01</w:t>
      </w:r>
    </w:p>
    <w:p>
      <w:pPr>
        <w:ind w:left="567"/>
      </w:pPr>
      <w:r>
        <w:rPr>
          <w:rFonts w:ascii="Consolas" w:hAnsi="Consolas" w:eastAsia="Consolas"/>
          <w:color w:val="444444"/>
          <w:sz w:val="18"/>
        </w:rPr>
        <w:t>1. 侧边栏选择"审计报告"</w:t>
        <w:br/>
        <w:t>2. 查看统计卡片：总调用次数、覆盖案件、活跃用户、异常率</w:t>
        <w:br/>
        <w:t>3. 按任务类型筛选：contract_review / legal_consultation / rpa / kg_query</w:t>
        <w:br/>
        <w:t>4. 按关键词搜索：输入合同编号或用户名</w:t>
        <w:br/>
        <w:t>5. 点击某条日志查看审计详情：</w:t>
        <w:br/>
        <w:t xml:space="preserve">   - 操作时间、用户、任务类型</w:t>
        <w:br/>
        <w:t xml:space="preserve">   - 使用模型、Token 消耗、响应延迟</w:t>
        <w:br/>
        <w:t xml:space="preserve">   - 输入输出摘要（SHA256 脱敏）</w:t>
        <w:br/>
        <w:t>6. 点击"导出审计报告" → 生成 MD 格式合规报告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讲解要点：追加写入防篡改 · SHA256 脱敏 · 全链路 AI 决策追溯 · 合规审计能力</w:t>
      </w:r>
    </w:p>
    <w:p>
      <w:pPr>
        <w:pStyle w:val="Heading3"/>
      </w:pPr>
      <w:r>
        <w:rPr>
          <w:rFonts w:ascii="Times New Roman" w:hAnsi="Times New Roman" w:eastAsia="宋体"/>
          <w:sz w:val="26"/>
        </w:rPr>
        <w:t>场景 6：管理员功能（约 2 分钟）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登录：admin / admin</w:t>
      </w:r>
    </w:p>
    <w:p>
      <w:pPr>
        <w:ind w:left="567"/>
      </w:pPr>
      <w:r>
        <w:rPr>
          <w:rFonts w:ascii="Consolas" w:hAnsi="Consolas" w:eastAsia="Consolas"/>
          <w:color w:val="444444"/>
          <w:sz w:val="18"/>
        </w:rPr>
        <w:t>1. 侧边栏选择"系统配置"</w:t>
        <w:br/>
        <w:t>2. LLM 配置：切换提供商（DeepSeek / Claude / OpenAI），调整 temperature</w:t>
        <w:br/>
        <w:t>3. API 密钥：输入/更新密钥，点击"测试连接"</w:t>
        <w:br/>
        <w:t>4. Neo4j 连接：配置地址，点击"测试图谱连接"</w:t>
        <w:br/>
        <w:t>5. 系统参数：端口号、JWT 密钥、日志级别、嵌入模型提供商</w:t>
        <w:br/>
        <w:t>6. 知识库管理：查看 ChromaDB/Whoosh 状态 → 点击"初始化/重建"</w:t>
        <w:br/>
        <w:t>7. 用户管理：列表展示 4 个用户 → 创建新用户 → 下拉修改角色 → 删除用户</w:t>
        <w:br/>
        <w:t>8. 保存配置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讲解要点：动态配置生效机制 · .env 读写 · 用户管理 CRUD · 知识库初始化流程</w:t>
      </w:r>
    </w:p>
    <w:p>
      <w:pPr>
        <w:pStyle w:val="Heading3"/>
      </w:pPr>
      <w:r>
        <w:rPr>
          <w:rFonts w:ascii="Times New Roman" w:hAnsi="Times New Roman" w:eastAsia="宋体"/>
          <w:sz w:val="26"/>
        </w:rPr>
        <w:t>场景 7：知识图谱（约 2 分钟）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前置条件：Neo4j Desktop 中 DBMS 已启动</w:t>
      </w:r>
    </w:p>
    <w:p>
      <w:pPr>
        <w:ind w:left="567"/>
      </w:pPr>
      <w:r>
        <w:rPr>
          <w:rFonts w:ascii="Consolas" w:hAnsi="Consolas" w:eastAsia="Consolas"/>
          <w:color w:val="444444"/>
          <w:sz w:val="18"/>
        </w:rPr>
        <w:t>1. 用 legal01 登录</w:t>
        <w:br/>
        <w:t>2. 侧边栏选择"知识图谱"</w:t>
        <w:br/>
        <w:t>3. 搜索框输入"违约" → 返回匹配的法律实体</w:t>
        <w:br/>
        <w:t>4. 点击"民法典合同编"实体 → 查看其包含的 Article 子节点</w:t>
        <w:br/>
        <w:t>5. 沿关系链路追溯：判例 → 引用 → 法条 → 细化 → 法条</w:t>
        <w:br/>
        <w:t>6. 可选：打开 Neo4j Browser (http://localhost:7474)</w:t>
        <w:br/>
        <w:t xml:space="preserve">   MATCH (n)-[r]-&gt;(m) RETURN n, r, m LIMIT 50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讲解要点：8 种实体 + 12 种关系 · 知识图谱本体模型 · Neo4j 可选降级策略</w:t>
      </w:r>
    </w:p>
    <w:p>
      <w:pPr>
        <w:pStyle w:val="Heading3"/>
      </w:pPr>
      <w:r>
        <w:rPr>
          <w:rFonts w:ascii="Times New Roman" w:hAnsi="Times New Roman" w:eastAsia="宋体"/>
          <w:sz w:val="26"/>
        </w:rPr>
        <w:t>场景 8：合同比对与生成（约 2 分钟）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登录：legal01 / legal01</w:t>
      </w:r>
    </w:p>
    <w:p>
      <w:pPr>
        <w:ind w:left="567"/>
      </w:pPr>
      <w:r>
        <w:rPr>
          <w:rFonts w:ascii="Consolas" w:hAnsi="Consolas" w:eastAsia="Consolas"/>
          <w:color w:val="444444"/>
          <w:sz w:val="18"/>
        </w:rPr>
        <w:t>1. 合同比对：</w:t>
        <w:br/>
        <w:t xml:space="preserve">   - 在比对页面选择合同 A 和合同 B</w:t>
        <w:br/>
        <w:t xml:space="preserve">   - 点击"开始比对"</w:t>
        <w:br/>
        <w:t xml:space="preserve">   - 查看差异报告：形式差异 vs 实质差异，逐条高亮</w:t>
        <w:br/>
        <w:br/>
        <w:t>2. 合同生成：</w:t>
        <w:br/>
        <w:t xml:space="preserve">   - 选择合同类型（如"劳动合同"）</w:t>
        <w:br/>
        <w:t xml:space="preserve">   - 输入甲乙方名称和关键条款要求</w:t>
        <w:br/>
        <w:t xml:space="preserve">   - 点击"生成草稿"</w:t>
        <w:br/>
        <w:t xml:space="preserve">   - 查看 AI 生成的合同草案（标注"AI生成仅供参考"）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讲解要点：条款逐条比对算法 · LLM 风险评估差异 · 合同生成的安全护栏</w:t>
      </w:r>
    </w:p>
    <w:p>
      <w:pPr>
        <w:pStyle w:val="Heading3"/>
      </w:pPr>
      <w:r>
        <w:rPr>
          <w:rFonts w:ascii="Times New Roman" w:hAnsi="Times New Roman" w:eastAsia="宋体"/>
          <w:sz w:val="26"/>
        </w:rPr>
        <w:t>场景 9：RPA 文档提取（约 1 分钟）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登录：legal01 / legal01</w:t>
      </w:r>
    </w:p>
    <w:p>
      <w:pPr>
        <w:ind w:left="567"/>
      </w:pPr>
      <w:r>
        <w:rPr>
          <w:rFonts w:ascii="Consolas" w:hAnsi="Consolas" w:eastAsia="Consolas"/>
          <w:color w:val="444444"/>
          <w:sz w:val="18"/>
        </w:rPr>
        <w:t>1. 侧边栏选择"RPA 自动化"</w:t>
        <w:br/>
        <w:t>2. 上传合同文件（DOCX/PDF）</w:t>
        <w:br/>
        <w:t>3. 点击"提取关键信息"</w:t>
        <w:br/>
        <w:t>4. 展示结构化提取结果：</w:t>
        <w:br/>
        <w:t xml:space="preserve">   - 合同标题、甲乙方名称</w:t>
        <w:br/>
        <w:t xml:space="preserve">   - 签署日期、合同金额</w:t>
        <w:br/>
        <w:t xml:space="preserve">   - 关键条款摘要</w:t>
        <w:br/>
        <w:t xml:space="preserve">   - 争议解决方式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讲解要点：DOCX/PDF 多格式支持 · LLM 结构化信息提取 · RPAAgent 的容错处理</w:t>
      </w:r>
    </w:p>
    <w:p/>
    <w:p>
      <w:pPr>
        <w:pStyle w:val="Heading2"/>
      </w:pPr>
      <w:r>
        <w:rPr>
          <w:rFonts w:ascii="Times New Roman" w:hAnsi="Times New Roman" w:eastAsia="黑体"/>
          <w:sz w:val="28"/>
        </w:rPr>
        <w:t>三、演示逻辑建议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推荐按以下顺序演示，形成"需求 → 设计 → 实现"的叙事逻辑：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fill="1B2A4A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顺序</w:t>
            </w:r>
          </w:p>
        </w:tc>
        <w:tc>
          <w:tcPr>
            <w:tcW w:type="dxa" w:w="2161"/>
            <w:shd w:fill="1B2A4A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场景</w:t>
            </w:r>
          </w:p>
        </w:tc>
        <w:tc>
          <w:tcPr>
            <w:tcW w:type="dxa" w:w="2161"/>
            <w:shd w:fill="1B2A4A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时长</w:t>
            </w:r>
          </w:p>
        </w:tc>
        <w:tc>
          <w:tcPr>
            <w:tcW w:type="dxa" w:w="2161"/>
            <w:shd w:fill="1B2A4A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对应论文章节</w:t>
            </w:r>
          </w:p>
        </w:tc>
      </w:tr>
      <w:tr>
        <w:tc>
          <w:tcPr>
            <w:tcW w:type="dxa" w:w="2161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1</w:t>
            </w:r>
          </w:p>
        </w:tc>
        <w:tc>
          <w:tcPr>
            <w:tcW w:type="dxa" w:w="2161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多角色差异化</w:t>
            </w:r>
          </w:p>
        </w:tc>
        <w:tc>
          <w:tcPr>
            <w:tcW w:type="dxa" w:w="2161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2 分钟</w:t>
            </w:r>
          </w:p>
        </w:tc>
        <w:tc>
          <w:tcPr>
            <w:tcW w:type="dxa" w:w="2161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需求分析 → 角色模型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sz w:val="18"/>
              </w:rPr>
              <w:t>2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sz w:val="18"/>
              </w:rPr>
              <w:t>合同审查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sz w:val="18"/>
              </w:rPr>
              <w:t>3 分钟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sz w:val="18"/>
              </w:rPr>
              <w:t>核心功能 → Agent 设计</w:t>
            </w:r>
          </w:p>
        </w:tc>
      </w:tr>
      <w:tr>
        <w:tc>
          <w:tcPr>
            <w:tcW w:type="dxa" w:w="2161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3</w:t>
            </w:r>
          </w:p>
        </w:tc>
        <w:tc>
          <w:tcPr>
            <w:tcW w:type="dxa" w:w="2161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法律咨询（RAG）</w:t>
            </w:r>
          </w:p>
        </w:tc>
        <w:tc>
          <w:tcPr>
            <w:tcW w:type="dxa" w:w="2161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2 分钟</w:t>
            </w:r>
          </w:p>
        </w:tc>
        <w:tc>
          <w:tcPr>
            <w:tcW w:type="dxa" w:w="2161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检索增强生成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sz w:val="18"/>
              </w:rPr>
              <w:t>4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sz w:val="18"/>
              </w:rPr>
              <w:t>案件中心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sz w:val="18"/>
              </w:rPr>
              <w:t>2 分钟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sz w:val="18"/>
              </w:rPr>
              <w:t>业务流程</w:t>
            </w:r>
          </w:p>
        </w:tc>
      </w:tr>
      <w:tr>
        <w:tc>
          <w:tcPr>
            <w:tcW w:type="dxa" w:w="2161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5</w:t>
            </w:r>
          </w:p>
        </w:tc>
        <w:tc>
          <w:tcPr>
            <w:tcW w:type="dxa" w:w="2161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审计日志</w:t>
            </w:r>
          </w:p>
        </w:tc>
        <w:tc>
          <w:tcPr>
            <w:tcW w:type="dxa" w:w="2161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2 分钟</w:t>
            </w:r>
          </w:p>
        </w:tc>
        <w:tc>
          <w:tcPr>
            <w:tcW w:type="dxa" w:w="2161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合规设计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sz w:val="18"/>
              </w:rPr>
              <w:t>6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sz w:val="18"/>
              </w:rPr>
              <w:t>管理员功能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sz w:val="18"/>
              </w:rPr>
              <w:t>2 分钟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sz w:val="18"/>
              </w:rPr>
              <w:t>系统管理</w:t>
            </w:r>
          </w:p>
        </w:tc>
      </w:tr>
      <w:tr>
        <w:tc>
          <w:tcPr>
            <w:tcW w:type="dxa" w:w="2161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7</w:t>
            </w:r>
          </w:p>
        </w:tc>
        <w:tc>
          <w:tcPr>
            <w:tcW w:type="dxa" w:w="2161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知识图谱</w:t>
            </w:r>
          </w:p>
        </w:tc>
        <w:tc>
          <w:tcPr>
            <w:tcW w:type="dxa" w:w="2161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2 分钟</w:t>
            </w:r>
          </w:p>
        </w:tc>
        <w:tc>
          <w:tcPr>
            <w:tcW w:type="dxa" w:w="2161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数据架构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sz w:val="18"/>
              </w:rPr>
              <w:t>8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sz w:val="18"/>
              </w:rPr>
              <w:t>合同比对与生成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sz w:val="18"/>
              </w:rPr>
              <w:t>2 分钟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sz w:val="18"/>
              </w:rPr>
              <w:t>Agent 多能力</w:t>
            </w:r>
          </w:p>
        </w:tc>
      </w:tr>
      <w:tr>
        <w:tc>
          <w:tcPr>
            <w:tcW w:type="dxa" w:w="2161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9</w:t>
            </w:r>
          </w:p>
        </w:tc>
        <w:tc>
          <w:tcPr>
            <w:tcW w:type="dxa" w:w="2161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RPA 提取</w:t>
            </w:r>
          </w:p>
        </w:tc>
        <w:tc>
          <w:tcPr>
            <w:tcW w:type="dxa" w:w="2161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1 分钟</w:t>
            </w:r>
          </w:p>
        </w:tc>
        <w:tc>
          <w:tcPr>
            <w:tcW w:type="dxa" w:w="2161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自动化处理</w:t>
            </w:r>
          </w:p>
        </w:tc>
      </w:tr>
    </w:tbl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总计约 18 分钟，覆盖全部 6 个 Agent 和 4 类用户角色。</w:t>
      </w:r>
    </w:p>
    <w:p/>
    <w:p>
      <w:pPr>
        <w:pStyle w:val="Heading2"/>
      </w:pPr>
      <w:r>
        <w:rPr>
          <w:rFonts w:ascii="Times New Roman" w:hAnsi="Times New Roman" w:eastAsia="黑体"/>
          <w:sz w:val="28"/>
        </w:rPr>
        <w:t>四、论文截图清单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1B2A4A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2882"/>
            <w:shd w:fill="1B2A4A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2882"/>
            <w:shd w:fill="1B2A4A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对应章节</w:t>
            </w:r>
          </w:p>
        </w:tc>
      </w:tr>
      <w:tr>
        <w:tc>
          <w:tcPr>
            <w:tcW w:type="dxa" w:w="2882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图1</w:t>
            </w:r>
          </w:p>
        </w:tc>
        <w:tc>
          <w:tcPr>
            <w:tcW w:type="dxa" w:w="2882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系统首页仪表盘</w:t>
            </w:r>
          </w:p>
        </w:tc>
        <w:tc>
          <w:tcPr>
            <w:tcW w:type="dxa" w:w="2882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系统概述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sz w:val="18"/>
              </w:rPr>
              <w:t>图2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sz w:val="18"/>
              </w:rPr>
              <w:t>合同审查结果（风险分色标注）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sz w:val="18"/>
              </w:rPr>
              <w:t>合同管理 / Agent 设计</w:t>
            </w:r>
          </w:p>
        </w:tc>
      </w:tr>
      <w:tr>
        <w:tc>
          <w:tcPr>
            <w:tcW w:type="dxa" w:w="2882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图3</w:t>
            </w:r>
          </w:p>
        </w:tc>
        <w:tc>
          <w:tcPr>
            <w:tcW w:type="dxa" w:w="2882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法律咨询对话（含引用法条折叠）</w:t>
            </w:r>
          </w:p>
        </w:tc>
        <w:tc>
          <w:tcPr>
            <w:tcW w:type="dxa" w:w="2882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RAG 检索增强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sz w:val="18"/>
              </w:rPr>
              <w:t>图4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sz w:val="18"/>
              </w:rPr>
              <w:t>案件中心列表（多用户多状态）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sz w:val="18"/>
              </w:rPr>
              <w:t>案件分析</w:t>
            </w:r>
          </w:p>
        </w:tc>
      </w:tr>
      <w:tr>
        <w:tc>
          <w:tcPr>
            <w:tcW w:type="dxa" w:w="2882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图5</w:t>
            </w:r>
          </w:p>
        </w:tc>
        <w:tc>
          <w:tcPr>
            <w:tcW w:type="dxa" w:w="2882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案件分析报告（法律依据+判例参考）</w:t>
            </w:r>
          </w:p>
        </w:tc>
        <w:tc>
          <w:tcPr>
            <w:tcW w:type="dxa" w:w="2882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案件分析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sz w:val="18"/>
              </w:rPr>
              <w:t>图6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sz w:val="18"/>
              </w:rPr>
              <w:t>审计日志列表（多任务类型）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sz w:val="18"/>
              </w:rPr>
              <w:t>合规审计</w:t>
            </w:r>
          </w:p>
        </w:tc>
      </w:tr>
      <w:tr>
        <w:tc>
          <w:tcPr>
            <w:tcW w:type="dxa" w:w="2882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图7</w:t>
            </w:r>
          </w:p>
        </w:tc>
        <w:tc>
          <w:tcPr>
            <w:tcW w:type="dxa" w:w="2882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审计报告导出结果</w:t>
            </w:r>
          </w:p>
        </w:tc>
        <w:tc>
          <w:tcPr>
            <w:tcW w:type="dxa" w:w="2882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合规审计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sz w:val="18"/>
              </w:rPr>
              <w:t>图8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sz w:val="18"/>
              </w:rPr>
              <w:t>管理员系统配置页面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sz w:val="18"/>
              </w:rPr>
              <w:t>系统管理</w:t>
            </w:r>
          </w:p>
        </w:tc>
      </w:tr>
      <w:tr>
        <w:tc>
          <w:tcPr>
            <w:tcW w:type="dxa" w:w="2882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图9</w:t>
            </w:r>
          </w:p>
        </w:tc>
        <w:tc>
          <w:tcPr>
            <w:tcW w:type="dxa" w:w="2882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知识图谱搜索与关系追溯</w:t>
            </w:r>
          </w:p>
        </w:tc>
        <w:tc>
          <w:tcPr>
            <w:tcW w:type="dxa" w:w="2882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知识图谱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sz w:val="18"/>
              </w:rPr>
              <w:t>图10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sz w:val="18"/>
              </w:rPr>
              <w:t>Neo4j Browser 可视化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sz w:val="18"/>
              </w:rPr>
              <w:t>知识图谱</w:t>
            </w:r>
          </w:p>
        </w:tc>
      </w:tr>
      <w:tr>
        <w:tc>
          <w:tcPr>
            <w:tcW w:type="dxa" w:w="2882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图11</w:t>
            </w:r>
          </w:p>
        </w:tc>
        <w:tc>
          <w:tcPr>
            <w:tcW w:type="dxa" w:w="2882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合同比对差异报告</w:t>
            </w:r>
          </w:p>
        </w:tc>
        <w:tc>
          <w:tcPr>
            <w:tcW w:type="dxa" w:w="2882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合同管理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sz w:val="18"/>
              </w:rPr>
              <w:t>图12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sz w:val="18"/>
              </w:rPr>
              <w:t>RPA 文档提取结果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sz w:val="18"/>
              </w:rPr>
              <w:t>Agent 设计</w:t>
            </w:r>
          </w:p>
        </w:tc>
      </w:tr>
      <w:tr>
        <w:tc>
          <w:tcPr>
            <w:tcW w:type="dxa" w:w="2882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图13</w:t>
            </w:r>
          </w:p>
        </w:tc>
        <w:tc>
          <w:tcPr>
            <w:tcW w:type="dxa" w:w="2882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多角色导航栏对比（四栏并列）</w:t>
            </w:r>
          </w:p>
        </w:tc>
        <w:tc>
          <w:tcPr>
            <w:tcW w:type="dxa" w:w="2882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需求分析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黑体"/>
          <w:sz w:val="28"/>
        </w:rPr>
        <w:t>五、快速恢复环境</w:t>
      </w:r>
    </w:p>
    <w:p>
      <w:pPr>
        <w:ind w:left="567"/>
      </w:pPr>
      <w:r>
        <w:rPr>
          <w:rFonts w:ascii="Consolas" w:hAnsi="Consolas" w:eastAsia="Consolas"/>
          <w:color w:val="444444"/>
          <w:sz w:val="18"/>
        </w:rPr>
        <w:t>cd d:\babyhomework\fawu\system</w:t>
        <w:br/>
        <w:t>venv\Scripts\activate</w:t>
        <w:br/>
        <w:br/>
        <w:t># 首次配置</w:t>
        <w:br/>
        <w:t>copy .env.example .env</w:t>
        <w:br/>
        <w:t># 填入 API Key</w:t>
        <w:br/>
        <w:br/>
        <w:t># 安装依赖</w:t>
        <w:br/>
        <w:t>pip install -r requirements.txt</w:t>
        <w:br/>
        <w:br/>
        <w:t># 初始化知识库（首次）</w:t>
        <w:br/>
        <w:t>python scripts/init_knowledge_base.py</w:t>
        <w:br/>
        <w:br/>
        <w:t># 启动</w:t>
        <w:br/>
        <w:t>python -m src.main</w:t>
        <w:br/>
        <w:t># → http://localhost:8000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