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sz w:val="32"/>
        </w:rPr>
        <w:t>智能法务系统 —— 法律知识图谱设计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一、设计目标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法律知识图谱的设计目标是构建一个结构化、可查询、可推理的法律知识网络，将分散的法规条文、判例数据、合同条款和法律概念以图结构组织起来，支撑以下三类应用场景：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**图谱查询**：用户通过关键词搜索法律实体（法规、法条、判例、法院等），系统返回匹配实体及其关联关系网络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**关系追溯**：沿图谱的边进行多度关系探索，例如"判例A → 引用 → 法条X → 细化 → 法条Y"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**知识增强**：在合同审查和法律咨询中，从图谱中检索相关的法律依据和判例参考，作为 LLM Prompt 的上下文注入</w:t>
      </w:r>
    </w:p>
    <w:p/>
    <w:p>
      <w:pPr>
        <w:pStyle w:val="Heading2"/>
      </w:pPr>
      <w:r>
        <w:rPr>
          <w:rFonts w:ascii="Times New Roman" w:hAnsi="Times New Roman" w:eastAsia="黑体"/>
          <w:sz w:val="28"/>
        </w:rPr>
        <w:t>二、技术选型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本系统选择 Neo4j 图数据库作为知识图谱的存储和查询引擎，理由如下：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原生图存储：法律实体之间的关系（引用、援引、变更、适用）天然是图结构，用关系型数据库需要多次 JOIN 才能完成三度关系查询，Neo4j 一条 Cypher 语句即可实现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Cypher 查询语言：声明式语法使复杂的图遍历查询直观简洁，适合表达"从一个判例出发，找到它引用的所有法条，再找到引用这些法条的其他判例"这类追溯需求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成熟生态：Neo4j 是图数据库领域的工业标准，社区活跃，Python 驱动完善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可选部署：系统设计为 Neo4j 不可用时自动降级，不影响核心的合同审查和法律咨询功能</w:t>
      </w:r>
    </w:p>
    <w:p/>
    <w:p>
      <w:pPr>
        <w:pStyle w:val="Heading2"/>
      </w:pPr>
      <w:r>
        <w:rPr>
          <w:rFonts w:ascii="Times New Roman" w:hAnsi="Times New Roman" w:eastAsia="黑体"/>
          <w:sz w:val="28"/>
        </w:rPr>
        <w:t>三、节点模型定义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知识图谱定义了 8 种节点类型，每种节点具有各自的属性集合：</w:t>
      </w:r>
    </w:p>
    <w:p>
      <w:pPr>
        <w:pStyle w:val="Heading3"/>
      </w:pPr>
      <w:r>
        <w:rPr>
          <w:rFonts w:ascii="Times New Roman" w:hAnsi="Times New Roman" w:eastAsia="宋体"/>
          <w:sz w:val="26"/>
        </w:rPr>
        <w:t>3.1 Law（法律法规）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2161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161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2161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示例</w:t>
            </w:r>
          </w:p>
        </w:tc>
      </w:tr>
      <w:tr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name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str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法规全称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"中华人民共和国民法典"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law_type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str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法律类型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"民事" / "刑事" / "商事" / "行政"</w:t>
            </w:r>
          </w:p>
        </w:tc>
      </w:tr>
      <w:tr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effective_date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str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施行日期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"2021-01-01"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status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str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现行状态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"现行有效" / "已修订" / "已废止"</w:t>
            </w:r>
          </w:p>
        </w:tc>
      </w:tr>
      <w:tr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issuing_body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str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颁布机构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"全国人民代表大会"</w:t>
            </w:r>
          </w:p>
        </w:tc>
      </w:tr>
    </w:tbl>
    <w:p>
      <w:pPr>
        <w:pStyle w:val="Heading3"/>
      </w:pPr>
      <w:r>
        <w:rPr>
          <w:rFonts w:ascii="Times New Roman" w:hAnsi="Times New Roman" w:eastAsia="宋体"/>
          <w:sz w:val="26"/>
        </w:rPr>
        <w:t>3.2 Article（法条）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2161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161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2161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示例</w:t>
            </w:r>
          </w:p>
        </w:tc>
      </w:tr>
      <w:tr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article_number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str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条款编号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"第584条"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content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str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条文内容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"当事人一方不履行合同义务..."</w:t>
            </w:r>
          </w:p>
        </w:tc>
      </w:tr>
      <w:tr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law_name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str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所属法规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"中华人民共和国民法典"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chapter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str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所属章节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"合同编 · 违约责任"</w:t>
            </w:r>
          </w:p>
        </w:tc>
      </w:tr>
    </w:tbl>
    <w:p>
      <w:pPr>
        <w:pStyle w:val="Heading3"/>
      </w:pPr>
      <w:r>
        <w:rPr>
          <w:rFonts w:ascii="Times New Roman" w:hAnsi="Times New Roman" w:eastAsia="宋体"/>
          <w:sz w:val="26"/>
        </w:rPr>
        <w:t>3.3 Case（判例）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2161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161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2161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示例</w:t>
            </w:r>
          </w:p>
        </w:tc>
      </w:tr>
      <w:tr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case_number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str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案号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"（2025）京0105民初12345号"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title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str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案件名称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"张某诉某科技公司劳动争议案"</w:t>
            </w:r>
          </w:p>
        </w:tc>
      </w:tr>
      <w:tr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court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str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审理法院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"北京市朝阳区人民法院"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case_date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str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裁判日期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"2025-06-15"</w:t>
            </w:r>
          </w:p>
        </w:tc>
      </w:tr>
      <w:tr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case_type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str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案件类型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"劳动争议"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parties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list[str]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当事人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["张某", "某科技公司"]</w:t>
            </w:r>
          </w:p>
        </w:tc>
      </w:tr>
      <w:tr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facts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str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案件事实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"用人单位以业务调整为由单方解除..."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verdict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str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判决结果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"判令被告支付赔偿金30,000元"</w:t>
            </w:r>
          </w:p>
        </w:tc>
      </w:tr>
      <w:tr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key_points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list[str]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争议焦点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["是否构成违法解除", "赔偿金计算基数"]</w:t>
            </w:r>
          </w:p>
        </w:tc>
      </w:tr>
    </w:tbl>
    <w:p>
      <w:pPr>
        <w:pStyle w:val="Heading3"/>
      </w:pPr>
      <w:r>
        <w:rPr>
          <w:rFonts w:ascii="Times New Roman" w:hAnsi="Times New Roman" w:eastAsia="宋体"/>
          <w:sz w:val="26"/>
        </w:rPr>
        <w:t>3.4 Contract（合同）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2882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882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title</w:t>
            </w:r>
          </w:p>
        </w:tc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str</w:t>
            </w:r>
          </w:p>
        </w:tc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合同名称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sz w:val="18"/>
              </w:rPr>
              <w:t>contract_type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sz w:val="18"/>
              </w:rPr>
              <w:t>str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sz w:val="18"/>
              </w:rPr>
              <w:t>合同类型</w:t>
            </w:r>
          </w:p>
        </w:tc>
      </w:tr>
      <w:tr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party_a</w:t>
            </w:r>
          </w:p>
        </w:tc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str</w:t>
            </w:r>
          </w:p>
        </w:tc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甲方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sz w:val="18"/>
              </w:rPr>
              <w:t>party_b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sz w:val="18"/>
              </w:rPr>
              <w:t>str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sz w:val="18"/>
              </w:rPr>
              <w:t>乙方</w:t>
            </w:r>
          </w:p>
        </w:tc>
      </w:tr>
      <w:tr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sign_date</w:t>
            </w:r>
          </w:p>
        </w:tc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str</w:t>
            </w:r>
          </w:p>
        </w:tc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签署日期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sz w:val="18"/>
              </w:rPr>
              <w:t>file_path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sz w:val="18"/>
              </w:rPr>
              <w:t>str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sz w:val="18"/>
              </w:rPr>
              <w:t>文件路径</w:t>
            </w:r>
          </w:p>
        </w:tc>
      </w:tr>
    </w:tbl>
    <w:p>
      <w:pPr>
        <w:pStyle w:val="Heading3"/>
      </w:pPr>
      <w:r>
        <w:rPr>
          <w:rFonts w:ascii="Times New Roman" w:hAnsi="Times New Roman" w:eastAsia="宋体"/>
          <w:sz w:val="26"/>
        </w:rPr>
        <w:t>3.5 Clause（条款）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2882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882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clause_number</w:t>
            </w:r>
          </w:p>
        </w:tc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str</w:t>
            </w:r>
          </w:p>
        </w:tc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条款编号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sz w:val="18"/>
              </w:rPr>
              <w:t>content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sz w:val="18"/>
              </w:rPr>
              <w:t>str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sz w:val="18"/>
              </w:rPr>
              <w:t>条款内容</w:t>
            </w:r>
          </w:p>
        </w:tc>
      </w:tr>
      <w:tr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contract_title</w:t>
            </w:r>
          </w:p>
        </w:tc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str</w:t>
            </w:r>
          </w:p>
        </w:tc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所属合同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sz w:val="18"/>
              </w:rPr>
              <w:t>risk_level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sz w:val="18"/>
              </w:rPr>
              <w:t>str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sz w:val="18"/>
              </w:rPr>
              <w:t>风险等级：high / medium / low / none</w:t>
            </w:r>
          </w:p>
        </w:tc>
      </w:tr>
    </w:tbl>
    <w:p>
      <w:pPr>
        <w:pStyle w:val="Heading3"/>
      </w:pPr>
      <w:r>
        <w:rPr>
          <w:rFonts w:ascii="Times New Roman" w:hAnsi="Times New Roman" w:eastAsia="宋体"/>
          <w:sz w:val="26"/>
        </w:rPr>
        <w:t>3.6 RiskPoint（风险点）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2882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882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risk_type</w:t>
            </w:r>
          </w:p>
        </w:tc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str</w:t>
            </w:r>
          </w:p>
        </w:tc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风险类型（如"违约金过高""管辖约定不明"）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sz w:val="18"/>
              </w:rPr>
              <w:t>level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sz w:val="18"/>
              </w:rPr>
              <w:t>str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sz w:val="18"/>
              </w:rPr>
              <w:t>风险等级：high / medium / low</w:t>
            </w:r>
          </w:p>
        </w:tc>
      </w:tr>
      <w:tr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description</w:t>
            </w:r>
          </w:p>
        </w:tc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str</w:t>
            </w:r>
          </w:p>
        </w:tc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风险描述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sz w:val="18"/>
              </w:rPr>
              <w:t>law_basis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sz w:val="18"/>
              </w:rPr>
              <w:t>str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sz w:val="18"/>
              </w:rPr>
              <w:t>法律依据</w:t>
            </w:r>
          </w:p>
        </w:tc>
      </w:tr>
      <w:tr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suggestion</w:t>
            </w:r>
          </w:p>
        </w:tc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str</w:t>
            </w:r>
          </w:p>
        </w:tc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修改建议</w:t>
            </w:r>
          </w:p>
        </w:tc>
      </w:tr>
    </w:tbl>
    <w:p>
      <w:pPr>
        <w:pStyle w:val="Heading3"/>
      </w:pPr>
      <w:r>
        <w:rPr>
          <w:rFonts w:ascii="Times New Roman" w:hAnsi="Times New Roman" w:eastAsia="宋体"/>
          <w:sz w:val="26"/>
        </w:rPr>
        <w:t>3.7 LegalConcept（法律概念）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2882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882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name</w:t>
            </w:r>
          </w:p>
        </w:tc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str</w:t>
            </w:r>
          </w:p>
        </w:tc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概念名称（如"不可抗力""格式条款"）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sz w:val="18"/>
              </w:rPr>
              <w:t>definition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sz w:val="18"/>
              </w:rPr>
              <w:t>str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sz w:val="18"/>
              </w:rPr>
              <w:t>概念定义</w:t>
            </w:r>
          </w:p>
        </w:tc>
      </w:tr>
      <w:tr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related_laws</w:t>
            </w:r>
          </w:p>
        </w:tc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list[str]</w:t>
            </w:r>
          </w:p>
        </w:tc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相关法律</w:t>
            </w:r>
          </w:p>
        </w:tc>
      </w:tr>
    </w:tbl>
    <w:p>
      <w:pPr>
        <w:pStyle w:val="Heading3"/>
      </w:pPr>
      <w:r>
        <w:rPr>
          <w:rFonts w:ascii="Times New Roman" w:hAnsi="Times New Roman" w:eastAsia="宋体"/>
          <w:sz w:val="26"/>
        </w:rPr>
        <w:t>3.8 Court（法院）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2882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882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name</w:t>
            </w:r>
          </w:p>
        </w:tc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str</w:t>
            </w:r>
          </w:p>
        </w:tc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法院名称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sz w:val="18"/>
              </w:rPr>
              <w:t>level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sz w:val="18"/>
              </w:rPr>
              <w:t>str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sz w:val="18"/>
              </w:rPr>
              <w:t>法院层级（基层/中级/高级/最高）</w:t>
            </w:r>
          </w:p>
        </w:tc>
      </w:tr>
      <w:tr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jurisdiction</w:t>
            </w:r>
          </w:p>
        </w:tc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str</w:t>
            </w:r>
          </w:p>
        </w:tc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管辖范围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sz w:val="28"/>
        </w:rPr>
        <w:t>四、关系类型定义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知识图谱定义了 12 种关系类型，按语义分为三组：</w:t>
      </w:r>
    </w:p>
    <w:p>
      <w:pPr>
        <w:pStyle w:val="Heading3"/>
      </w:pPr>
      <w:r>
        <w:rPr>
          <w:rFonts w:ascii="Times New Roman" w:hAnsi="Times New Roman" w:eastAsia="宋体"/>
          <w:sz w:val="26"/>
        </w:rPr>
        <w:t>4.1 结构关系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关系</w:t>
            </w:r>
          </w:p>
        </w:tc>
        <w:tc>
          <w:tcPr>
            <w:tcW w:type="dxa" w:w="2161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方向</w:t>
            </w:r>
          </w:p>
        </w:tc>
        <w:tc>
          <w:tcPr>
            <w:tcW w:type="dxa" w:w="2161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2161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示例</w:t>
            </w:r>
          </w:p>
        </w:tc>
      </w:tr>
      <w:tr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CONTAINS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Law→Article / Contract→Clause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包含条款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民法典 Contract→ 第584条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BELONGS_TO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Article→Law / Clause→Contract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属于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第584条 → 民法典</w:t>
            </w:r>
          </w:p>
        </w:tc>
      </w:tr>
    </w:tbl>
    <w:p>
      <w:pPr>
        <w:pStyle w:val="Heading3"/>
      </w:pPr>
      <w:r>
        <w:rPr>
          <w:rFonts w:ascii="Times New Roman" w:hAnsi="Times New Roman" w:eastAsia="宋体"/>
          <w:sz w:val="26"/>
        </w:rPr>
        <w:t>4.2 法律推理关系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关系</w:t>
            </w:r>
          </w:p>
        </w:tc>
        <w:tc>
          <w:tcPr>
            <w:tcW w:type="dxa" w:w="2161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方向</w:t>
            </w:r>
          </w:p>
        </w:tc>
        <w:tc>
          <w:tcPr>
            <w:tcW w:type="dxa" w:w="2161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2161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示例</w:t>
            </w:r>
          </w:p>
        </w:tc>
      </w:tr>
      <w:tr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CITES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Case→Article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判例引用法条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张某诉某公司案 → 劳动合同法第87条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APPLIES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Article→Case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法条适用于判例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民法典第584条 → 李某合同纠纷案</w:t>
            </w:r>
          </w:p>
        </w:tc>
      </w:tr>
      <w:tr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BASED_ON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RiskPoint→Article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风险法律依据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违约金过高 → 民法典第584条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HAS_RISK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Clause→RiskPoint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条款存在风险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违约责任条款 → 违约金过高风险点</w:t>
            </w:r>
          </w:p>
        </w:tc>
      </w:tr>
      <w:tr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PRECEDENT_FOR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Case→Case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作为先例</w:t>
            </w:r>
          </w:p>
        </w:tc>
        <w:tc>
          <w:tcPr>
            <w:tcW w:type="dxa" w:w="2161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判例A → 判例B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DEFINED_IN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LegalConcept→Law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概念定义于某法律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sz w:val="18"/>
              </w:rPr>
              <w:t>"不可抗力" → 民法典</w:t>
            </w:r>
          </w:p>
        </w:tc>
      </w:tr>
    </w:tbl>
    <w:p>
      <w:pPr>
        <w:pStyle w:val="Heading3"/>
      </w:pPr>
      <w:r>
        <w:rPr>
          <w:rFonts w:ascii="Times New Roman" w:hAnsi="Times New Roman" w:eastAsia="宋体"/>
          <w:sz w:val="26"/>
        </w:rPr>
        <w:t>4.3 通用关联关系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关系</w:t>
            </w:r>
          </w:p>
        </w:tc>
        <w:tc>
          <w:tcPr>
            <w:tcW w:type="dxa" w:w="2882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方向</w:t>
            </w:r>
          </w:p>
        </w:tc>
        <w:tc>
          <w:tcPr>
            <w:tcW w:type="dxa" w:w="2882"/>
            <w:shd w:fill="1B2A4A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含义</w:t>
            </w:r>
          </w:p>
        </w:tc>
      </w:tr>
      <w:tr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HEARD_BY</w:t>
            </w:r>
          </w:p>
        </w:tc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Case→Court</w:t>
            </w:r>
          </w:p>
        </w:tc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由法院审理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sz w:val="18"/>
              </w:rPr>
              <w:t>REFERENCES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sz w:val="18"/>
              </w:rPr>
              <w:t>Case→Case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sz w:val="18"/>
              </w:rPr>
              <w:t>互相参考</w:t>
            </w:r>
          </w:p>
        </w:tc>
      </w:tr>
      <w:tr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RELATED_TO</w:t>
            </w:r>
          </w:p>
        </w:tc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通用</w:t>
            </w:r>
          </w:p>
        </w:tc>
        <w:tc>
          <w:tcPr>
            <w:tcW w:type="dxa" w:w="2882"/>
            <w:shd w:fill="F7F3EB" w:val="clear"/>
          </w:tcPr>
          <w:p>
            <w:r/>
            <w:r>
              <w:rPr>
                <w:rFonts w:ascii="Times New Roman" w:hAnsi="Times New Roman" w:eastAsia="宋体"/>
                <w:sz w:val="18"/>
              </w:rPr>
              <w:t>概念关联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sz w:val="18"/>
              </w:rPr>
              <w:t>SIMILAR_TO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sz w:val="18"/>
              </w:rPr>
              <w:t>Case→Case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sz w:val="18"/>
              </w:rPr>
              <w:t>相似判例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sz w:val="28"/>
        </w:rPr>
        <w:t>五、数据构建方式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知识图谱的构建通过以下途径进行：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**KnowledgeExtractor（知识抽取器）**：通过 LLM 从非结构化法律文本中抽取实体和关系，定义在 `knowledge_graph/extractor.py` 中，提供 `extract_from_text()`、`extract_from_contract()`、`extract_from_case()` 和 `extract_from_law_document()` 四个方法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**GraphBuilder（图谱构建器）**：负责将抽取结果写入 Neo4j，定义在 `knowledge_graph/builder.py` 中，提供 `create_entity()`、`create_relationship()`、`build_from_documents()`、`build_from_case_data()` 等方法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**知识源文件**：原始法律文档存放于 `knowledge/` 目录，按 laws/、cases/、contracts/ 分目录组织，当前包含《民法典合同编违约责任》和《公司法公司治理》两份法律条文，以及民事判例和合同样本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**初始化脚本**：`scripts/init_knowledge_base.py` 负责首次部署时或知识源更新后的全量索引重建</w:t>
      </w:r>
    </w:p>
    <w:p/>
    <w:p>
      <w:pPr>
        <w:pStyle w:val="Heading2"/>
      </w:pPr>
      <w:r>
        <w:rPr>
          <w:rFonts w:ascii="Times New Roman" w:hAnsi="Times New Roman" w:eastAsia="黑体"/>
          <w:sz w:val="28"/>
        </w:rPr>
        <w:t>六、查询方式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系统提供三层查询接口：</w:t>
      </w:r>
    </w:p>
    <w:p>
      <w:pPr>
        <w:pStyle w:val="Heading3"/>
      </w:pPr>
      <w:r>
        <w:rPr>
          <w:rFonts w:ascii="Times New Roman" w:hAnsi="Times New Roman" w:eastAsia="宋体"/>
          <w:sz w:val="26"/>
        </w:rPr>
        <w:t>6.1 全文搜索（面向普通用户）</w:t>
      </w:r>
    </w:p>
    <w:p>
      <w:pPr>
        <w:ind w:left="567"/>
      </w:pPr>
      <w:r>
        <w:rPr>
          <w:rFonts w:ascii="Consolas" w:hAnsi="Consolas" w:eastAsia="Consolas"/>
          <w:color w:val="444444"/>
          <w:sz w:val="18"/>
        </w:rPr>
        <w:t>GET /api/kg/search?keyword=违约责任</w:t>
        <w:br/>
        <w:t>→ KGQuery.search_fulltext("违约责任")</w:t>
        <w:br/>
        <w:t>→ Neo4j 全文索引匹配</w:t>
        <w:br/>
        <w:t>→ 返回匹配的实体列表 [Law, Article, Case, ...]</w:t>
      </w:r>
    </w:p>
    <w:p>
      <w:pPr>
        <w:pStyle w:val="Heading3"/>
      </w:pPr>
      <w:r>
        <w:rPr>
          <w:rFonts w:ascii="Times New Roman" w:hAnsi="Times New Roman" w:eastAsia="宋体"/>
          <w:sz w:val="26"/>
        </w:rPr>
        <w:t>6.2 实体详情（面向法务人员）</w:t>
      </w:r>
    </w:p>
    <w:p>
      <w:pPr>
        <w:ind w:left="567"/>
      </w:pPr>
      <w:r>
        <w:rPr>
          <w:rFonts w:ascii="Consolas" w:hAnsi="Consolas" w:eastAsia="Consolas"/>
          <w:color w:val="444444"/>
          <w:sz w:val="18"/>
        </w:rPr>
        <w:t>点击某实体 → KGQuery.query_entity(type, id)</w:t>
        <w:br/>
        <w:t>→ 返回实体属性 + 关联实体列表</w:t>
        <w:br/>
        <w:t>→ 用户可沿关系链路逐层追溯</w:t>
      </w:r>
    </w:p>
    <w:p>
      <w:pPr>
        <w:pStyle w:val="Heading3"/>
      </w:pPr>
      <w:r>
        <w:rPr>
          <w:rFonts w:ascii="Times New Roman" w:hAnsi="Times New Roman" w:eastAsia="宋体"/>
          <w:sz w:val="26"/>
        </w:rPr>
        <w:t>6.3 Cypher 高级查询（面向开发者）</w:t>
      </w:r>
    </w:p>
    <w:p>
      <w:pPr>
        <w:ind w:left="567"/>
      </w:pPr>
      <w:r>
        <w:rPr>
          <w:rFonts w:ascii="Consolas" w:hAnsi="Consolas" w:eastAsia="Consolas"/>
          <w:color w:val="444444"/>
          <w:sz w:val="18"/>
        </w:rPr>
        <w:t>// 查找某个判例引用的所有法条</w:t>
        <w:br/>
        <w:t>MATCH (c:Case {title: "张某诉某科技公司劳动争议案"})-[:CITES]-&gt;(a:Article)</w:t>
        <w:br/>
        <w:t>RETURN c, a</w:t>
        <w:br/>
        <w:br/>
        <w:t>// 查找与某法条相关的所有判例（二度关系）</w:t>
        <w:br/>
        <w:t>MATCH (a:Article {article_number: "第87条"})&lt;-[:CITES]-(c:Case)</w:t>
        <w:br/>
        <w:t>RETURN a, c</w:t>
        <w:br/>
        <w:br/>
        <w:t>// 查找相似判例网络</w:t>
        <w:br/>
        <w:t>MATCH (c1:Case)-[:SIMILAR_TO]-(c2:Case)</w:t>
        <w:br/>
        <w:t>WHERE c1.case_type = "劳动争议"</w:t>
        <w:br/>
        <w:t>RETURN c1, c2</w:t>
      </w:r>
    </w:p>
    <w:p/>
    <w:p>
      <w:pPr>
        <w:pStyle w:val="Heading2"/>
      </w:pPr>
      <w:r>
        <w:rPr>
          <w:rFonts w:ascii="Times New Roman" w:hAnsi="Times New Roman" w:eastAsia="黑体"/>
          <w:sz w:val="28"/>
        </w:rPr>
        <w:t>七、降级策略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考虑到 Neo4j 增加了部署复杂度（需要安装 Docker 或 Neo4j Desktop），系统设计为 Neo4j 不可用时自动降级：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`KGQuery.is_available` 属性在初始化时检测 Neo4j 连接状态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连接失败时，知识图谱相关的前端页面和 API 端点返回"服务不可用"提示，但不影响合同审查、法律咨询等核心功能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ChromaDB 和 Whoosh 提供替代的检索能力——虽然无法进行图关系追溯，但语义检索和关键词检索仍然可用</w:t>
      </w:r>
    </w:p>
    <w:p/>
    <w:p>
      <w:pPr>
        <w:pStyle w:val="Heading2"/>
      </w:pPr>
      <w:r>
        <w:rPr>
          <w:rFonts w:ascii="Times New Roman" w:hAnsi="Times New Roman" w:eastAsia="黑体"/>
          <w:sz w:val="28"/>
        </w:rPr>
        <w:t>八、与 LLM 的协同机制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知识图谱与 LLM 的协同体现在两个环节：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**检索增强（RAG）**：在咨询 Agent 的混合检索中，HGQuery 的全文搜索结果与 ChromaDB 和 Whoosh 的检索结果一起作为 LLM 的上下文注入 Prompt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**图谱约束生成**：合同审查 Agent 在生成法律依据时，可先从图谱中检索相关法条，确保 LLM 引用的法规名称和条文编号是知识图谱中真实存在的，减少幻觉风险</w:t>
      </w:r>
    </w:p>
    <w:p/>
    <w:p>
      <w:pPr>
        <w:pStyle w:val="Heading2"/>
      </w:pPr>
      <w:r>
        <w:rPr>
          <w:rFonts w:ascii="Times New Roman" w:hAnsi="Times New Roman" w:eastAsia="黑体"/>
          <w:sz w:val="28"/>
        </w:rPr>
        <w:t>九、当前数据规模与扩展方向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当前状态：知识库种子数据包含 2 部法律（民法典合同编 + 公司法）、2 条判例和 2 份合同样本，总计约 10 个节点和 15 条关系。Neo4j 为可选组件，当前数据主要通过 ChromaDB 和 Whoosh 提供检索。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扩展方向：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导入公开的裁判文书数据，丰富判例节点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增加行政法规和司法解释实体类型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引入置信度评分，标注实体和关系的可信度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支持图谱的可视化展示（在前端以力导向图呈现节点网络）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