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0000"/>
          <w:sz w:val="32"/>
        </w:rPr>
        <w:t>Dry-Season Irrigation Effects on Tree Water Relations, Sap Flux, and Height Growth</w:t>
      </w:r>
    </w:p>
    <w:p>
      <w:pPr>
        <w:spacing w:before="360" w:after="160"/>
        <w:pBdr>
          <w:bottom w:val="single" w:sz="6" w:space="1" w:color="000000"/>
        </w:pBdr>
      </w:pPr>
      <w:r>
        <w:rPr>
          <w:rFonts w:ascii="Times New Roman" w:hAnsi="Times New Roman"/>
          <w:b/>
          <w:color w:val="000000"/>
          <w:sz w:val="30"/>
        </w:rPr>
        <w:t>Results</w:t>
      </w:r>
    </w:p>
    <w:p>
      <w:pPr>
        <w:spacing w:line="360" w:lineRule="auto" w:after="200"/>
        <w:jc w:val="both"/>
      </w:pPr>
      <w:r>
        <w:rPr>
          <w:rFonts w:ascii="Times New Roman" w:hAnsi="Times New Roman"/>
          <w:color w:val="000000"/>
          <w:sz w:val="24"/>
        </w:rPr>
        <w:t>We monitored 88 trees from 12 species, divided between Control (</w:t>
      </w:r>
      <w:r>
        <w:rPr>
          <w:rFonts w:ascii="Times New Roman" w:hAnsi="Times New Roman"/>
          <w:i/>
          <w:color w:val="000000"/>
          <w:sz w:val="24"/>
        </w:rPr>
        <w:t>n</w:t>
      </w:r>
      <w:r>
        <w:rPr>
          <w:rFonts w:ascii="Times New Roman" w:hAnsi="Times New Roman"/>
          <w:color w:val="000000"/>
          <w:sz w:val="24"/>
        </w:rPr>
        <w:t xml:space="preserve"> = 44) and Irrigated (</w:t>
      </w:r>
      <w:r>
        <w:rPr>
          <w:rFonts w:ascii="Times New Roman" w:hAnsi="Times New Roman"/>
          <w:i/>
          <w:color w:val="000000"/>
          <w:sz w:val="24"/>
        </w:rPr>
        <w:t>n</w:t>
      </w:r>
      <w:r>
        <w:rPr>
          <w:rFonts w:ascii="Times New Roman" w:hAnsi="Times New Roman"/>
          <w:color w:val="000000"/>
          <w:sz w:val="24"/>
        </w:rPr>
        <w:t xml:space="preserve"> = 44) treatments, across seven measurement campaigns spanning the dry season (early June to early September).</w:t>
      </w:r>
    </w:p>
    <w:p>
      <w:pPr>
        <w:spacing w:before="280" w:after="120"/>
      </w:pPr>
      <w:r>
        <w:rPr>
          <w:rFonts w:ascii="Times New Roman" w:hAnsi="Times New Roman"/>
          <w:b/>
          <w:color w:val="000000"/>
          <w:sz w:val="25"/>
        </w:rPr>
        <w:t>Irrigation produced a sustained divergence in soil water content</w:t>
      </w:r>
    </w:p>
    <w:p>
      <w:pPr>
        <w:spacing w:line="360" w:lineRule="auto" w:after="200"/>
        <w:jc w:val="both"/>
      </w:pPr>
      <w:r>
        <w:rPr>
          <w:rFonts w:ascii="Times New Roman" w:hAnsi="Times New Roman"/>
          <w:color w:val="000000"/>
          <w:sz w:val="24"/>
        </w:rPr>
        <w:t xml:space="preserve">Soil water content (SWC) was monitored continuously in Control and Irrigated plots from early June to early September (Fig. 1). Across the full monitoring period, SWC was significantly higher in Irrigated than in Control plots (12.7 ± 3.1% vs. 9.2 ± 1.9%, mean ± SD; linear mixed-effects model with sampling date as a random effect: </w:t>
      </w:r>
      <w:r>
        <w:rPr>
          <w:rFonts w:ascii="Times New Roman" w:hAnsi="Times New Roman"/>
          <w:i/>
          <w:color w:val="000000"/>
          <w:sz w:val="24"/>
        </w:rPr>
        <w:t>F</w:t>
      </w:r>
      <w:r>
        <w:rPr>
          <w:rFonts w:ascii="Times New Roman" w:hAnsi="Times New Roman"/>
          <w:color w:val="000000"/>
          <w:sz w:val="24"/>
          <w:vertAlign w:val="subscript"/>
        </w:rPr>
        <w:t>1,548.5</w:t>
      </w:r>
      <w:r>
        <w:rPr>
          <w:rFonts w:ascii="Times New Roman" w:hAnsi="Times New Roman"/>
          <w:color w:val="000000"/>
          <w:sz w:val="24"/>
        </w:rPr>
        <w:t xml:space="preserve"> = 495.9, </w:t>
      </w:r>
      <w:r>
        <w:rPr>
          <w:rFonts w:ascii="Times New Roman" w:hAnsi="Times New Roman"/>
          <w:i/>
          <w:color w:val="000000"/>
          <w:sz w:val="24"/>
        </w:rPr>
        <w:t>p</w:t>
      </w:r>
      <w:r>
        <w:rPr>
          <w:rFonts w:ascii="Times New Roman" w:hAnsi="Times New Roman"/>
          <w:color w:val="000000"/>
          <w:sz w:val="24"/>
        </w:rPr>
        <w:t xml:space="preserve"> &lt; 0.001). Both treatments declined similarly from early June toward a dry-season minimum around late July, after which scheduled irrigation produced repeated transient recoveries in the Irrigated treatment that were absent from the Control treatment (Fig. 1). This sustained separation confirms that the irrigation manipulation produced the intended divergence in substrate water availability throughout the experiment.</w:t>
      </w:r>
    </w:p>
    <w:p>
      <w:pPr>
        <w:spacing w:before="240"/>
        <w:jc w:val="center"/>
      </w:pPr>
      <w:r>
        <w:drawing>
          <wp:inline xmlns:a="http://schemas.openxmlformats.org/drawingml/2006/main" xmlns:pic="http://schemas.openxmlformats.org/drawingml/2006/picture">
            <wp:extent cx="5486400" cy="3895984"/>
            <wp:docPr id="1" name="Picture 1"/>
            <wp:cNvGraphicFramePr>
              <a:graphicFrameLocks noChangeAspect="1"/>
            </wp:cNvGraphicFramePr>
            <a:graphic>
              <a:graphicData uri="http://schemas.openxmlformats.org/drawingml/2006/picture">
                <pic:pic>
                  <pic:nvPicPr>
                    <pic:cNvPr id="0" name="SWCAA.png"/>
                    <pic:cNvPicPr/>
                  </pic:nvPicPr>
                  <pic:blipFill>
                    <a:blip r:embed="rId9"/>
                    <a:stretch>
                      <a:fillRect/>
                    </a:stretch>
                  </pic:blipFill>
                  <pic:spPr>
                    <a:xfrm>
                      <a:off x="0" y="0"/>
                      <a:ext cx="5486400" cy="3895984"/>
                    </a:xfrm>
                    <a:prstGeom prst="rect"/>
                  </pic:spPr>
                </pic:pic>
              </a:graphicData>
            </a:graphic>
          </wp:inline>
        </w:drawing>
      </w:r>
    </w:p>
    <w:p>
      <w:pPr>
        <w:spacing w:after="400"/>
        <w:jc w:val="center"/>
      </w:pPr>
      <w:r>
        <w:rPr>
          <w:rFonts w:ascii="Times New Roman" w:hAnsi="Times New Roman"/>
          <w:b/>
          <w:color w:val="000000"/>
          <w:sz w:val="20"/>
        </w:rPr>
        <w:t xml:space="preserve">Fig. 1. </w:t>
      </w:r>
      <w:r>
        <w:rPr>
          <w:rFonts w:ascii="Times New Roman" w:hAnsi="Times New Roman"/>
          <w:color w:val="000000"/>
          <w:sz w:val="20"/>
        </w:rPr>
        <w:t>Seasonal course of volumetric soil water content (SWC) in Control and Irrigated plots from early June to early September. Lines show plot-level means through time.</w:t>
      </w:r>
    </w:p>
    <w:p>
      <w:pPr>
        <w:spacing w:before="280" w:after="120"/>
      </w:pPr>
      <w:r>
        <w:rPr>
          <w:rFonts w:ascii="Times New Roman" w:hAnsi="Times New Roman"/>
          <w:b/>
          <w:color w:val="000000"/>
          <w:sz w:val="25"/>
        </w:rPr>
        <w:t>Seasonal dynamics of water status and sap flux</w:t>
      </w:r>
    </w:p>
    <w:p>
      <w:pPr>
        <w:spacing w:line="360" w:lineRule="auto" w:after="200"/>
        <w:jc w:val="both"/>
      </w:pPr>
      <w:r>
        <w:rPr>
          <w:rFonts w:ascii="Times New Roman" w:hAnsi="Times New Roman"/>
          <w:color w:val="000000"/>
          <w:sz w:val="24"/>
        </w:rPr>
        <w:t>Predawn water potential (ψ</w:t>
      </w:r>
      <w:r>
        <w:rPr>
          <w:rFonts w:ascii="Times New Roman" w:hAnsi="Times New Roman"/>
          <w:color w:val="000000"/>
          <w:sz w:val="24"/>
          <w:vertAlign w:val="subscript"/>
        </w:rPr>
        <w:t>pd</w:t>
      </w:r>
      <w:r>
        <w:rPr>
          <w:rFonts w:ascii="Times New Roman" w:hAnsi="Times New Roman"/>
          <w:color w:val="000000"/>
          <w:sz w:val="24"/>
        </w:rPr>
        <w:t>), midday water potential (ψ</w:t>
      </w:r>
      <w:r>
        <w:rPr>
          <w:rFonts w:ascii="Times New Roman" w:hAnsi="Times New Roman"/>
          <w:color w:val="000000"/>
          <w:sz w:val="24"/>
          <w:vertAlign w:val="subscript"/>
        </w:rPr>
        <w:t>md</w:t>
      </w:r>
      <w:r>
        <w:rPr>
          <w:rFonts w:ascii="Times New Roman" w:hAnsi="Times New Roman"/>
          <w:color w:val="000000"/>
          <w:sz w:val="24"/>
        </w:rPr>
        <w:t>), the daily water-potential drop (Δψ = ψ</w:t>
      </w:r>
      <w:r>
        <w:rPr>
          <w:rFonts w:ascii="Times New Roman" w:hAnsi="Times New Roman"/>
          <w:color w:val="000000"/>
          <w:sz w:val="24"/>
          <w:vertAlign w:val="subscript"/>
        </w:rPr>
        <w:t>pd</w:t>
      </w:r>
      <w:r>
        <w:rPr>
          <w:rFonts w:ascii="Times New Roman" w:hAnsi="Times New Roman"/>
          <w:color w:val="000000"/>
          <w:sz w:val="24"/>
        </w:rPr>
        <w:t xml:space="preserve"> − ψ</w:t>
      </w:r>
      <w:r>
        <w:rPr>
          <w:rFonts w:ascii="Times New Roman" w:hAnsi="Times New Roman"/>
          <w:color w:val="000000"/>
          <w:sz w:val="24"/>
          <w:vertAlign w:val="subscript"/>
        </w:rPr>
        <w:t>md</w:t>
      </w:r>
      <w:r>
        <w:rPr>
          <w:rFonts w:ascii="Times New Roman" w:hAnsi="Times New Roman"/>
          <w:color w:val="000000"/>
          <w:sz w:val="24"/>
        </w:rPr>
        <w:t>), and sap flux density were measured across the seven campaigns in both treatments (Fig. 2). Linear mixed-effects models (Species × Month × Treatment, with tree identity as a random effect) showed that ψ</w:t>
      </w:r>
      <w:r>
        <w:rPr>
          <w:rFonts w:ascii="Times New Roman" w:hAnsi="Times New Roman"/>
          <w:color w:val="000000"/>
          <w:sz w:val="24"/>
          <w:vertAlign w:val="subscript"/>
        </w:rPr>
        <w:t>pd</w:t>
      </w:r>
      <w:r>
        <w:rPr>
          <w:rFonts w:ascii="Times New Roman" w:hAnsi="Times New Roman"/>
          <w:color w:val="000000"/>
          <w:sz w:val="24"/>
        </w:rPr>
        <w:t xml:space="preserve"> and ψ</w:t>
      </w:r>
      <w:r>
        <w:rPr>
          <w:rFonts w:ascii="Times New Roman" w:hAnsi="Times New Roman"/>
          <w:color w:val="000000"/>
          <w:sz w:val="24"/>
          <w:vertAlign w:val="subscript"/>
        </w:rPr>
        <w:t>md</w:t>
      </w:r>
      <w:r>
        <w:rPr>
          <w:rFonts w:ascii="Times New Roman" w:hAnsi="Times New Roman"/>
          <w:color w:val="000000"/>
          <w:sz w:val="24"/>
        </w:rPr>
        <w:t xml:space="preserve"> both declined significantly as the dry season progressed (main effect of Month: ψ</w:t>
      </w:r>
      <w:r>
        <w:rPr>
          <w:rFonts w:ascii="Times New Roman" w:hAnsi="Times New Roman"/>
          <w:color w:val="000000"/>
          <w:sz w:val="24"/>
          <w:vertAlign w:val="subscript"/>
        </w:rPr>
        <w:t>pd</w:t>
      </w:r>
      <w:r>
        <w:rPr>
          <w:rFonts w:ascii="Times New Roman" w:hAnsi="Times New Roman"/>
          <w:color w:val="000000"/>
          <w:sz w:val="24"/>
        </w:rPr>
        <w:t xml:space="preserve">, </w:t>
      </w:r>
      <w:r>
        <w:rPr>
          <w:rFonts w:ascii="Times New Roman" w:hAnsi="Times New Roman"/>
          <w:i/>
          <w:color w:val="000000"/>
          <w:sz w:val="24"/>
        </w:rPr>
        <w:t>F</w:t>
      </w:r>
      <w:r>
        <w:rPr>
          <w:rFonts w:ascii="Times New Roman" w:hAnsi="Times New Roman"/>
          <w:color w:val="000000"/>
          <w:sz w:val="24"/>
          <w:vertAlign w:val="subscript"/>
        </w:rPr>
        <w:t>6,358.3</w:t>
      </w:r>
      <w:r>
        <w:rPr>
          <w:rFonts w:ascii="Times New Roman" w:hAnsi="Times New Roman"/>
          <w:color w:val="000000"/>
          <w:sz w:val="24"/>
        </w:rPr>
        <w:t xml:space="preserve"> = 87.10, </w:t>
      </w:r>
      <w:r>
        <w:rPr>
          <w:rFonts w:ascii="Times New Roman" w:hAnsi="Times New Roman"/>
          <w:i/>
          <w:color w:val="000000"/>
          <w:sz w:val="24"/>
        </w:rPr>
        <w:t>p</w:t>
      </w:r>
      <w:r>
        <w:rPr>
          <w:rFonts w:ascii="Times New Roman" w:hAnsi="Times New Roman"/>
          <w:color w:val="000000"/>
          <w:sz w:val="24"/>
        </w:rPr>
        <w:t xml:space="preserve"> &lt; 0.001; ψ</w:t>
      </w:r>
      <w:r>
        <w:rPr>
          <w:rFonts w:ascii="Times New Roman" w:hAnsi="Times New Roman"/>
          <w:color w:val="000000"/>
          <w:sz w:val="24"/>
          <w:vertAlign w:val="subscript"/>
        </w:rPr>
        <w:t>md</w:t>
      </w:r>
      <w:r>
        <w:rPr>
          <w:rFonts w:ascii="Times New Roman" w:hAnsi="Times New Roman"/>
          <w:color w:val="000000"/>
          <w:sz w:val="24"/>
        </w:rPr>
        <w:t xml:space="preserve">, </w:t>
      </w:r>
      <w:r>
        <w:rPr>
          <w:rFonts w:ascii="Times New Roman" w:hAnsi="Times New Roman"/>
          <w:i/>
          <w:color w:val="000000"/>
          <w:sz w:val="24"/>
        </w:rPr>
        <w:t>F</w:t>
      </w:r>
      <w:r>
        <w:rPr>
          <w:rFonts w:ascii="Times New Roman" w:hAnsi="Times New Roman"/>
          <w:color w:val="000000"/>
          <w:sz w:val="24"/>
          <w:vertAlign w:val="subscript"/>
        </w:rPr>
        <w:t>6,356.0</w:t>
      </w:r>
      <w:r>
        <w:rPr>
          <w:rFonts w:ascii="Times New Roman" w:hAnsi="Times New Roman"/>
          <w:color w:val="000000"/>
          <w:sz w:val="24"/>
        </w:rPr>
        <w:t xml:space="preserve"> = 67.37, </w:t>
      </w:r>
      <w:r>
        <w:rPr>
          <w:rFonts w:ascii="Times New Roman" w:hAnsi="Times New Roman"/>
          <w:i/>
          <w:color w:val="000000"/>
          <w:sz w:val="24"/>
        </w:rPr>
        <w:t>p</w:t>
      </w:r>
      <w:r>
        <w:rPr>
          <w:rFonts w:ascii="Times New Roman" w:hAnsi="Times New Roman"/>
          <w:color w:val="000000"/>
          <w:sz w:val="24"/>
        </w:rPr>
        <w:t xml:space="preserve"> &lt; 0.001) and were significantly less negative in Irrigated than in Control trees overall (Treatment: ψ</w:t>
      </w:r>
      <w:r>
        <w:rPr>
          <w:rFonts w:ascii="Times New Roman" w:hAnsi="Times New Roman"/>
          <w:color w:val="000000"/>
          <w:sz w:val="24"/>
          <w:vertAlign w:val="subscript"/>
        </w:rPr>
        <w:t>pd</w:t>
      </w:r>
      <w:r>
        <w:rPr>
          <w:rFonts w:ascii="Times New Roman" w:hAnsi="Times New Roman"/>
          <w:color w:val="000000"/>
          <w:sz w:val="24"/>
        </w:rPr>
        <w:t xml:space="preserve">, </w:t>
      </w:r>
      <w:r>
        <w:rPr>
          <w:rFonts w:ascii="Times New Roman" w:hAnsi="Times New Roman"/>
          <w:i/>
          <w:color w:val="000000"/>
          <w:sz w:val="24"/>
        </w:rPr>
        <w:t>F</w:t>
      </w:r>
      <w:r>
        <w:rPr>
          <w:rFonts w:ascii="Times New Roman" w:hAnsi="Times New Roman"/>
          <w:color w:val="000000"/>
          <w:sz w:val="24"/>
          <w:vertAlign w:val="subscript"/>
        </w:rPr>
        <w:t>1,70.4</w:t>
      </w:r>
      <w:r>
        <w:rPr>
          <w:rFonts w:ascii="Times New Roman" w:hAnsi="Times New Roman"/>
          <w:color w:val="000000"/>
          <w:sz w:val="24"/>
        </w:rPr>
        <w:t xml:space="preserve"> = 112.87, </w:t>
      </w:r>
      <w:r>
        <w:rPr>
          <w:rFonts w:ascii="Times New Roman" w:hAnsi="Times New Roman"/>
          <w:i/>
          <w:color w:val="000000"/>
          <w:sz w:val="24"/>
        </w:rPr>
        <w:t>p</w:t>
      </w:r>
      <w:r>
        <w:rPr>
          <w:rFonts w:ascii="Times New Roman" w:hAnsi="Times New Roman"/>
          <w:color w:val="000000"/>
          <w:sz w:val="24"/>
        </w:rPr>
        <w:t xml:space="preserve"> &lt; 0.001; ψ</w:t>
      </w:r>
      <w:r>
        <w:rPr>
          <w:rFonts w:ascii="Times New Roman" w:hAnsi="Times New Roman"/>
          <w:color w:val="000000"/>
          <w:sz w:val="24"/>
          <w:vertAlign w:val="subscript"/>
        </w:rPr>
        <w:t>md</w:t>
      </w:r>
      <w:r>
        <w:rPr>
          <w:rFonts w:ascii="Times New Roman" w:hAnsi="Times New Roman"/>
          <w:color w:val="000000"/>
          <w:sz w:val="24"/>
        </w:rPr>
        <w:t xml:space="preserve">, </w:t>
      </w:r>
      <w:r>
        <w:rPr>
          <w:rFonts w:ascii="Times New Roman" w:hAnsi="Times New Roman"/>
          <w:i/>
          <w:color w:val="000000"/>
          <w:sz w:val="24"/>
        </w:rPr>
        <w:t>F</w:t>
      </w:r>
      <w:r>
        <w:rPr>
          <w:rFonts w:ascii="Times New Roman" w:hAnsi="Times New Roman"/>
          <w:color w:val="000000"/>
          <w:sz w:val="24"/>
          <w:vertAlign w:val="subscript"/>
        </w:rPr>
        <w:t>1,73.2</w:t>
      </w:r>
      <w:r>
        <w:rPr>
          <w:rFonts w:ascii="Times New Roman" w:hAnsi="Times New Roman"/>
          <w:color w:val="000000"/>
          <w:sz w:val="24"/>
        </w:rPr>
        <w:t xml:space="preserve"> = 32.50, </w:t>
      </w:r>
      <w:r>
        <w:rPr>
          <w:rFonts w:ascii="Times New Roman" w:hAnsi="Times New Roman"/>
          <w:i/>
          <w:color w:val="000000"/>
          <w:sz w:val="24"/>
        </w:rPr>
        <w:t>p</w:t>
      </w:r>
      <w:r>
        <w:rPr>
          <w:rFonts w:ascii="Times New Roman" w:hAnsi="Times New Roman"/>
          <w:color w:val="000000"/>
          <w:sz w:val="24"/>
        </w:rPr>
        <w:t xml:space="preserve"> &lt; 0.001; pooled across campaigns, ψ</w:t>
      </w:r>
      <w:r>
        <w:rPr>
          <w:rFonts w:ascii="Times New Roman" w:hAnsi="Times New Roman"/>
          <w:color w:val="000000"/>
          <w:sz w:val="24"/>
          <w:vertAlign w:val="subscript"/>
        </w:rPr>
        <w:t>pd</w:t>
      </w:r>
      <w:r>
        <w:rPr>
          <w:rFonts w:ascii="Times New Roman" w:hAnsi="Times New Roman"/>
          <w:color w:val="000000"/>
          <w:sz w:val="24"/>
        </w:rPr>
        <w:t xml:space="preserve"> averaged −1.04 ± 0.04 MPa in Control versus −0.76 ± 0.03 MPa in Irrigated trees). The size of this Control–Irrigated gap itself changed across the season (Month × Treatment: ψ</w:t>
      </w:r>
      <w:r>
        <w:rPr>
          <w:rFonts w:ascii="Times New Roman" w:hAnsi="Times New Roman"/>
          <w:color w:val="000000"/>
          <w:sz w:val="24"/>
          <w:vertAlign w:val="subscript"/>
        </w:rPr>
        <w:t>pd</w:t>
      </w:r>
      <w:r>
        <w:rPr>
          <w:rFonts w:ascii="Times New Roman" w:hAnsi="Times New Roman"/>
          <w:color w:val="000000"/>
          <w:sz w:val="24"/>
        </w:rPr>
        <w:t xml:space="preserve">, </w:t>
      </w:r>
      <w:r>
        <w:rPr>
          <w:rFonts w:ascii="Times New Roman" w:hAnsi="Times New Roman"/>
          <w:i/>
          <w:color w:val="000000"/>
          <w:sz w:val="24"/>
        </w:rPr>
        <w:t>F</w:t>
      </w:r>
      <w:r>
        <w:rPr>
          <w:rFonts w:ascii="Times New Roman" w:hAnsi="Times New Roman"/>
          <w:color w:val="000000"/>
          <w:sz w:val="24"/>
          <w:vertAlign w:val="subscript"/>
        </w:rPr>
        <w:t>6,357.2</w:t>
      </w:r>
      <w:r>
        <w:rPr>
          <w:rFonts w:ascii="Times New Roman" w:hAnsi="Times New Roman"/>
          <w:color w:val="000000"/>
          <w:sz w:val="24"/>
        </w:rPr>
        <w:t xml:space="preserve"> = 17.51, </w:t>
      </w:r>
      <w:r>
        <w:rPr>
          <w:rFonts w:ascii="Times New Roman" w:hAnsi="Times New Roman"/>
          <w:i/>
          <w:color w:val="000000"/>
          <w:sz w:val="24"/>
        </w:rPr>
        <w:t>p</w:t>
      </w:r>
      <w:r>
        <w:rPr>
          <w:rFonts w:ascii="Times New Roman" w:hAnsi="Times New Roman"/>
          <w:color w:val="000000"/>
          <w:sz w:val="24"/>
        </w:rPr>
        <w:t xml:space="preserve"> &lt; 0.001; ψ</w:t>
      </w:r>
      <w:r>
        <w:rPr>
          <w:rFonts w:ascii="Times New Roman" w:hAnsi="Times New Roman"/>
          <w:color w:val="000000"/>
          <w:sz w:val="24"/>
          <w:vertAlign w:val="subscript"/>
        </w:rPr>
        <w:t>md</w:t>
      </w:r>
      <w:r>
        <w:rPr>
          <w:rFonts w:ascii="Times New Roman" w:hAnsi="Times New Roman"/>
          <w:color w:val="000000"/>
          <w:sz w:val="24"/>
        </w:rPr>
        <w:t xml:space="preserve">, </w:t>
      </w:r>
      <w:r>
        <w:rPr>
          <w:rFonts w:ascii="Times New Roman" w:hAnsi="Times New Roman"/>
          <w:i/>
          <w:color w:val="000000"/>
          <w:sz w:val="24"/>
        </w:rPr>
        <w:t>F</w:t>
      </w:r>
      <w:r>
        <w:rPr>
          <w:rFonts w:ascii="Times New Roman" w:hAnsi="Times New Roman"/>
          <w:color w:val="000000"/>
          <w:sz w:val="24"/>
          <w:vertAlign w:val="subscript"/>
        </w:rPr>
        <w:t>6,355.0</w:t>
      </w:r>
      <w:r>
        <w:rPr>
          <w:rFonts w:ascii="Times New Roman" w:hAnsi="Times New Roman"/>
          <w:color w:val="000000"/>
          <w:sz w:val="24"/>
        </w:rPr>
        <w:t xml:space="preserve"> = 8.70, </w:t>
      </w:r>
      <w:r>
        <w:rPr>
          <w:rFonts w:ascii="Times New Roman" w:hAnsi="Times New Roman"/>
          <w:i/>
          <w:color w:val="000000"/>
          <w:sz w:val="24"/>
        </w:rPr>
        <w:t>p</w:t>
      </w:r>
      <w:r>
        <w:rPr>
          <w:rFonts w:ascii="Times New Roman" w:hAnsi="Times New Roman"/>
          <w:color w:val="000000"/>
          <w:sz w:val="24"/>
        </w:rPr>
        <w:t xml:space="preserve"> &lt; 0.001), and was greatest in early September, when Control trees reached ψ</w:t>
      </w:r>
      <w:r>
        <w:rPr>
          <w:rFonts w:ascii="Times New Roman" w:hAnsi="Times New Roman"/>
          <w:color w:val="000000"/>
          <w:sz w:val="24"/>
          <w:vertAlign w:val="subscript"/>
        </w:rPr>
        <w:t>pd</w:t>
      </w:r>
      <w:r>
        <w:rPr>
          <w:rFonts w:ascii="Times New Roman" w:hAnsi="Times New Roman"/>
          <w:color w:val="000000"/>
          <w:sz w:val="24"/>
        </w:rPr>
        <w:t xml:space="preserve"> = −2.03 ± 0.13 MPa compared with −0.87 ± 0.05 MPa in Irrigated trees, but negligible in early August, when the two treatments briefly converged (ψ</w:t>
      </w:r>
      <w:r>
        <w:rPr>
          <w:rFonts w:ascii="Times New Roman" w:hAnsi="Times New Roman"/>
          <w:color w:val="000000"/>
          <w:sz w:val="24"/>
          <w:vertAlign w:val="subscript"/>
        </w:rPr>
        <w:t>pd</w:t>
      </w:r>
      <w:r>
        <w:rPr>
          <w:rFonts w:ascii="Times New Roman" w:hAnsi="Times New Roman"/>
          <w:color w:val="000000"/>
          <w:sz w:val="24"/>
        </w:rPr>
        <w:t xml:space="preserve"> = −0.56 ± 0.03 MPa in both). Letters above each campaign in Fig. 2 (Tukey-adjusted pairwise comparisons among months, from mixed-effects models with heterogeneous among-campaign variance, fitted separately within each treatment) identify campaigns that differed significantly from one another within a treatment; campaigns sharing a letter were not significantly different.</w:t>
      </w:r>
    </w:p>
    <w:p>
      <w:pPr>
        <w:spacing w:before="240"/>
        <w:jc w:val="center"/>
      </w:pPr>
      <w:r>
        <w:drawing>
          <wp:inline xmlns:a="http://schemas.openxmlformats.org/drawingml/2006/main" xmlns:pic="http://schemas.openxmlformats.org/drawingml/2006/picture">
            <wp:extent cx="5486400" cy="3111124"/>
            <wp:docPr id="2" name="Picture 2"/>
            <wp:cNvGraphicFramePr>
              <a:graphicFrameLocks noChangeAspect="1"/>
            </wp:cNvGraphicFramePr>
            <a:graphic>
              <a:graphicData uri="http://schemas.openxmlformats.org/drawingml/2006/picture">
                <pic:pic>
                  <pic:nvPicPr>
                    <pic:cNvPr id="0" name="Waterfff.png"/>
                    <pic:cNvPicPr/>
                  </pic:nvPicPr>
                  <pic:blipFill>
                    <a:blip r:embed="rId10"/>
                    <a:stretch>
                      <a:fillRect/>
                    </a:stretch>
                  </pic:blipFill>
                  <pic:spPr>
                    <a:xfrm>
                      <a:off x="0" y="0"/>
                      <a:ext cx="5486400" cy="3111124"/>
                    </a:xfrm>
                    <a:prstGeom prst="rect"/>
                  </pic:spPr>
                </pic:pic>
              </a:graphicData>
            </a:graphic>
          </wp:inline>
        </w:drawing>
      </w:r>
    </w:p>
    <w:p>
      <w:pPr>
        <w:spacing w:after="400"/>
        <w:jc w:val="center"/>
      </w:pPr>
      <w:r>
        <w:rPr>
          <w:rFonts w:ascii="Times New Roman" w:hAnsi="Times New Roman"/>
          <w:b/>
          <w:color w:val="000000"/>
          <w:sz w:val="20"/>
        </w:rPr>
        <w:t xml:space="preserve">Fig. 2. </w:t>
      </w:r>
      <w:r>
        <w:rPr>
          <w:rFonts w:ascii="Times New Roman" w:hAnsi="Times New Roman"/>
          <w:color w:val="000000"/>
          <w:sz w:val="20"/>
        </w:rPr>
        <w:t>Seasonal dynamics of (top to bottom) predawn water potential (ψpd), midday water potential (ψmd), the daily water-potential drop (Δψ = ψpd − ψmd), and sap flux density (F) across Control (left) and Irrigated (right) treatments. Points and error bars show means ± SE for each campaign; letters above each month denote significant pairwise differences among months within a treatment (Tukey-adjusted; months sharing a letter did not differ significantly).</w:t>
      </w:r>
    </w:p>
    <w:p>
      <w:pPr>
        <w:spacing w:line="360" w:lineRule="auto" w:after="200"/>
        <w:jc w:val="both"/>
      </w:pPr>
      <w:r>
        <w:rPr>
          <w:rFonts w:ascii="Times New Roman" w:hAnsi="Times New Roman"/>
          <w:color w:val="000000"/>
          <w:sz w:val="24"/>
        </w:rPr>
        <w:t>Despite these substantial treatment effects on absolute water potential, the daily water-potential drop (Δψ) showed no significant effect of Treatment (</w:t>
      </w:r>
      <w:r>
        <w:rPr>
          <w:rFonts w:ascii="Times New Roman" w:hAnsi="Times New Roman"/>
          <w:i/>
          <w:color w:val="000000"/>
          <w:sz w:val="24"/>
        </w:rPr>
        <w:t>F</w:t>
      </w:r>
      <w:r>
        <w:rPr>
          <w:rFonts w:ascii="Times New Roman" w:hAnsi="Times New Roman"/>
          <w:color w:val="000000"/>
          <w:sz w:val="24"/>
          <w:vertAlign w:val="subscript"/>
        </w:rPr>
        <w:t>1,80.0</w:t>
      </w:r>
      <w:r>
        <w:rPr>
          <w:rFonts w:ascii="Times New Roman" w:hAnsi="Times New Roman"/>
          <w:color w:val="000000"/>
          <w:sz w:val="24"/>
        </w:rPr>
        <w:t xml:space="preserve"> = 1.99, </w:t>
      </w:r>
      <w:r>
        <w:rPr>
          <w:rFonts w:ascii="Times New Roman" w:hAnsi="Times New Roman"/>
          <w:i/>
          <w:color w:val="000000"/>
          <w:sz w:val="24"/>
        </w:rPr>
        <w:t>p</w:t>
      </w:r>
      <w:r>
        <w:rPr>
          <w:rFonts w:ascii="Times New Roman" w:hAnsi="Times New Roman"/>
          <w:color w:val="000000"/>
          <w:sz w:val="24"/>
        </w:rPr>
        <w:t xml:space="preserve"> = 0.16), no Month × Treatment interaction (</w:t>
      </w:r>
      <w:r>
        <w:rPr>
          <w:rFonts w:ascii="Times New Roman" w:hAnsi="Times New Roman"/>
          <w:i/>
          <w:color w:val="000000"/>
          <w:sz w:val="24"/>
        </w:rPr>
        <w:t>F</w:t>
      </w:r>
      <w:r>
        <w:rPr>
          <w:rFonts w:ascii="Times New Roman" w:hAnsi="Times New Roman"/>
          <w:color w:val="000000"/>
          <w:sz w:val="24"/>
          <w:vertAlign w:val="subscript"/>
        </w:rPr>
        <w:t>6,364.6</w:t>
      </w:r>
      <w:r>
        <w:rPr>
          <w:rFonts w:ascii="Times New Roman" w:hAnsi="Times New Roman"/>
          <w:color w:val="000000"/>
          <w:sz w:val="24"/>
        </w:rPr>
        <w:t xml:space="preserve"> = 0.89, </w:t>
      </w:r>
      <w:r>
        <w:rPr>
          <w:rFonts w:ascii="Times New Roman" w:hAnsi="Times New Roman"/>
          <w:i/>
          <w:color w:val="000000"/>
          <w:sz w:val="24"/>
        </w:rPr>
        <w:t>p</w:t>
      </w:r>
      <w:r>
        <w:rPr>
          <w:rFonts w:ascii="Times New Roman" w:hAnsi="Times New Roman"/>
          <w:color w:val="000000"/>
          <w:sz w:val="24"/>
        </w:rPr>
        <w:t xml:space="preserve"> = 0.50), and no three-way Species × Month × Treatment interaction (</w:t>
      </w:r>
      <w:r>
        <w:rPr>
          <w:rFonts w:ascii="Times New Roman" w:hAnsi="Times New Roman"/>
          <w:i/>
          <w:color w:val="000000"/>
          <w:sz w:val="24"/>
        </w:rPr>
        <w:t>F</w:t>
      </w:r>
      <w:r>
        <w:rPr>
          <w:rFonts w:ascii="Times New Roman" w:hAnsi="Times New Roman"/>
          <w:color w:val="000000"/>
          <w:sz w:val="24"/>
          <w:vertAlign w:val="subscript"/>
        </w:rPr>
        <w:t>60,364.1</w:t>
      </w:r>
      <w:r>
        <w:rPr>
          <w:rFonts w:ascii="Times New Roman" w:hAnsi="Times New Roman"/>
          <w:color w:val="000000"/>
          <w:sz w:val="24"/>
        </w:rPr>
        <w:t xml:space="preserve"> = 0.66, </w:t>
      </w:r>
      <w:r>
        <w:rPr>
          <w:rFonts w:ascii="Times New Roman" w:hAnsi="Times New Roman"/>
          <w:i/>
          <w:color w:val="000000"/>
          <w:sz w:val="24"/>
        </w:rPr>
        <w:t>p</w:t>
      </w:r>
      <w:r>
        <w:rPr>
          <w:rFonts w:ascii="Times New Roman" w:hAnsi="Times New Roman"/>
          <w:color w:val="000000"/>
          <w:sz w:val="24"/>
        </w:rPr>
        <w:t xml:space="preserve"> = 0.97), although it differed among species (</w:t>
      </w:r>
      <w:r>
        <w:rPr>
          <w:rFonts w:ascii="Times New Roman" w:hAnsi="Times New Roman"/>
          <w:i/>
          <w:color w:val="000000"/>
          <w:sz w:val="24"/>
        </w:rPr>
        <w:t>F</w:t>
      </w:r>
      <w:r>
        <w:rPr>
          <w:rFonts w:ascii="Times New Roman" w:hAnsi="Times New Roman"/>
          <w:color w:val="000000"/>
          <w:sz w:val="24"/>
          <w:vertAlign w:val="subscript"/>
        </w:rPr>
        <w:t>12,78.4</w:t>
      </w:r>
      <w:r>
        <w:rPr>
          <w:rFonts w:ascii="Times New Roman" w:hAnsi="Times New Roman"/>
          <w:color w:val="000000"/>
          <w:sz w:val="24"/>
        </w:rPr>
        <w:t xml:space="preserve"> = 12.42, </w:t>
      </w:r>
      <w:r>
        <w:rPr>
          <w:rFonts w:ascii="Times New Roman" w:hAnsi="Times New Roman"/>
          <w:i/>
          <w:color w:val="000000"/>
          <w:sz w:val="24"/>
        </w:rPr>
        <w:t>p</w:t>
      </w:r>
      <w:r>
        <w:rPr>
          <w:rFonts w:ascii="Times New Roman" w:hAnsi="Times New Roman"/>
          <w:color w:val="000000"/>
          <w:sz w:val="24"/>
        </w:rPr>
        <w:t xml:space="preserve"> &lt; 0.001) and across months (</w:t>
      </w:r>
      <w:r>
        <w:rPr>
          <w:rFonts w:ascii="Times New Roman" w:hAnsi="Times New Roman"/>
          <w:i/>
          <w:color w:val="000000"/>
          <w:sz w:val="24"/>
        </w:rPr>
        <w:t>F</w:t>
      </w:r>
      <w:r>
        <w:rPr>
          <w:rFonts w:ascii="Times New Roman" w:hAnsi="Times New Roman"/>
          <w:color w:val="000000"/>
          <w:sz w:val="24"/>
          <w:vertAlign w:val="subscript"/>
        </w:rPr>
        <w:t>6,365.6</w:t>
      </w:r>
      <w:r>
        <w:rPr>
          <w:rFonts w:ascii="Times New Roman" w:hAnsi="Times New Roman"/>
          <w:color w:val="000000"/>
          <w:sz w:val="24"/>
        </w:rPr>
        <w:t xml:space="preserve"> = 7.73, </w:t>
      </w:r>
      <w:r>
        <w:rPr>
          <w:rFonts w:ascii="Times New Roman" w:hAnsi="Times New Roman"/>
          <w:i/>
          <w:color w:val="000000"/>
          <w:sz w:val="24"/>
        </w:rPr>
        <w:t>p</w:t>
      </w:r>
      <w:r>
        <w:rPr>
          <w:rFonts w:ascii="Times New Roman" w:hAnsi="Times New Roman"/>
          <w:color w:val="000000"/>
          <w:sz w:val="24"/>
        </w:rPr>
        <w:t xml:space="preserve"> &lt; 0.001). Trees in both treatments therefore regulated the daily decline in water potential to a similar degree, indicating a measure of hydraulic homeostasis that was independent of the large treatment difference in absolute water status.</w:t>
      </w:r>
    </w:p>
    <w:p>
      <w:pPr>
        <w:spacing w:line="360" w:lineRule="auto" w:after="200"/>
        <w:jc w:val="both"/>
      </w:pPr>
      <w:r>
        <w:rPr>
          <w:rFonts w:ascii="Times New Roman" w:hAnsi="Times New Roman"/>
          <w:color w:val="000000"/>
          <w:sz w:val="24"/>
        </w:rPr>
        <w:t xml:space="preserve">Sap flux density declined from a seasonal high in early June to a minimum in mid-July before recovering somewhat toward early September (Fig. 2), and was modestly but significantly higher in Irrigated than Control trees overall (0.32 ± 0.02 vs. 0.28 ± 0.02 kg h⁻¹; </w:t>
      </w:r>
      <w:r>
        <w:rPr>
          <w:rFonts w:ascii="Times New Roman" w:hAnsi="Times New Roman"/>
          <w:i/>
          <w:color w:val="000000"/>
          <w:sz w:val="24"/>
        </w:rPr>
        <w:t>F</w:t>
      </w:r>
      <w:r>
        <w:rPr>
          <w:rFonts w:ascii="Times New Roman" w:hAnsi="Times New Roman"/>
          <w:color w:val="000000"/>
          <w:sz w:val="24"/>
          <w:vertAlign w:val="subscript"/>
        </w:rPr>
        <w:t>1,72.5</w:t>
      </w:r>
      <w:r>
        <w:rPr>
          <w:rFonts w:ascii="Times New Roman" w:hAnsi="Times New Roman"/>
          <w:color w:val="000000"/>
          <w:sz w:val="24"/>
        </w:rPr>
        <w:t xml:space="preserve"> = 4.56, </w:t>
      </w:r>
      <w:r>
        <w:rPr>
          <w:rFonts w:ascii="Times New Roman" w:hAnsi="Times New Roman"/>
          <w:i/>
          <w:color w:val="000000"/>
          <w:sz w:val="24"/>
        </w:rPr>
        <w:t>p</w:t>
      </w:r>
      <w:r>
        <w:rPr>
          <w:rFonts w:ascii="Times New Roman" w:hAnsi="Times New Roman"/>
          <w:color w:val="000000"/>
          <w:sz w:val="24"/>
        </w:rPr>
        <w:t xml:space="preserve"> = 0.036), with the treatment difference again varying across the season (Month × Treatment: </w:t>
      </w:r>
      <w:r>
        <w:rPr>
          <w:rFonts w:ascii="Times New Roman" w:hAnsi="Times New Roman"/>
          <w:i/>
          <w:color w:val="000000"/>
          <w:sz w:val="24"/>
        </w:rPr>
        <w:t>F</w:t>
      </w:r>
      <w:r>
        <w:rPr>
          <w:rFonts w:ascii="Times New Roman" w:hAnsi="Times New Roman"/>
          <w:color w:val="000000"/>
          <w:sz w:val="24"/>
          <w:vertAlign w:val="subscript"/>
        </w:rPr>
        <w:t>6,373.4</w:t>
      </w:r>
      <w:r>
        <w:rPr>
          <w:rFonts w:ascii="Times New Roman" w:hAnsi="Times New Roman"/>
          <w:color w:val="000000"/>
          <w:sz w:val="24"/>
        </w:rPr>
        <w:t xml:space="preserve"> = 4.10, </w:t>
      </w:r>
      <w:r>
        <w:rPr>
          <w:rFonts w:ascii="Times New Roman" w:hAnsi="Times New Roman"/>
          <w:i/>
          <w:color w:val="000000"/>
          <w:sz w:val="24"/>
        </w:rPr>
        <w:t>p</w:t>
      </w:r>
      <w:r>
        <w:rPr>
          <w:rFonts w:ascii="Times New Roman" w:hAnsi="Times New Roman"/>
          <w:color w:val="000000"/>
          <w:sz w:val="24"/>
        </w:rPr>
        <w:t xml:space="preserve"> &lt; 0.001). Unlike water potential, sap flux showed no significant Species × Month, Species × Treatment, or three-way interaction (all </w:t>
      </w:r>
      <w:r>
        <w:rPr>
          <w:rFonts w:ascii="Times New Roman" w:hAnsi="Times New Roman"/>
          <w:i/>
          <w:color w:val="000000"/>
          <w:sz w:val="24"/>
        </w:rPr>
        <w:t>p</w:t>
      </w:r>
      <w:r>
        <w:rPr>
          <w:rFonts w:ascii="Times New Roman" w:hAnsi="Times New Roman"/>
          <w:color w:val="000000"/>
          <w:sz w:val="24"/>
        </w:rPr>
        <w:t xml:space="preserve"> &gt; 0.10).</w:t>
      </w:r>
    </w:p>
    <w:p>
      <w:pPr>
        <w:spacing w:line="360" w:lineRule="auto" w:after="200"/>
        <w:jc w:val="both"/>
      </w:pPr>
      <w:r>
        <w:rPr>
          <w:rFonts w:ascii="Times New Roman" w:hAnsi="Times New Roman"/>
          <w:color w:val="000000"/>
          <w:sz w:val="24"/>
        </w:rPr>
        <w:t xml:space="preserve">Because two species were not represented in both treatments (one species absent from Control, another absent from Irrigated), the fixed-effect design matrices for all four mixed models were rank-deficient; the Type III </w:t>
      </w:r>
      <w:r>
        <w:rPr>
          <w:rFonts w:ascii="Times New Roman" w:hAnsi="Times New Roman"/>
          <w:i/>
          <w:color w:val="000000"/>
          <w:sz w:val="24"/>
        </w:rPr>
        <w:t>F</w:t>
      </w:r>
      <w:r>
        <w:rPr>
          <w:rFonts w:ascii="Times New Roman" w:hAnsi="Times New Roman"/>
          <w:color w:val="000000"/>
          <w:sz w:val="24"/>
        </w:rPr>
        <w:t>-tests reported above should accordingly be interpreted with some caution, although the direction and significance of the main Treatment and Month effects were consistent across all four water-relations variables.</w:t>
      </w:r>
    </w:p>
    <w:p>
      <w:pPr>
        <w:spacing w:before="280" w:after="120"/>
      </w:pPr>
      <w:r>
        <w:rPr>
          <w:rFonts w:ascii="Times New Roman" w:hAnsi="Times New Roman"/>
          <w:b/>
          <w:color w:val="000000"/>
          <w:sz w:val="25"/>
        </w:rPr>
        <w:t>Environmental drivers of water status</w:t>
      </w:r>
    </w:p>
    <w:p>
      <w:pPr>
        <w:spacing w:line="360" w:lineRule="auto" w:after="200"/>
        <w:jc w:val="both"/>
      </w:pPr>
      <w:r>
        <w:rPr>
          <w:rFonts w:ascii="Times New Roman" w:hAnsi="Times New Roman"/>
          <w:color w:val="000000"/>
          <w:sz w:val="24"/>
        </w:rPr>
        <w:t>Pooling across treatments and campaigns, ψ</w:t>
      </w:r>
      <w:r>
        <w:rPr>
          <w:rFonts w:ascii="Times New Roman" w:hAnsi="Times New Roman"/>
          <w:color w:val="000000"/>
          <w:sz w:val="24"/>
          <w:vertAlign w:val="subscript"/>
        </w:rPr>
        <w:t>pd</w:t>
      </w:r>
      <w:r>
        <w:rPr>
          <w:rFonts w:ascii="Times New Roman" w:hAnsi="Times New Roman"/>
          <w:color w:val="000000"/>
          <w:sz w:val="24"/>
        </w:rPr>
        <w:t xml:space="preserve"> (</w:t>
      </w:r>
      <w:r>
        <w:rPr>
          <w:rFonts w:ascii="Times New Roman" w:hAnsi="Times New Roman"/>
          <w:i/>
          <w:color w:val="000000"/>
          <w:sz w:val="24"/>
        </w:rPr>
        <w:t>R</w:t>
      </w:r>
      <w:r>
        <w:rPr>
          <w:rFonts w:ascii="Times New Roman" w:hAnsi="Times New Roman"/>
          <w:color w:val="000000"/>
          <w:sz w:val="24"/>
          <w:vertAlign w:val="superscript"/>
        </w:rPr>
        <w:t>2</w:t>
      </w:r>
      <w:r>
        <w:rPr>
          <w:rFonts w:ascii="Times New Roman" w:hAnsi="Times New Roman"/>
          <w:color w:val="000000"/>
          <w:sz w:val="24"/>
        </w:rPr>
        <w:t xml:space="preserve"> = 0.40, </w:t>
      </w:r>
      <w:r>
        <w:rPr>
          <w:rFonts w:ascii="Times New Roman" w:hAnsi="Times New Roman"/>
          <w:i/>
          <w:color w:val="000000"/>
          <w:sz w:val="24"/>
        </w:rPr>
        <w:t>p</w:t>
      </w:r>
      <w:r>
        <w:rPr>
          <w:rFonts w:ascii="Times New Roman" w:hAnsi="Times New Roman"/>
          <w:color w:val="000000"/>
          <w:sz w:val="24"/>
        </w:rPr>
        <w:t xml:space="preserve"> &lt; 0.001) and ψ</w:t>
      </w:r>
      <w:r>
        <w:rPr>
          <w:rFonts w:ascii="Times New Roman" w:hAnsi="Times New Roman"/>
          <w:color w:val="000000"/>
          <w:sz w:val="24"/>
          <w:vertAlign w:val="subscript"/>
        </w:rPr>
        <w:t>md</w:t>
      </w:r>
      <w:r>
        <w:rPr>
          <w:rFonts w:ascii="Times New Roman" w:hAnsi="Times New Roman"/>
          <w:color w:val="000000"/>
          <w:sz w:val="24"/>
        </w:rPr>
        <w:t xml:space="preserve"> (</w:t>
      </w:r>
      <w:r>
        <w:rPr>
          <w:rFonts w:ascii="Times New Roman" w:hAnsi="Times New Roman"/>
          <w:i/>
          <w:color w:val="000000"/>
          <w:sz w:val="24"/>
        </w:rPr>
        <w:t>R</w:t>
      </w:r>
      <w:r>
        <w:rPr>
          <w:rFonts w:ascii="Times New Roman" w:hAnsi="Times New Roman"/>
          <w:color w:val="000000"/>
          <w:sz w:val="24"/>
          <w:vertAlign w:val="superscript"/>
        </w:rPr>
        <w:t>2</w:t>
      </w:r>
      <w:r>
        <w:rPr>
          <w:rFonts w:ascii="Times New Roman" w:hAnsi="Times New Roman"/>
          <w:color w:val="000000"/>
          <w:sz w:val="24"/>
        </w:rPr>
        <w:t xml:space="preserve"> = 0.36, </w:t>
      </w:r>
      <w:r>
        <w:rPr>
          <w:rFonts w:ascii="Times New Roman" w:hAnsi="Times New Roman"/>
          <w:i/>
          <w:color w:val="000000"/>
          <w:sz w:val="24"/>
        </w:rPr>
        <w:t>p</w:t>
      </w:r>
      <w:r>
        <w:rPr>
          <w:rFonts w:ascii="Times New Roman" w:hAnsi="Times New Roman"/>
          <w:color w:val="000000"/>
          <w:sz w:val="24"/>
        </w:rPr>
        <w:t xml:space="preserve"> = 0.002) became less negative, and sap flux density increased (</w:t>
      </w:r>
      <w:r>
        <w:rPr>
          <w:rFonts w:ascii="Times New Roman" w:hAnsi="Times New Roman"/>
          <w:i/>
          <w:color w:val="000000"/>
          <w:sz w:val="24"/>
        </w:rPr>
        <w:t>R</w:t>
      </w:r>
      <w:r>
        <w:rPr>
          <w:rFonts w:ascii="Times New Roman" w:hAnsi="Times New Roman"/>
          <w:color w:val="000000"/>
          <w:sz w:val="24"/>
          <w:vertAlign w:val="superscript"/>
        </w:rPr>
        <w:t>2</w:t>
      </w:r>
      <w:r>
        <w:rPr>
          <w:rFonts w:ascii="Times New Roman" w:hAnsi="Times New Roman"/>
          <w:color w:val="000000"/>
          <w:sz w:val="24"/>
        </w:rPr>
        <w:t xml:space="preserve"> = 0.44, </w:t>
      </w:r>
      <w:r>
        <w:rPr>
          <w:rFonts w:ascii="Times New Roman" w:hAnsi="Times New Roman"/>
          <w:i/>
          <w:color w:val="000000"/>
          <w:sz w:val="24"/>
        </w:rPr>
        <w:t>p</w:t>
      </w:r>
      <w:r>
        <w:rPr>
          <w:rFonts w:ascii="Times New Roman" w:hAnsi="Times New Roman"/>
          <w:color w:val="000000"/>
          <w:sz w:val="24"/>
        </w:rPr>
        <w:t xml:space="preserve"> &lt; 0.001), with increasing soil water content (Fig. 3). In contrast, Δψ was unrelated to SWC (</w:t>
      </w:r>
      <w:r>
        <w:rPr>
          <w:rFonts w:ascii="Times New Roman" w:hAnsi="Times New Roman"/>
          <w:i/>
          <w:color w:val="000000"/>
          <w:sz w:val="24"/>
        </w:rPr>
        <w:t>R</w:t>
      </w:r>
      <w:r>
        <w:rPr>
          <w:rFonts w:ascii="Times New Roman" w:hAnsi="Times New Roman"/>
          <w:color w:val="000000"/>
          <w:sz w:val="24"/>
          <w:vertAlign w:val="superscript"/>
        </w:rPr>
        <w:t>2</w:t>
      </w:r>
      <w:r>
        <w:rPr>
          <w:rFonts w:ascii="Times New Roman" w:hAnsi="Times New Roman"/>
          <w:color w:val="000000"/>
          <w:sz w:val="24"/>
        </w:rPr>
        <w:t xml:space="preserve"> = 0.01, </w:t>
      </w:r>
      <w:r>
        <w:rPr>
          <w:rFonts w:ascii="Times New Roman" w:hAnsi="Times New Roman"/>
          <w:i/>
          <w:color w:val="000000"/>
          <w:sz w:val="24"/>
        </w:rPr>
        <w:t>p</w:t>
      </w:r>
      <w:r>
        <w:rPr>
          <w:rFonts w:ascii="Times New Roman" w:hAnsi="Times New Roman"/>
          <w:color w:val="000000"/>
          <w:sz w:val="24"/>
        </w:rPr>
        <w:t xml:space="preserve"> = 0.74), reinforcing the seasonal-dynamics result above that the daily water-potential drop was decoupled from ambient soil moisture availability, even though ψ</w:t>
      </w:r>
      <w:r>
        <w:rPr>
          <w:rFonts w:ascii="Times New Roman" w:hAnsi="Times New Roman"/>
          <w:color w:val="000000"/>
          <w:sz w:val="24"/>
          <w:vertAlign w:val="subscript"/>
        </w:rPr>
        <w:t>pd</w:t>
      </w:r>
      <w:r>
        <w:rPr>
          <w:rFonts w:ascii="Times New Roman" w:hAnsi="Times New Roman"/>
          <w:color w:val="000000"/>
          <w:sz w:val="24"/>
        </w:rPr>
        <w:t xml:space="preserve"> and ψ</w:t>
      </w:r>
      <w:r>
        <w:rPr>
          <w:rFonts w:ascii="Times New Roman" w:hAnsi="Times New Roman"/>
          <w:color w:val="000000"/>
          <w:sz w:val="24"/>
          <w:vertAlign w:val="subscript"/>
        </w:rPr>
        <w:t>md</w:t>
      </w:r>
      <w:r>
        <w:rPr>
          <w:rFonts w:ascii="Times New Roman" w:hAnsi="Times New Roman"/>
          <w:color w:val="000000"/>
          <w:sz w:val="24"/>
        </w:rPr>
        <w:t xml:space="preserve"> individually tracked it closely.</w:t>
      </w:r>
    </w:p>
    <w:p>
      <w:pPr>
        <w:spacing w:before="240"/>
        <w:jc w:val="center"/>
      </w:pPr>
      <w:r>
        <w:drawing>
          <wp:inline xmlns:a="http://schemas.openxmlformats.org/drawingml/2006/main" xmlns:pic="http://schemas.openxmlformats.org/drawingml/2006/picture">
            <wp:extent cx="5486400" cy="1455021"/>
            <wp:docPr id="3" name="Picture 3"/>
            <wp:cNvGraphicFramePr>
              <a:graphicFrameLocks noChangeAspect="1"/>
            </wp:cNvGraphicFramePr>
            <a:graphic>
              <a:graphicData uri="http://schemas.openxmlformats.org/drawingml/2006/picture">
                <pic:pic>
                  <pic:nvPicPr>
                    <pic:cNvPr id="0" name="SWC.png"/>
                    <pic:cNvPicPr/>
                  </pic:nvPicPr>
                  <pic:blipFill>
                    <a:blip r:embed="rId11"/>
                    <a:stretch>
                      <a:fillRect/>
                    </a:stretch>
                  </pic:blipFill>
                  <pic:spPr>
                    <a:xfrm>
                      <a:off x="0" y="0"/>
                      <a:ext cx="5486400" cy="1455021"/>
                    </a:xfrm>
                    <a:prstGeom prst="rect"/>
                  </pic:spPr>
                </pic:pic>
              </a:graphicData>
            </a:graphic>
          </wp:inline>
        </w:drawing>
      </w:r>
    </w:p>
    <w:p>
      <w:pPr>
        <w:spacing w:after="400"/>
        <w:jc w:val="center"/>
      </w:pPr>
      <w:r>
        <w:rPr>
          <w:rFonts w:ascii="Times New Roman" w:hAnsi="Times New Roman"/>
          <w:b/>
          <w:color w:val="000000"/>
          <w:sz w:val="20"/>
        </w:rPr>
        <w:t xml:space="preserve">Fig. 3. </w:t>
      </w:r>
      <w:r>
        <w:rPr>
          <w:rFonts w:ascii="Times New Roman" w:hAnsi="Times New Roman"/>
          <w:color w:val="000000"/>
          <w:sz w:val="20"/>
        </w:rPr>
        <w:t>Relationships between soil water content (SWC) and predawn water potential (ψpd), midday water potential (ψmd), the daily water-potential drop (Δψ), and sap flux density (F), pooled across treatments and campaigns. Lines show fitted linear regressions.</w:t>
      </w:r>
    </w:p>
    <w:p>
      <w:pPr>
        <w:spacing w:before="280" w:after="120"/>
      </w:pPr>
      <w:r>
        <w:rPr>
          <w:rFonts w:ascii="Times New Roman" w:hAnsi="Times New Roman"/>
          <w:b/>
          <w:color w:val="000000"/>
          <w:sz w:val="25"/>
        </w:rPr>
        <w:t>Height-dependent drought sensitivity</w:t>
      </w:r>
    </w:p>
    <w:p>
      <w:pPr>
        <w:spacing w:line="360" w:lineRule="auto" w:after="200"/>
        <w:jc w:val="both"/>
      </w:pPr>
      <w:r>
        <w:rPr>
          <w:rFonts w:ascii="Times New Roman" w:hAnsi="Times New Roman"/>
          <w:color w:val="000000"/>
          <w:sz w:val="24"/>
        </w:rPr>
        <w:t>The relationship between tree height and ψ</w:t>
      </w:r>
      <w:r>
        <w:rPr>
          <w:rFonts w:ascii="Times New Roman" w:hAnsi="Times New Roman"/>
          <w:color w:val="000000"/>
          <w:sz w:val="24"/>
          <w:vertAlign w:val="subscript"/>
        </w:rPr>
        <w:t>pd</w:t>
      </w:r>
      <w:r>
        <w:rPr>
          <w:rFonts w:ascii="Times New Roman" w:hAnsi="Times New Roman"/>
          <w:color w:val="000000"/>
          <w:sz w:val="24"/>
        </w:rPr>
        <w:t xml:space="preserve"> depended on both treatment and campaign (Fig. 4). Among Control trees, taller individuals maintained significantly less negative ψ</w:t>
      </w:r>
      <w:r>
        <w:rPr>
          <w:rFonts w:ascii="Times New Roman" w:hAnsi="Times New Roman"/>
          <w:color w:val="000000"/>
          <w:sz w:val="24"/>
          <w:vertAlign w:val="subscript"/>
        </w:rPr>
        <w:t>pd</w:t>
      </w:r>
      <w:r>
        <w:rPr>
          <w:rFonts w:ascii="Times New Roman" w:hAnsi="Times New Roman"/>
          <w:color w:val="000000"/>
          <w:sz w:val="24"/>
        </w:rPr>
        <w:t xml:space="preserve"> than shorter individuals during the three driest campaigns of the season — mid-July (</w:t>
      </w:r>
      <w:r>
        <w:rPr>
          <w:rFonts w:ascii="Times New Roman" w:hAnsi="Times New Roman"/>
          <w:i/>
          <w:color w:val="000000"/>
          <w:sz w:val="24"/>
        </w:rPr>
        <w:t>R</w:t>
      </w:r>
      <w:r>
        <w:rPr>
          <w:rFonts w:ascii="Times New Roman" w:hAnsi="Times New Roman"/>
          <w:color w:val="000000"/>
          <w:sz w:val="24"/>
          <w:vertAlign w:val="superscript"/>
        </w:rPr>
        <w:t>2</w:t>
      </w:r>
      <w:r>
        <w:rPr>
          <w:rFonts w:ascii="Times New Roman" w:hAnsi="Times New Roman"/>
          <w:color w:val="000000"/>
          <w:sz w:val="24"/>
        </w:rPr>
        <w:t xml:space="preserve"> = 0.38, </w:t>
      </w:r>
      <w:r>
        <w:rPr>
          <w:rFonts w:ascii="Times New Roman" w:hAnsi="Times New Roman"/>
          <w:i/>
          <w:color w:val="000000"/>
          <w:sz w:val="24"/>
        </w:rPr>
        <w:t>p</w:t>
      </w:r>
      <w:r>
        <w:rPr>
          <w:rFonts w:ascii="Times New Roman" w:hAnsi="Times New Roman"/>
          <w:color w:val="000000"/>
          <w:sz w:val="24"/>
        </w:rPr>
        <w:t xml:space="preserve"> = 0.033), mid-August (</w:t>
      </w:r>
      <w:r>
        <w:rPr>
          <w:rFonts w:ascii="Times New Roman" w:hAnsi="Times New Roman"/>
          <w:i/>
          <w:color w:val="000000"/>
          <w:sz w:val="24"/>
        </w:rPr>
        <w:t>R</w:t>
      </w:r>
      <w:r>
        <w:rPr>
          <w:rFonts w:ascii="Times New Roman" w:hAnsi="Times New Roman"/>
          <w:color w:val="000000"/>
          <w:sz w:val="24"/>
          <w:vertAlign w:val="superscript"/>
        </w:rPr>
        <w:t>2</w:t>
      </w:r>
      <w:r>
        <w:rPr>
          <w:rFonts w:ascii="Times New Roman" w:hAnsi="Times New Roman"/>
          <w:color w:val="000000"/>
          <w:sz w:val="24"/>
        </w:rPr>
        <w:t xml:space="preserve"> = 0.41, </w:t>
      </w:r>
      <w:r>
        <w:rPr>
          <w:rFonts w:ascii="Times New Roman" w:hAnsi="Times New Roman"/>
          <w:i/>
          <w:color w:val="000000"/>
          <w:sz w:val="24"/>
        </w:rPr>
        <w:t>p</w:t>
      </w:r>
      <w:r>
        <w:rPr>
          <w:rFonts w:ascii="Times New Roman" w:hAnsi="Times New Roman"/>
          <w:color w:val="000000"/>
          <w:sz w:val="24"/>
        </w:rPr>
        <w:t xml:space="preserve"> = 0.019), and early September (</w:t>
      </w:r>
      <w:r>
        <w:rPr>
          <w:rFonts w:ascii="Times New Roman" w:hAnsi="Times New Roman"/>
          <w:i/>
          <w:color w:val="000000"/>
          <w:sz w:val="24"/>
        </w:rPr>
        <w:t>R</w:t>
      </w:r>
      <w:r>
        <w:rPr>
          <w:rFonts w:ascii="Times New Roman" w:hAnsi="Times New Roman"/>
          <w:color w:val="000000"/>
          <w:sz w:val="24"/>
          <w:vertAlign w:val="superscript"/>
        </w:rPr>
        <w:t>2</w:t>
      </w:r>
      <w:r>
        <w:rPr>
          <w:rFonts w:ascii="Times New Roman" w:hAnsi="Times New Roman"/>
          <w:color w:val="000000"/>
          <w:sz w:val="24"/>
        </w:rPr>
        <w:t xml:space="preserve"> = 0.37, </w:t>
      </w:r>
      <w:r>
        <w:rPr>
          <w:rFonts w:ascii="Times New Roman" w:hAnsi="Times New Roman"/>
          <w:i/>
          <w:color w:val="000000"/>
          <w:sz w:val="24"/>
        </w:rPr>
        <w:t>p</w:t>
      </w:r>
      <w:r>
        <w:rPr>
          <w:rFonts w:ascii="Times New Roman" w:hAnsi="Times New Roman"/>
          <w:color w:val="000000"/>
          <w:sz w:val="24"/>
        </w:rPr>
        <w:t xml:space="preserve"> = 0.027) — but no significant height–ψ</w:t>
      </w:r>
      <w:r>
        <w:rPr>
          <w:rFonts w:ascii="Times New Roman" w:hAnsi="Times New Roman"/>
          <w:color w:val="000000"/>
          <w:sz w:val="24"/>
          <w:vertAlign w:val="subscript"/>
        </w:rPr>
        <w:t>pd</w:t>
      </w:r>
      <w:r>
        <w:rPr>
          <w:rFonts w:ascii="Times New Roman" w:hAnsi="Times New Roman"/>
          <w:color w:val="000000"/>
          <w:sz w:val="24"/>
        </w:rPr>
        <w:t xml:space="preserve"> relationship was detected in the four remaining Control campaigns (early June, mid-June, early July, early August; all </w:t>
      </w:r>
      <w:r>
        <w:rPr>
          <w:rFonts w:ascii="Times New Roman" w:hAnsi="Times New Roman"/>
          <w:i/>
          <w:color w:val="000000"/>
          <w:sz w:val="24"/>
        </w:rPr>
        <w:t>p</w:t>
      </w:r>
      <w:r>
        <w:rPr>
          <w:rFonts w:ascii="Times New Roman" w:hAnsi="Times New Roman"/>
          <w:color w:val="000000"/>
          <w:sz w:val="24"/>
        </w:rPr>
        <w:t xml:space="preserve"> &gt; 0.05). Among Irrigated trees, a significant height effect was detected only in mid-June (</w:t>
      </w:r>
      <w:r>
        <w:rPr>
          <w:rFonts w:ascii="Times New Roman" w:hAnsi="Times New Roman"/>
          <w:i/>
          <w:color w:val="000000"/>
          <w:sz w:val="24"/>
        </w:rPr>
        <w:t>R</w:t>
      </w:r>
      <w:r>
        <w:rPr>
          <w:rFonts w:ascii="Times New Roman" w:hAnsi="Times New Roman"/>
          <w:color w:val="000000"/>
          <w:sz w:val="24"/>
          <w:vertAlign w:val="superscript"/>
        </w:rPr>
        <w:t>2</w:t>
      </w:r>
      <w:r>
        <w:rPr>
          <w:rFonts w:ascii="Times New Roman" w:hAnsi="Times New Roman"/>
          <w:color w:val="000000"/>
          <w:sz w:val="24"/>
        </w:rPr>
        <w:t xml:space="preserve"> = 0.36, </w:t>
      </w:r>
      <w:r>
        <w:rPr>
          <w:rFonts w:ascii="Times New Roman" w:hAnsi="Times New Roman"/>
          <w:i/>
          <w:color w:val="000000"/>
          <w:sz w:val="24"/>
        </w:rPr>
        <w:t>p</w:t>
      </w:r>
      <w:r>
        <w:rPr>
          <w:rFonts w:ascii="Times New Roman" w:hAnsi="Times New Roman"/>
          <w:color w:val="000000"/>
          <w:sz w:val="24"/>
        </w:rPr>
        <w:t xml:space="preserve"> = 0.04) and in no other campaign. Taller trees therefore appear to have been better buffered against the most severe seasonal water deficits under water-limited (Control) conditions, an advantage that was largely undetectable once soil moisture was supplemented by irrigation.</w:t>
      </w:r>
    </w:p>
    <w:p>
      <w:pPr>
        <w:spacing w:before="240"/>
        <w:jc w:val="center"/>
      </w:pPr>
      <w:r>
        <w:drawing>
          <wp:inline xmlns:a="http://schemas.openxmlformats.org/drawingml/2006/main" xmlns:pic="http://schemas.openxmlformats.org/drawingml/2006/picture">
            <wp:extent cx="5486400" cy="2460118"/>
            <wp:docPr id="4" name="Picture 4"/>
            <wp:cNvGraphicFramePr>
              <a:graphicFrameLocks noChangeAspect="1"/>
            </wp:cNvGraphicFramePr>
            <a:graphic>
              <a:graphicData uri="http://schemas.openxmlformats.org/drawingml/2006/picture">
                <pic:pic>
                  <pic:nvPicPr>
                    <pic:cNvPr id="0" name="PredawnH.png"/>
                    <pic:cNvPicPr/>
                  </pic:nvPicPr>
                  <pic:blipFill>
                    <a:blip r:embed="rId12"/>
                    <a:stretch>
                      <a:fillRect/>
                    </a:stretch>
                  </pic:blipFill>
                  <pic:spPr>
                    <a:xfrm>
                      <a:off x="0" y="0"/>
                      <a:ext cx="5486400" cy="2460118"/>
                    </a:xfrm>
                    <a:prstGeom prst="rect"/>
                  </pic:spPr>
                </pic:pic>
              </a:graphicData>
            </a:graphic>
          </wp:inline>
        </w:drawing>
      </w:r>
    </w:p>
    <w:p>
      <w:pPr>
        <w:spacing w:after="400"/>
        <w:jc w:val="center"/>
      </w:pPr>
      <w:r>
        <w:rPr>
          <w:rFonts w:ascii="Times New Roman" w:hAnsi="Times New Roman"/>
          <w:b/>
          <w:color w:val="000000"/>
          <w:sz w:val="20"/>
        </w:rPr>
        <w:t xml:space="preserve">Fig. 4. </w:t>
      </w:r>
      <w:r>
        <w:rPr>
          <w:rFonts w:ascii="Times New Roman" w:hAnsi="Times New Roman"/>
          <w:color w:val="000000"/>
          <w:sz w:val="20"/>
        </w:rPr>
        <w:t>Relationship between tree height and predawn water potential (ψpd) across measurement campaigns, shown separately for Control (left) and Irrigated (right) treatments. Regression lines and R²/p-values are shown only for campaigns in which the height–ψpd relationship was statistically significant.</w:t>
      </w:r>
    </w:p>
    <w:p>
      <w:pPr>
        <w:spacing w:line="360" w:lineRule="auto" w:after="200"/>
        <w:jc w:val="both"/>
      </w:pPr>
      <w:r>
        <w:rPr>
          <w:rFonts w:ascii="Times New Roman" w:hAnsi="Times New Roman"/>
          <w:color w:val="000000"/>
          <w:sz w:val="24"/>
        </w:rPr>
        <w:t>Consistent with this, when expressed instead as the percentage change in ψ</w:t>
      </w:r>
      <w:r>
        <w:rPr>
          <w:rFonts w:ascii="Times New Roman" w:hAnsi="Times New Roman"/>
          <w:color w:val="000000"/>
          <w:sz w:val="24"/>
          <w:vertAlign w:val="subscript"/>
        </w:rPr>
        <w:t>pd</w:t>
      </w:r>
      <w:r>
        <w:rPr>
          <w:rFonts w:ascii="Times New Roman" w:hAnsi="Times New Roman"/>
          <w:color w:val="000000"/>
          <w:sz w:val="24"/>
        </w:rPr>
        <w:t xml:space="preserve"> at the individual-tree level (i.e., without species-mean aggregation, which otherwise inflates explanatory power), the relationship between tree height and the overall magnitude of seasonal ψ</w:t>
      </w:r>
      <w:r>
        <w:rPr>
          <w:rFonts w:ascii="Times New Roman" w:hAnsi="Times New Roman"/>
          <w:color w:val="000000"/>
          <w:sz w:val="24"/>
          <w:vertAlign w:val="subscript"/>
        </w:rPr>
        <w:t>pd</w:t>
      </w:r>
      <w:r>
        <w:rPr>
          <w:rFonts w:ascii="Times New Roman" w:hAnsi="Times New Roman"/>
          <w:color w:val="000000"/>
          <w:sz w:val="24"/>
        </w:rPr>
        <w:t xml:space="preserve"> decline was not statistically significant in either treatment (Control: </w:t>
      </w:r>
      <w:r>
        <w:rPr>
          <w:rFonts w:ascii="Times New Roman" w:hAnsi="Times New Roman"/>
          <w:i/>
          <w:color w:val="000000"/>
          <w:sz w:val="24"/>
        </w:rPr>
        <w:t>R</w:t>
      </w:r>
      <w:r>
        <w:rPr>
          <w:rFonts w:ascii="Times New Roman" w:hAnsi="Times New Roman"/>
          <w:color w:val="000000"/>
          <w:sz w:val="24"/>
          <w:vertAlign w:val="superscript"/>
        </w:rPr>
        <w:t>2</w:t>
      </w:r>
      <w:r>
        <w:rPr>
          <w:rFonts w:ascii="Times New Roman" w:hAnsi="Times New Roman"/>
          <w:color w:val="000000"/>
          <w:sz w:val="24"/>
        </w:rPr>
        <w:t xml:space="preserve"> = 0.06, </w:t>
      </w:r>
      <w:r>
        <w:rPr>
          <w:rFonts w:ascii="Times New Roman" w:hAnsi="Times New Roman"/>
          <w:i/>
          <w:color w:val="000000"/>
          <w:sz w:val="24"/>
        </w:rPr>
        <w:t>p</w:t>
      </w:r>
      <w:r>
        <w:rPr>
          <w:rFonts w:ascii="Times New Roman" w:hAnsi="Times New Roman"/>
          <w:color w:val="000000"/>
          <w:sz w:val="24"/>
        </w:rPr>
        <w:t xml:space="preserve"> = 0.103; Irrigated: </w:t>
      </w:r>
      <w:r>
        <w:rPr>
          <w:rFonts w:ascii="Times New Roman" w:hAnsi="Times New Roman"/>
          <w:i/>
          <w:color w:val="000000"/>
          <w:sz w:val="24"/>
        </w:rPr>
        <w:t>R</w:t>
      </w:r>
      <w:r>
        <w:rPr>
          <w:rFonts w:ascii="Times New Roman" w:hAnsi="Times New Roman"/>
          <w:color w:val="000000"/>
          <w:sz w:val="24"/>
          <w:vertAlign w:val="superscript"/>
        </w:rPr>
        <w:t>2</w:t>
      </w:r>
      <w:r>
        <w:rPr>
          <w:rFonts w:ascii="Times New Roman" w:hAnsi="Times New Roman"/>
          <w:color w:val="000000"/>
          <w:sz w:val="24"/>
        </w:rPr>
        <w:t xml:space="preserve"> = 0.01, </w:t>
      </w:r>
      <w:r>
        <w:rPr>
          <w:rFonts w:ascii="Times New Roman" w:hAnsi="Times New Roman"/>
          <w:i/>
          <w:color w:val="000000"/>
          <w:sz w:val="24"/>
        </w:rPr>
        <w:t>p</w:t>
      </w:r>
      <w:r>
        <w:rPr>
          <w:rFonts w:ascii="Times New Roman" w:hAnsi="Times New Roman"/>
          <w:color w:val="000000"/>
          <w:sz w:val="24"/>
        </w:rPr>
        <w:t xml:space="preserve"> = 0.539; not shown). The height advantage detected campaign-by-campaign in Fig. 4 therefore did not extend to a simple linear relationship with the total magnitude of seasonal decline across the full dataset.</w:t>
      </w:r>
    </w:p>
    <w:p>
      <w:pPr>
        <w:spacing w:before="280" w:after="120"/>
      </w:pPr>
      <w:r>
        <w:rPr>
          <w:rFonts w:ascii="Times New Roman" w:hAnsi="Times New Roman"/>
          <w:b/>
          <w:color w:val="000000"/>
          <w:sz w:val="25"/>
        </w:rPr>
        <w:t>Growth consequences of water use</w:t>
      </w:r>
    </w:p>
    <w:p>
      <w:pPr>
        <w:spacing w:line="360" w:lineRule="auto" w:after="200"/>
        <w:jc w:val="both"/>
      </w:pPr>
      <w:r>
        <w:rPr>
          <w:rFonts w:ascii="Times New Roman" w:hAnsi="Times New Roman"/>
          <w:color w:val="000000"/>
          <w:sz w:val="24"/>
        </w:rPr>
        <w:t>Relative height growth rate (RGR) was positively related to both sap flux density (</w:t>
      </w:r>
      <w:r>
        <w:rPr>
          <w:rFonts w:ascii="Times New Roman" w:hAnsi="Times New Roman"/>
          <w:i/>
          <w:color w:val="000000"/>
          <w:sz w:val="24"/>
        </w:rPr>
        <w:t>R</w:t>
      </w:r>
      <w:r>
        <w:rPr>
          <w:rFonts w:ascii="Times New Roman" w:hAnsi="Times New Roman"/>
          <w:color w:val="000000"/>
          <w:sz w:val="24"/>
          <w:vertAlign w:val="superscript"/>
        </w:rPr>
        <w:t>2</w:t>
      </w:r>
      <w:r>
        <w:rPr>
          <w:rFonts w:ascii="Times New Roman" w:hAnsi="Times New Roman"/>
          <w:color w:val="000000"/>
          <w:sz w:val="24"/>
        </w:rPr>
        <w:t xml:space="preserve"> = 0.125, </w:t>
      </w:r>
      <w:r>
        <w:rPr>
          <w:rFonts w:ascii="Times New Roman" w:hAnsi="Times New Roman"/>
          <w:i/>
          <w:color w:val="000000"/>
          <w:sz w:val="24"/>
        </w:rPr>
        <w:t>p</w:t>
      </w:r>
      <w:r>
        <w:rPr>
          <w:rFonts w:ascii="Times New Roman" w:hAnsi="Times New Roman"/>
          <w:color w:val="000000"/>
          <w:sz w:val="24"/>
        </w:rPr>
        <w:t xml:space="preserve"> = 0.001) and the percentage seasonal decline in sap flux density (</w:t>
      </w:r>
      <w:r>
        <w:rPr>
          <w:rFonts w:ascii="Times New Roman" w:hAnsi="Times New Roman"/>
          <w:i/>
          <w:color w:val="000000"/>
          <w:sz w:val="24"/>
        </w:rPr>
        <w:t>R</w:t>
      </w:r>
      <w:r>
        <w:rPr>
          <w:rFonts w:ascii="Times New Roman" w:hAnsi="Times New Roman"/>
          <w:color w:val="000000"/>
          <w:sz w:val="24"/>
          <w:vertAlign w:val="superscript"/>
        </w:rPr>
        <w:t>2</w:t>
      </w:r>
      <w:r>
        <w:rPr>
          <w:rFonts w:ascii="Times New Roman" w:hAnsi="Times New Roman"/>
          <w:color w:val="000000"/>
          <w:sz w:val="24"/>
        </w:rPr>
        <w:t xml:space="preserve"> = 0.08, </w:t>
      </w:r>
      <w:r>
        <w:rPr>
          <w:rFonts w:ascii="Times New Roman" w:hAnsi="Times New Roman"/>
          <w:i/>
          <w:color w:val="000000"/>
          <w:sz w:val="24"/>
        </w:rPr>
        <w:t>p</w:t>
      </w:r>
      <w:r>
        <w:rPr>
          <w:rFonts w:ascii="Times New Roman" w:hAnsi="Times New Roman"/>
          <w:color w:val="000000"/>
          <w:sz w:val="24"/>
        </w:rPr>
        <w:t xml:space="preserve"> = 0.009) when pooled across treatments (Fig. 5). Neither relationship differed significantly between Control and Irrigated trees (sap flux × Treatment interaction: </w:t>
      </w:r>
      <w:r>
        <w:rPr>
          <w:rFonts w:ascii="Times New Roman" w:hAnsi="Times New Roman"/>
          <w:i/>
          <w:color w:val="000000"/>
          <w:sz w:val="24"/>
        </w:rPr>
        <w:t>F</w:t>
      </w:r>
      <w:r>
        <w:rPr>
          <w:rFonts w:ascii="Times New Roman" w:hAnsi="Times New Roman"/>
          <w:color w:val="000000"/>
          <w:sz w:val="24"/>
          <w:vertAlign w:val="subscript"/>
        </w:rPr>
        <w:t>1,79</w:t>
      </w:r>
      <w:r>
        <w:rPr>
          <w:rFonts w:ascii="Times New Roman" w:hAnsi="Times New Roman"/>
          <w:color w:val="000000"/>
          <w:sz w:val="24"/>
        </w:rPr>
        <w:t xml:space="preserve"> = 0.55, </w:t>
      </w:r>
      <w:r>
        <w:rPr>
          <w:rFonts w:ascii="Times New Roman" w:hAnsi="Times New Roman"/>
          <w:i/>
          <w:color w:val="000000"/>
          <w:sz w:val="24"/>
        </w:rPr>
        <w:t>p</w:t>
      </w:r>
      <w:r>
        <w:rPr>
          <w:rFonts w:ascii="Times New Roman" w:hAnsi="Times New Roman"/>
          <w:color w:val="000000"/>
          <w:sz w:val="24"/>
        </w:rPr>
        <w:t xml:space="preserve"> = 0.46; % decline in sap flux × Treatment interaction: </w:t>
      </w:r>
      <w:r>
        <w:rPr>
          <w:rFonts w:ascii="Times New Roman" w:hAnsi="Times New Roman"/>
          <w:i/>
          <w:color w:val="000000"/>
          <w:sz w:val="24"/>
        </w:rPr>
        <w:t>F</w:t>
      </w:r>
      <w:r>
        <w:rPr>
          <w:rFonts w:ascii="Times New Roman" w:hAnsi="Times New Roman"/>
          <w:color w:val="000000"/>
          <w:sz w:val="24"/>
          <w:vertAlign w:val="subscript"/>
        </w:rPr>
        <w:t>1,79</w:t>
      </w:r>
      <w:r>
        <w:rPr>
          <w:rFonts w:ascii="Times New Roman" w:hAnsi="Times New Roman"/>
          <w:color w:val="000000"/>
          <w:sz w:val="24"/>
        </w:rPr>
        <w:t xml:space="preserve"> = 0.26, </w:t>
      </w:r>
      <w:r>
        <w:rPr>
          <w:rFonts w:ascii="Times New Roman" w:hAnsi="Times New Roman"/>
          <w:i/>
          <w:color w:val="000000"/>
          <w:sz w:val="24"/>
        </w:rPr>
        <w:t>p</w:t>
      </w:r>
      <w:r>
        <w:rPr>
          <w:rFonts w:ascii="Times New Roman" w:hAnsi="Times New Roman"/>
          <w:color w:val="000000"/>
          <w:sz w:val="24"/>
        </w:rPr>
        <w:t xml:space="preserve"> = 0.61), which justifies the pooled analysis shown in Fig. 5 and indicates that the positive coupling between water use and height growth operated similarly in both treatments. Trees that sustained higher sap flux, or that experienced a smaller proportional decline in sap flux over the dry season, achieved faster height growth regardless of irrigation treatment.</w:t>
      </w:r>
    </w:p>
    <w:p>
      <w:pPr>
        <w:spacing w:before="240"/>
        <w:jc w:val="center"/>
      </w:pPr>
      <w:r>
        <w:drawing>
          <wp:inline xmlns:a="http://schemas.openxmlformats.org/drawingml/2006/main" xmlns:pic="http://schemas.openxmlformats.org/drawingml/2006/picture">
            <wp:extent cx="5486400" cy="2662319"/>
            <wp:docPr id="5" name="Picture 5"/>
            <wp:cNvGraphicFramePr>
              <a:graphicFrameLocks noChangeAspect="1"/>
            </wp:cNvGraphicFramePr>
            <a:graphic>
              <a:graphicData uri="http://schemas.openxmlformats.org/drawingml/2006/picture">
                <pic:pic>
                  <pic:nvPicPr>
                    <pic:cNvPr id="0" name="Fig55_pooled.png"/>
                    <pic:cNvPicPr/>
                  </pic:nvPicPr>
                  <pic:blipFill>
                    <a:blip r:embed="rId13"/>
                    <a:stretch>
                      <a:fillRect/>
                    </a:stretch>
                  </pic:blipFill>
                  <pic:spPr>
                    <a:xfrm>
                      <a:off x="0" y="0"/>
                      <a:ext cx="5486400" cy="2662319"/>
                    </a:xfrm>
                    <a:prstGeom prst="rect"/>
                  </pic:spPr>
                </pic:pic>
              </a:graphicData>
            </a:graphic>
          </wp:inline>
        </w:drawing>
      </w:r>
    </w:p>
    <w:p>
      <w:pPr>
        <w:spacing w:after="400"/>
        <w:jc w:val="center"/>
      </w:pPr>
      <w:r>
        <w:rPr>
          <w:rFonts w:ascii="Times New Roman" w:hAnsi="Times New Roman"/>
          <w:b/>
          <w:color w:val="000000"/>
          <w:sz w:val="20"/>
        </w:rPr>
        <w:t xml:space="preserve">Fig. 5. </w:t>
      </w:r>
      <w:r>
        <w:rPr>
          <w:rFonts w:ascii="Times New Roman" w:hAnsi="Times New Roman"/>
          <w:color w:val="000000"/>
          <w:sz w:val="20"/>
        </w:rPr>
        <w:t>Relationship between relative height growth rate (RGR) and (a) sap flux density (F) and (b) the percentage seasonal decline in sap flux density, pooled across Control and Irrigated treatments. Shaded bands show 95% confidence intervals.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