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48AC1" w14:textId="77777777" w:rsidR="00637ECB" w:rsidRPr="0062293A" w:rsidRDefault="00637ECB" w:rsidP="00ED5BAA">
      <w:pPr>
        <w:pStyle w:val="papertitle"/>
        <w:spacing w:before="100" w:beforeAutospacing="1" w:after="100" w:afterAutospacing="1"/>
        <w:ind w:left="720"/>
        <w:rPr>
          <w:rFonts w:eastAsia="SimSun"/>
          <w:sz w:val="16"/>
          <w:szCs w:val="16"/>
        </w:rPr>
      </w:pPr>
      <w:r w:rsidRPr="0062293A">
        <w:t>Industrial Stack Emissions Monitoring: Enhancing Pollution Assessment with Multirotor Drone Technology</w:t>
      </w:r>
    </w:p>
    <w:p w14:paraId="47CA69F1" w14:textId="12055E41" w:rsidR="00732E46" w:rsidRPr="0062293A" w:rsidRDefault="00732E46">
      <w:pPr>
        <w:widowControl w:val="0"/>
        <w:pBdr>
          <w:top w:val="nil"/>
          <w:left w:val="nil"/>
          <w:bottom w:val="nil"/>
          <w:right w:val="nil"/>
          <w:between w:val="nil"/>
        </w:pBdr>
        <w:spacing w:line="252" w:lineRule="auto"/>
        <w:jc w:val="both"/>
        <w:rPr>
          <w:color w:val="FF0000"/>
          <w:sz w:val="18"/>
          <w:szCs w:val="18"/>
        </w:rPr>
      </w:pPr>
    </w:p>
    <w:p w14:paraId="6531D7CD" w14:textId="192A95C3" w:rsidR="00732E46" w:rsidRPr="0062293A" w:rsidRDefault="000F2C11" w:rsidP="00D050EC">
      <w:pPr>
        <w:pBdr>
          <w:top w:val="nil"/>
          <w:left w:val="nil"/>
          <w:bottom w:val="nil"/>
          <w:right w:val="nil"/>
          <w:between w:val="nil"/>
        </w:pBdr>
        <w:jc w:val="center"/>
        <w:rPr>
          <w:color w:val="FF0000"/>
          <w:sz w:val="22"/>
          <w:szCs w:val="22"/>
        </w:rPr>
      </w:pPr>
      <w:bookmarkStart w:id="0" w:name="_heading=h.gjdgxs" w:colFirst="0" w:colLast="0"/>
      <w:bookmarkEnd w:id="0"/>
      <w:r w:rsidRPr="0062293A">
        <w:rPr>
          <w:color w:val="FF0000"/>
          <w:sz w:val="22"/>
          <w:szCs w:val="22"/>
        </w:rPr>
        <w:t xml:space="preserve">First A. Author, </w:t>
      </w:r>
      <w:r w:rsidRPr="0062293A">
        <w:rPr>
          <w:i/>
          <w:color w:val="FF0000"/>
          <w:sz w:val="22"/>
          <w:szCs w:val="22"/>
        </w:rPr>
        <w:t>Fellow, IEEE</w:t>
      </w:r>
      <w:r w:rsidRPr="0062293A">
        <w:rPr>
          <w:color w:val="FF0000"/>
          <w:sz w:val="22"/>
          <w:szCs w:val="22"/>
        </w:rPr>
        <w:t xml:space="preserve">, Second B. Author, and Third C. Author Jr., </w:t>
      </w:r>
      <w:r w:rsidRPr="0062293A">
        <w:rPr>
          <w:i/>
          <w:color w:val="FF0000"/>
          <w:sz w:val="22"/>
          <w:szCs w:val="22"/>
        </w:rPr>
        <w:t>Member, IEEE</w:t>
      </w:r>
    </w:p>
    <w:p w14:paraId="66416825" w14:textId="77777777" w:rsidR="00002FAF" w:rsidRPr="0062293A" w:rsidRDefault="00002FAF" w:rsidP="00D050EC">
      <w:pPr>
        <w:pBdr>
          <w:top w:val="nil"/>
          <w:left w:val="nil"/>
          <w:bottom w:val="nil"/>
          <w:right w:val="nil"/>
          <w:between w:val="nil"/>
        </w:pBdr>
        <w:spacing w:after="320"/>
        <w:ind w:firstLine="202"/>
        <w:jc w:val="both"/>
        <w:rPr>
          <w:b/>
          <w:i/>
          <w:color w:val="FF0000"/>
          <w:sz w:val="18"/>
          <w:szCs w:val="18"/>
        </w:rPr>
      </w:pPr>
    </w:p>
    <w:p w14:paraId="06590BF3" w14:textId="77777777" w:rsidR="007E713A" w:rsidRPr="0062293A" w:rsidRDefault="007E713A" w:rsidP="00D050EC">
      <w:pPr>
        <w:pBdr>
          <w:top w:val="nil"/>
          <w:left w:val="nil"/>
          <w:bottom w:val="nil"/>
          <w:right w:val="nil"/>
          <w:between w:val="nil"/>
        </w:pBdr>
        <w:spacing w:before="20" w:after="320"/>
        <w:ind w:firstLine="202"/>
        <w:jc w:val="both"/>
        <w:rPr>
          <w:b/>
          <w:i/>
          <w:color w:val="FF0000"/>
          <w:sz w:val="18"/>
          <w:szCs w:val="18"/>
        </w:rPr>
        <w:sectPr w:rsidR="007E713A" w:rsidRPr="006229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2293A" w:rsidRDefault="00BE4774" w:rsidP="00BE4774">
      <w:pPr>
        <w:pStyle w:val="Text"/>
        <w:ind w:firstLine="0"/>
        <w:rPr>
          <w:rFonts w:ascii="Times" w:hAnsi="Times"/>
          <w:color w:val="FF0000"/>
          <w:sz w:val="18"/>
          <w:szCs w:val="18"/>
        </w:rPr>
      </w:pPr>
      <w:r w:rsidRPr="0062293A">
        <w:rPr>
          <w:rFonts w:ascii="Times" w:hAnsi="Times"/>
          <w:color w:val="FF0000"/>
          <w:sz w:val="18"/>
          <w:szCs w:val="18"/>
        </w:rPr>
        <w:footnoteReference w:customMarkFollows="1" w:id="1"/>
        <w:sym w:font="Symbol" w:char="F020"/>
      </w:r>
    </w:p>
    <w:p w14:paraId="1B643D01" w14:textId="1A93E31F" w:rsidR="00732E46" w:rsidRPr="0062293A" w:rsidRDefault="000F2C11" w:rsidP="00BB1DE8">
      <w:pPr>
        <w:pBdr>
          <w:top w:val="nil"/>
          <w:left w:val="nil"/>
          <w:bottom w:val="nil"/>
          <w:right w:val="nil"/>
          <w:between w:val="nil"/>
        </w:pBdr>
        <w:spacing w:before="20"/>
        <w:ind w:firstLine="202"/>
        <w:jc w:val="both"/>
        <w:rPr>
          <w:b/>
          <w:sz w:val="18"/>
          <w:szCs w:val="18"/>
        </w:rPr>
      </w:pPr>
      <w:r w:rsidRPr="0062293A">
        <w:rPr>
          <w:b/>
          <w:i/>
          <w:sz w:val="18"/>
          <w:szCs w:val="18"/>
        </w:rPr>
        <w:t>Abstract</w:t>
      </w:r>
      <w:r w:rsidRPr="0062293A">
        <w:rPr>
          <w:b/>
          <w:sz w:val="18"/>
          <w:szCs w:val="18"/>
        </w:rPr>
        <w:t>—</w:t>
      </w:r>
      <w:proofErr w:type="gramStart"/>
      <w:r w:rsidR="00637ECB" w:rsidRPr="0062293A">
        <w:rPr>
          <w:b/>
          <w:sz w:val="18"/>
          <w:szCs w:val="18"/>
        </w:rPr>
        <w:t>This</w:t>
      </w:r>
      <w:proofErr w:type="gramEnd"/>
      <w:r w:rsidR="00637ECB" w:rsidRPr="0062293A">
        <w:rPr>
          <w:b/>
          <w:sz w:val="18"/>
          <w:szCs w:val="18"/>
        </w:rPr>
        <w:t xml:space="preserve"> research focuses on the conceptual design of a stack emissions monitoring drone, addressing the critical issue of monitoring industrial </w:t>
      </w:r>
      <w:r w:rsidR="00A64F86">
        <w:rPr>
          <w:b/>
          <w:sz w:val="18"/>
          <w:szCs w:val="18"/>
        </w:rPr>
        <w:t>stack</w:t>
      </w:r>
      <w:r w:rsidR="00637ECB" w:rsidRPr="0062293A">
        <w:rPr>
          <w:b/>
          <w:sz w:val="18"/>
          <w:szCs w:val="18"/>
        </w:rPr>
        <w:t xml:space="preserve">s to control air pollution. The inherent risks associated with monitoring tall chimneys, particularly in refineries, pose threats to human lives and health. By employing an aerial robotic system, these risks are eliminated while simultaneously reducing time and operational costs. Through rigorous demand and mission analysis, the design process is structured into five stages: </w:t>
      </w:r>
      <w:r w:rsidR="00621A94">
        <w:rPr>
          <w:b/>
          <w:sz w:val="18"/>
          <w:szCs w:val="18"/>
        </w:rPr>
        <w:t>1</w:t>
      </w:r>
      <w:r w:rsidR="00637ECB" w:rsidRPr="0062293A">
        <w:rPr>
          <w:b/>
          <w:sz w:val="18"/>
          <w:szCs w:val="18"/>
        </w:rPr>
        <w:t>. Selection of an avian-inspired manipulator and sampling probe, 2. Configuration layout, 3. Selection of an appropriate monitoring sensor, 4. Iterative weight estimation and propulsion selection, and 5. Identification of subsystems and key components. To optimize the manipulator's installation, an optimization process is employed. Design decisions are guided by quantified criteria, ensuring a systematic and objective approach. The presented novel design sketch exemplifies the potential of the proposed concept, emphasizing the importance of adopting a systematic design view in effectively addressing the critical issue of stack emissions monitoring.</w:t>
      </w:r>
      <w:r w:rsidR="00D84406">
        <w:rPr>
          <w:b/>
          <w:sz w:val="18"/>
          <w:szCs w:val="18"/>
        </w:rPr>
        <w:t xml:space="preserve"> </w:t>
      </w:r>
      <w:r w:rsidR="00D84406" w:rsidRPr="00BB1DE8">
        <w:rPr>
          <w:b/>
          <w:color w:val="2E74B5" w:themeColor="accent1" w:themeShade="BF"/>
          <w:sz w:val="18"/>
          <w:szCs w:val="18"/>
        </w:rPr>
        <w:t>(</w:t>
      </w:r>
      <w:r w:rsidR="00BB1DE8" w:rsidRPr="00BB1DE8">
        <w:rPr>
          <w:b/>
          <w:color w:val="2E74B5" w:themeColor="accent1" w:themeShade="BF"/>
          <w:sz w:val="18"/>
          <w:szCs w:val="18"/>
        </w:rPr>
        <w:t>Needs to</w:t>
      </w:r>
      <w:r w:rsidR="00D84406" w:rsidRPr="00BB1DE8">
        <w:rPr>
          <w:b/>
          <w:color w:val="2E74B5" w:themeColor="accent1" w:themeShade="BF"/>
          <w:sz w:val="18"/>
          <w:szCs w:val="18"/>
        </w:rPr>
        <w:t xml:space="preserve"> be </w:t>
      </w:r>
      <w:r w:rsidR="00BB1DE8" w:rsidRPr="00BB1DE8">
        <w:rPr>
          <w:b/>
          <w:color w:val="2E74B5" w:themeColor="accent1" w:themeShade="BF"/>
          <w:sz w:val="18"/>
          <w:szCs w:val="18"/>
        </w:rPr>
        <w:t xml:space="preserve">revised and </w:t>
      </w:r>
      <w:r w:rsidR="00D84406" w:rsidRPr="00BB1DE8">
        <w:rPr>
          <w:b/>
          <w:color w:val="2E74B5" w:themeColor="accent1" w:themeShade="BF"/>
          <w:sz w:val="18"/>
          <w:szCs w:val="18"/>
        </w:rPr>
        <w:t xml:space="preserve">finalized </w:t>
      </w:r>
      <w:r w:rsidR="00BB1DE8" w:rsidRPr="00BB1DE8">
        <w:rPr>
          <w:b/>
          <w:color w:val="2E74B5" w:themeColor="accent1" w:themeShade="BF"/>
          <w:sz w:val="18"/>
          <w:szCs w:val="18"/>
        </w:rPr>
        <w:t>at the end)</w:t>
      </w:r>
    </w:p>
    <w:p w14:paraId="5416E351" w14:textId="77777777" w:rsidR="00637ECB" w:rsidRPr="0062293A" w:rsidRDefault="00637ECB" w:rsidP="00637ECB">
      <w:pPr>
        <w:pBdr>
          <w:top w:val="nil"/>
          <w:left w:val="nil"/>
          <w:bottom w:val="nil"/>
          <w:right w:val="nil"/>
          <w:between w:val="nil"/>
        </w:pBdr>
        <w:spacing w:before="20"/>
        <w:ind w:firstLine="202"/>
        <w:jc w:val="both"/>
        <w:rPr>
          <w:color w:val="FF0000"/>
        </w:rPr>
      </w:pPr>
    </w:p>
    <w:p w14:paraId="7D8B40AF" w14:textId="6D3082F2" w:rsidR="00A551CB" w:rsidRPr="00A551CB" w:rsidRDefault="000F2C11" w:rsidP="009345F4">
      <w:pPr>
        <w:jc w:val="both"/>
        <w:rPr>
          <w:b/>
          <w:sz w:val="18"/>
          <w:szCs w:val="18"/>
        </w:rPr>
      </w:pPr>
      <w:bookmarkStart w:id="1" w:name="bookmark=id.30j0zll" w:colFirst="0" w:colLast="0"/>
      <w:bookmarkEnd w:id="1"/>
      <w:r w:rsidRPr="00A551CB">
        <w:rPr>
          <w:b/>
          <w:i/>
          <w:sz w:val="18"/>
          <w:szCs w:val="18"/>
        </w:rPr>
        <w:t>Index Terms</w:t>
      </w:r>
      <w:r w:rsidRPr="00A551CB">
        <w:rPr>
          <w:b/>
          <w:sz w:val="18"/>
          <w:szCs w:val="18"/>
        </w:rPr>
        <w:t>—</w:t>
      </w:r>
      <w:r w:rsidR="00A64F86">
        <w:rPr>
          <w:b/>
          <w:sz w:val="18"/>
          <w:szCs w:val="18"/>
        </w:rPr>
        <w:t xml:space="preserve">Air Pollution Control, </w:t>
      </w:r>
      <w:r w:rsidR="00B32CB6">
        <w:rPr>
          <w:b/>
          <w:sz w:val="18"/>
          <w:szCs w:val="18"/>
        </w:rPr>
        <w:t>Aerial</w:t>
      </w:r>
      <w:r w:rsidR="00A551CB" w:rsidRPr="00A551CB">
        <w:rPr>
          <w:b/>
          <w:sz w:val="18"/>
          <w:szCs w:val="18"/>
        </w:rPr>
        <w:t xml:space="preserve"> Emissions Monitoring</w:t>
      </w:r>
      <w:r w:rsidR="009345F4">
        <w:rPr>
          <w:b/>
          <w:sz w:val="18"/>
          <w:szCs w:val="18"/>
        </w:rPr>
        <w:t>, Manipulator Design Optimization</w:t>
      </w:r>
      <w:r w:rsidR="00AF357B">
        <w:rPr>
          <w:b/>
          <w:sz w:val="18"/>
          <w:szCs w:val="18"/>
        </w:rPr>
        <w:t xml:space="preserve"> </w:t>
      </w:r>
      <w:r w:rsidR="00A551CB" w:rsidRPr="00A551CB">
        <w:rPr>
          <w:b/>
          <w:sz w:val="18"/>
          <w:szCs w:val="18"/>
        </w:rPr>
        <w:t xml:space="preserve">, </w:t>
      </w:r>
      <w:r w:rsidR="00897E26">
        <w:rPr>
          <w:b/>
          <w:sz w:val="18"/>
          <w:szCs w:val="18"/>
        </w:rPr>
        <w:t>Multirotor</w:t>
      </w:r>
    </w:p>
    <w:p w14:paraId="4B5FE2A0" w14:textId="623D768E" w:rsidR="005C18AE" w:rsidRPr="0062293A" w:rsidRDefault="000F2C11" w:rsidP="00D050EC">
      <w:pPr>
        <w:jc w:val="both"/>
        <w:rPr>
          <w:b/>
          <w:color w:val="FF0000"/>
          <w:sz w:val="18"/>
          <w:szCs w:val="18"/>
        </w:rPr>
      </w:pPr>
      <w:r w:rsidRPr="0062293A">
        <w:rPr>
          <w:b/>
          <w:color w:val="FF0000"/>
          <w:sz w:val="18"/>
          <w:szCs w:val="18"/>
        </w:rPr>
        <w:t xml:space="preserve">Enter keywords or phrases in alphabetical order, separated by commas. </w:t>
      </w:r>
      <w:r w:rsidR="002947C5" w:rsidRPr="0062293A">
        <w:rPr>
          <w:b/>
          <w:color w:val="FF0000"/>
          <w:sz w:val="18"/>
          <w:szCs w:val="18"/>
          <w:shd w:val="clear" w:color="auto" w:fill="FFFFFF"/>
        </w:rPr>
        <w:t>Using the </w:t>
      </w:r>
      <w:r w:rsidR="002947C5" w:rsidRPr="0062293A">
        <w:rPr>
          <w:rStyle w:val="Emphasis"/>
          <w:b/>
          <w:color w:val="FF0000"/>
          <w:sz w:val="18"/>
          <w:szCs w:val="18"/>
          <w:shd w:val="clear" w:color="auto" w:fill="FFFFFF"/>
        </w:rPr>
        <w:t>IEEE Thesaurus</w:t>
      </w:r>
      <w:r w:rsidR="002947C5" w:rsidRPr="0062293A">
        <w:rPr>
          <w:b/>
          <w:color w:val="FF0000"/>
          <w:sz w:val="18"/>
          <w:szCs w:val="18"/>
          <w:shd w:val="clear" w:color="auto" w:fill="FFFFFF"/>
        </w:rPr>
        <w:t> can help you find the best standardized keywords to fit your article. Use the</w:t>
      </w:r>
      <w:r w:rsidR="00BE4774" w:rsidRPr="0062293A">
        <w:rPr>
          <w:b/>
          <w:color w:val="FF0000"/>
          <w:sz w:val="18"/>
          <w:szCs w:val="18"/>
          <w:shd w:val="clear" w:color="auto" w:fill="FFFFFF"/>
        </w:rPr>
        <w:t xml:space="preserve"> </w:t>
      </w:r>
      <w:r w:rsidR="00BE4774" w:rsidRPr="0062293A">
        <w:rPr>
          <w:b/>
          <w:color w:val="FF0000"/>
          <w:sz w:val="18"/>
          <w:szCs w:val="18"/>
        </w:rPr>
        <w:t>thesaurus access request form</w:t>
      </w:r>
      <w:r w:rsidR="002947C5" w:rsidRPr="0062293A">
        <w:rPr>
          <w:b/>
          <w:color w:val="FF0000"/>
          <w:sz w:val="18"/>
          <w:szCs w:val="18"/>
          <w:shd w:val="clear" w:color="auto" w:fill="FFFFFF"/>
        </w:rPr>
        <w:t> for free access to the </w:t>
      </w:r>
      <w:r w:rsidR="002947C5" w:rsidRPr="0062293A">
        <w:rPr>
          <w:rStyle w:val="Emphasis"/>
          <w:b/>
          <w:color w:val="FF0000"/>
          <w:sz w:val="18"/>
          <w:szCs w:val="18"/>
          <w:shd w:val="clear" w:color="auto" w:fill="FFFFFF"/>
        </w:rPr>
        <w:t xml:space="preserve">IEEE </w:t>
      </w:r>
      <w:r w:rsidR="002947C5" w:rsidRPr="0062293A">
        <w:rPr>
          <w:rStyle w:val="Emphasis"/>
          <w:b/>
          <w:color w:val="FF0000"/>
          <w:sz w:val="18"/>
          <w:szCs w:val="18"/>
          <w:shd w:val="clear" w:color="auto" w:fill="FFFFFF"/>
        </w:rPr>
        <w:t>Thesaurus</w:t>
      </w:r>
      <w:r w:rsidR="00D10AC8" w:rsidRPr="0062293A">
        <w:rPr>
          <w:rStyle w:val="Emphasis"/>
          <w:b/>
          <w:color w:val="FF0000"/>
          <w:sz w:val="18"/>
          <w:szCs w:val="18"/>
          <w:shd w:val="clear" w:color="auto" w:fill="FFFFFF"/>
        </w:rPr>
        <w:t xml:space="preserve"> </w:t>
      </w:r>
      <w:r w:rsidR="00D10AC8" w:rsidRPr="0062293A">
        <w:rPr>
          <w:rFonts w:ascii="Georgia" w:hAnsi="Georgia"/>
          <w:color w:val="FF0000"/>
          <w:shd w:val="clear" w:color="auto" w:fill="FFFFFF"/>
        </w:rPr>
        <w:t> </w:t>
      </w:r>
      <w:hyperlink r:id="rId10" w:tgtFrame="_blank" w:history="1">
        <w:r w:rsidR="00D10AC8" w:rsidRPr="0062293A">
          <w:rPr>
            <w:color w:val="FF0000"/>
            <w:spacing w:val="-2"/>
            <w:u w:val="single"/>
          </w:rPr>
          <w:t>https://www.ieee.org/publications/services/thesaurus.html</w:t>
        </w:r>
      </w:hyperlink>
      <w:r w:rsidR="002947C5" w:rsidRPr="0062293A">
        <w:rPr>
          <w:color w:val="FF0000"/>
          <w:spacing w:val="-2"/>
          <w:u w:val="single"/>
        </w:rPr>
        <w:t>.</w:t>
      </w:r>
      <w:r w:rsidR="002947C5" w:rsidRPr="0062293A">
        <w:rPr>
          <w:b/>
          <w:color w:val="FF0000"/>
          <w:sz w:val="18"/>
          <w:szCs w:val="18"/>
          <w:shd w:val="clear" w:color="auto" w:fill="FFFFFF"/>
        </w:rPr>
        <w:t> </w:t>
      </w:r>
    </w:p>
    <w:p w14:paraId="5D351EFE" w14:textId="7DC59E19" w:rsidR="00732E46" w:rsidRPr="0062293A" w:rsidRDefault="00732E46" w:rsidP="004063A4">
      <w:pPr>
        <w:pBdr>
          <w:top w:val="nil"/>
          <w:left w:val="nil"/>
          <w:bottom w:val="nil"/>
          <w:right w:val="nil"/>
          <w:between w:val="nil"/>
        </w:pBdr>
        <w:ind w:firstLine="202"/>
        <w:jc w:val="both"/>
        <w:rPr>
          <w:color w:val="FF0000"/>
        </w:rPr>
      </w:pPr>
    </w:p>
    <w:p w14:paraId="59F2D0B6" w14:textId="11E53DD7" w:rsidR="00732E46" w:rsidRPr="00A0149F" w:rsidRDefault="00DB3364" w:rsidP="00A0149F">
      <w:pPr>
        <w:pStyle w:val="Heading1"/>
      </w:pPr>
      <w:r w:rsidRPr="00A0149F">
        <w:t xml:space="preserve">I. </w:t>
      </w:r>
      <w:r w:rsidR="000F2C11" w:rsidRPr="00A0149F">
        <w:t>INTRODUCTION</w:t>
      </w:r>
    </w:p>
    <w:p w14:paraId="43794709" w14:textId="5C65007E" w:rsidR="004063A4" w:rsidRPr="0062293A" w:rsidRDefault="00A0149F" w:rsidP="004063A4">
      <w:pPr>
        <w:keepNext/>
        <w:framePr w:dropCap="drop" w:lines="3" w:wrap="around" w:vAnchor="text" w:hAnchor="text"/>
        <w:pBdr>
          <w:top w:val="nil"/>
          <w:left w:val="nil"/>
        </w:pBdr>
        <w:spacing w:line="724" w:lineRule="exact"/>
        <w:jc w:val="both"/>
        <w:textAlignment w:val="baseline"/>
        <w:rPr>
          <w:smallCaps/>
          <w:color w:val="FF0000"/>
          <w:position w:val="-9"/>
          <w:sz w:val="97"/>
        </w:rPr>
      </w:pPr>
      <w:r w:rsidRPr="00A0149F">
        <w:rPr>
          <w:smallCaps/>
          <w:position w:val="-9"/>
          <w:sz w:val="97"/>
        </w:rPr>
        <w:t>I</w:t>
      </w:r>
    </w:p>
    <w:p w14:paraId="132ECC58" w14:textId="437EA003" w:rsidR="00A0149F" w:rsidRPr="00A0149F" w:rsidRDefault="00A0149F" w:rsidP="006C5644">
      <w:pPr>
        <w:widowControl w:val="0"/>
        <w:pBdr>
          <w:top w:val="nil"/>
          <w:left w:val="nil"/>
          <w:bottom w:val="nil"/>
          <w:right w:val="nil"/>
          <w:between w:val="nil"/>
        </w:pBdr>
        <w:spacing w:line="252" w:lineRule="auto"/>
        <w:jc w:val="lowKashida"/>
      </w:pPr>
      <w:r w:rsidRPr="00A0149F">
        <w:t xml:space="preserve">ndustrial stack emissions monitoring is </w:t>
      </w:r>
      <w:r w:rsidR="00061D18">
        <w:t>one of</w:t>
      </w:r>
      <w:r w:rsidRPr="00A0149F">
        <w:t xml:space="preserve"> pivotal aspect of environmental protection, playing a crucial role in mitigating the adverse effects of air pollution on human health and the ecosystem. The escalating consumption of fossil fuels, driven by economic growth, population expansion, and industrialization, has led to a significant increase in emissions of harmful pollutants such as carbon dioxide (CO₂), sulfur dioxide (SO₂), nitrogen oxides (NOₓ), and particulate matter (PM2.5 and PM10)</w:t>
      </w:r>
      <w:sdt>
        <w:sdtPr>
          <w:id w:val="-897428727"/>
          <w:citation/>
        </w:sdtPr>
        <w:sdtEndPr/>
        <w:sdtContent>
          <w:r w:rsidR="006C5644">
            <w:fldChar w:fldCharType="begin"/>
          </w:r>
          <w:r w:rsidR="006C5644">
            <w:instrText xml:space="preserve"> CITATION Xie171 \l 1033 </w:instrText>
          </w:r>
          <w:r w:rsidR="006C5644">
            <w:fldChar w:fldCharType="separate"/>
          </w:r>
          <w:r w:rsidR="006C5644">
            <w:rPr>
              <w:noProof/>
            </w:rPr>
            <w:t xml:space="preserve"> [1]</w:t>
          </w:r>
          <w:r w:rsidR="006C5644">
            <w:fldChar w:fldCharType="end"/>
          </w:r>
        </w:sdtContent>
      </w:sdt>
      <w:r w:rsidRPr="00A0149F">
        <w:t>. These pollutants not only contribute to global warming but also exacerbate respiratory diseases and other health issues, underscoring the urgent need for effective monitoring and control mechanisms.</w:t>
      </w:r>
    </w:p>
    <w:p w14:paraId="1C24237E" w14:textId="214041AF" w:rsidR="00A0149F" w:rsidRPr="00A0149F" w:rsidRDefault="00A0149F" w:rsidP="00E9235D">
      <w:pPr>
        <w:widowControl w:val="0"/>
        <w:pBdr>
          <w:top w:val="nil"/>
          <w:left w:val="nil"/>
          <w:bottom w:val="nil"/>
          <w:right w:val="nil"/>
          <w:between w:val="nil"/>
        </w:pBdr>
        <w:spacing w:line="252" w:lineRule="auto"/>
        <w:ind w:firstLine="202"/>
        <w:jc w:val="lowKashida"/>
      </w:pPr>
      <w:r w:rsidRPr="00A0149F">
        <w:t>The advent of unmanned aerial vehicles (UAVs), commonly known as drones, has revolutionized various industries, including environmental monitoring. UAVs offer a versatile and cost-effective solution for tasks that are hazardous, time-consuming, or logistically challenging. Their ability to operate in confined spaces, access hard-to-reach areas, and collect high-resolution data in real-time has made them indispensable tools in fields ranging from agricult</w:t>
      </w:r>
      <w:r w:rsidR="00685834">
        <w:t>ure to disaster response</w:t>
      </w:r>
      <w:sdt>
        <w:sdtPr>
          <w:id w:val="-1376389758"/>
          <w:citation/>
        </w:sdtPr>
        <w:sdtContent>
          <w:r w:rsidR="00685834">
            <w:fldChar w:fldCharType="begin"/>
          </w:r>
          <w:r w:rsidR="00685834">
            <w:instrText xml:space="preserve"> CITATION Asa22 \l 1033 </w:instrText>
          </w:r>
          <w:r w:rsidR="00685834">
            <w:fldChar w:fldCharType="separate"/>
          </w:r>
          <w:r w:rsidR="00685834">
            <w:rPr>
              <w:noProof/>
            </w:rPr>
            <w:t xml:space="preserve"> [2]</w:t>
          </w:r>
          <w:r w:rsidR="00685834">
            <w:fldChar w:fldCharType="end"/>
          </w:r>
        </w:sdtContent>
      </w:sdt>
      <w:sdt>
        <w:sdtPr>
          <w:id w:val="-2031715460"/>
          <w:citation/>
        </w:sdtPr>
        <w:sdtContent>
          <w:r w:rsidR="00B11A37">
            <w:fldChar w:fldCharType="begin"/>
          </w:r>
          <w:r w:rsidR="00B11A37">
            <w:instrText xml:space="preserve"> CITATION Mot23 \l 1033 </w:instrText>
          </w:r>
          <w:r w:rsidR="00B11A37">
            <w:fldChar w:fldCharType="separate"/>
          </w:r>
          <w:r w:rsidR="00B11A37">
            <w:rPr>
              <w:noProof/>
            </w:rPr>
            <w:t xml:space="preserve"> [3]</w:t>
          </w:r>
          <w:r w:rsidR="00B11A37">
            <w:fldChar w:fldCharType="end"/>
          </w:r>
        </w:sdtContent>
      </w:sdt>
      <w:r w:rsidR="00E9235D">
        <w:t>.</w:t>
      </w:r>
      <w:bookmarkStart w:id="2" w:name="_GoBack"/>
      <w:bookmarkEnd w:id="2"/>
    </w:p>
    <w:p w14:paraId="1C67A097" w14:textId="79EC42C2" w:rsidR="00A0149F" w:rsidRPr="00A0149F" w:rsidRDefault="00A0149F" w:rsidP="003D7915">
      <w:pPr>
        <w:widowControl w:val="0"/>
        <w:pBdr>
          <w:top w:val="nil"/>
          <w:left w:val="nil"/>
          <w:bottom w:val="nil"/>
          <w:right w:val="nil"/>
          <w:between w:val="nil"/>
        </w:pBdr>
        <w:spacing w:line="252" w:lineRule="auto"/>
        <w:ind w:firstLine="202"/>
        <w:jc w:val="lowKashida"/>
      </w:pPr>
      <w:r w:rsidRPr="00A0149F">
        <w:t>Current methods for industrial stack emissions monitoring primarily rely on ground-based sensors, manual inspections, and satellite imaging. Ground-based sensors provide localized data but are limited in their spatial coverage and flexibility. According to the World Health Organization, 99% of the global population breathes air that exceeds guideline limits and contains high levels of pollutants (Ref 6). Manual inspections, while detailed, are labor-intensive, time-consuming, and pose significant risks to human operators, particularly in hazardous environments such as refineries and chemical plants (Ref 1). Satellite imaging offers a broader perspective but is often limited by cloud cover, resolution, and the inability to provide real-time data. These limitations highlight the need for a more comprehensive and automated approach to emissions monitoring.</w:t>
      </w:r>
    </w:p>
    <w:p w14:paraId="77EDC2D5" w14:textId="785542B0" w:rsidR="00A0149F" w:rsidRPr="00A0149F" w:rsidRDefault="00A0149F" w:rsidP="003D7915">
      <w:pPr>
        <w:widowControl w:val="0"/>
        <w:pBdr>
          <w:top w:val="nil"/>
          <w:left w:val="nil"/>
          <w:bottom w:val="nil"/>
          <w:right w:val="nil"/>
          <w:between w:val="nil"/>
        </w:pBdr>
        <w:spacing w:line="252" w:lineRule="auto"/>
        <w:ind w:firstLine="202"/>
        <w:jc w:val="lowKashida"/>
      </w:pPr>
      <w:r w:rsidRPr="00A0149F">
        <w:t xml:space="preserve">The automation of industrial stack emissions monitoring using UAVs addresses many of the shortcomings of traditional </w:t>
      </w:r>
      <w:r w:rsidRPr="00A0149F">
        <w:lastRenderedPageBreak/>
        <w:t>methods. UAVs can be equipped with a variety of sensors to detect and quantify pollutants in real-time, providing continuous monitoring and immediate feedback. This not only enhances the accuracy and reliability of emissions data but also reduces the operational costs and risks associated with manual inspections. Moreover, UAVs can be deployed rapidly to respond to sudden changes in emissions, such as those resulting from equipment failures or operational anomalies (Ref 3).</w:t>
      </w:r>
    </w:p>
    <w:p w14:paraId="775862CE" w14:textId="77777777" w:rsidR="00A0149F" w:rsidRPr="00A0149F" w:rsidRDefault="00A0149F" w:rsidP="003D7915">
      <w:pPr>
        <w:widowControl w:val="0"/>
        <w:pBdr>
          <w:top w:val="nil"/>
          <w:left w:val="nil"/>
          <w:bottom w:val="nil"/>
          <w:right w:val="nil"/>
          <w:between w:val="nil"/>
        </w:pBdr>
        <w:spacing w:line="252" w:lineRule="auto"/>
        <w:ind w:firstLine="202"/>
        <w:jc w:val="lowKashida"/>
      </w:pPr>
      <w:r w:rsidRPr="00A0149F">
        <w:t>The benefits of UAVs in industrial stack emissions monitoring are multifaceted. Improved safety for workers is a primary advantage, as UAVs eliminate the need for working at heights, in contaminated environments, and in remote or hazardous regions (Ref 3). Reduced cost and time are also significant, as UAV-based inspections do not require scaffolding or support infrastructure, leading to substantial savings (Ref 3). Additionally, UAVs minimize disruption to operations, as they can conduct inspections without shutting down facilities (Ref 3). Better information is another benefit, as UAVs can access hard-to-reach areas to acquire high-resolution images and data (Ref 3). Frequent inspections are feasible due to the low cost and minimal infrastructure requirements, providing more updated data on asset fitness for service (Ref 3).</w:t>
      </w:r>
    </w:p>
    <w:p w14:paraId="17F70C16" w14:textId="4AD842C8" w:rsidR="00732E46" w:rsidRPr="00A0149F" w:rsidRDefault="00A0149F" w:rsidP="00647980">
      <w:pPr>
        <w:widowControl w:val="0"/>
        <w:pBdr>
          <w:top w:val="nil"/>
          <w:left w:val="nil"/>
          <w:bottom w:val="nil"/>
          <w:right w:val="nil"/>
          <w:between w:val="nil"/>
        </w:pBdr>
        <w:spacing w:line="252" w:lineRule="auto"/>
        <w:ind w:firstLine="202"/>
        <w:jc w:val="lowKashida"/>
      </w:pPr>
      <w:r w:rsidRPr="00A0149F">
        <w:t xml:space="preserve">In this article, we present the </w:t>
      </w:r>
      <w:r w:rsidR="00647980">
        <w:t>conceptual</w:t>
      </w:r>
      <w:r w:rsidRPr="00A0149F">
        <w:t xml:space="preserve"> design of a multirotor drone specifically tailored for industrial stack emissions monitoring. The design process is structured into five key stages: selection of an avian-inspired manipulator and sampling probe, configuration layout, sensor selection, iterative weight estimation and propulsion selection, and identification of subsystems and key components. Each stage is guided by quantified criteria to ensure a systematic and objective approach. The proposed design leverages the advantages of UAV technology to enhance pollution assessment, offering a safer, more efficient, and more accurate solution to a critical environmental challenge.</w:t>
      </w:r>
    </w:p>
    <w:p w14:paraId="7B97602F" w14:textId="7BEC4185" w:rsidR="00732E46" w:rsidRPr="0062293A" w:rsidRDefault="00DB3364" w:rsidP="00B11A65">
      <w:pPr>
        <w:pStyle w:val="Heading1"/>
      </w:pPr>
      <w:r w:rsidRPr="0062293A">
        <w:t xml:space="preserve">II. </w:t>
      </w:r>
      <w:r w:rsidR="00B11A65">
        <w:t>Problem Description &amp; Design Constraints</w:t>
      </w:r>
    </w:p>
    <w:p w14:paraId="29E0BFBD" w14:textId="23843FBD" w:rsidR="003D4DC8" w:rsidRPr="0062293A" w:rsidRDefault="000F2C11" w:rsidP="003D4DC8">
      <w:pPr>
        <w:widowControl w:val="0"/>
        <w:pBdr>
          <w:top w:val="nil"/>
          <w:left w:val="nil"/>
          <w:bottom w:val="nil"/>
          <w:right w:val="nil"/>
          <w:between w:val="nil"/>
        </w:pBdr>
        <w:spacing w:line="252" w:lineRule="auto"/>
        <w:ind w:firstLine="202"/>
        <w:jc w:val="both"/>
        <w:rPr>
          <w:color w:val="FF0000"/>
        </w:rPr>
      </w:pPr>
      <w:r w:rsidRPr="0062293A">
        <w:rPr>
          <w:color w:val="FF0000"/>
        </w:rPr>
        <w:t xml:space="preserve">When you open </w:t>
      </w:r>
      <w:r w:rsidR="00A41540" w:rsidRPr="0062293A">
        <w:rPr>
          <w:color w:val="FF0000"/>
        </w:rPr>
        <w:t>the template</w:t>
      </w:r>
      <w:r w:rsidRPr="0062293A">
        <w:rPr>
          <w:color w:val="FF0000"/>
        </w:rPr>
        <w:t xml:space="preserve">, select “Page Layout” from the “View” menu in the menu bar (View | Page Layout), (these instructions assume Microsoft </w:t>
      </w:r>
      <w:r w:rsidRPr="0062293A">
        <w:rPr>
          <w:i/>
          <w:color w:val="FF0000"/>
        </w:rPr>
        <w:t>Word</w:t>
      </w:r>
      <w:r w:rsidRPr="0062293A">
        <w:rPr>
          <w:color w:val="FF0000"/>
        </w:rPr>
        <w:t xml:space="preserve">. Some versions may have </w:t>
      </w:r>
      <w:r w:rsidR="00A853F3" w:rsidRPr="0062293A">
        <w:rPr>
          <w:noProof/>
          <w:color w:val="FF0000"/>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29903" cy="1924050"/>
                    </a:xfrm>
                    <a:prstGeom prst="rect">
                      <a:avLst/>
                    </a:prstGeom>
                    <a:ln/>
                  </pic:spPr>
                </pic:pic>
              </a:graphicData>
            </a:graphic>
          </wp:inline>
        </w:drawing>
      </w:r>
      <w:r w:rsidR="00A853F3" w:rsidRPr="0062293A">
        <w:rPr>
          <w:b/>
          <w:color w:val="FF0000"/>
        </w:rPr>
        <w:t xml:space="preserve"> Fig. 1.</w:t>
      </w:r>
      <w:r w:rsidR="00A853F3" w:rsidRPr="0062293A">
        <w:rPr>
          <w:color w:val="FF0000"/>
        </w:rPr>
        <w:t xml:space="preserve"> This is a sample of a figure caption.</w:t>
      </w:r>
    </w:p>
    <w:p w14:paraId="47CE4E1D" w14:textId="0ECF7F6E" w:rsidR="00A853F3" w:rsidRPr="0062293A" w:rsidRDefault="00A853F3" w:rsidP="00A853F3">
      <w:pPr>
        <w:widowControl w:val="0"/>
        <w:pBdr>
          <w:top w:val="nil"/>
          <w:left w:val="nil"/>
          <w:bottom w:val="nil"/>
          <w:right w:val="nil"/>
          <w:between w:val="nil"/>
        </w:pBdr>
        <w:spacing w:line="252" w:lineRule="auto"/>
        <w:ind w:firstLine="202"/>
        <w:jc w:val="both"/>
        <w:rPr>
          <w:color w:val="FF0000"/>
        </w:rPr>
      </w:pPr>
    </w:p>
    <w:p w14:paraId="7951F41D" w14:textId="360EB70B" w:rsidR="00732E46" w:rsidRPr="0062293A" w:rsidRDefault="000F2C11" w:rsidP="00A853F3">
      <w:pPr>
        <w:widowControl w:val="0"/>
        <w:pBdr>
          <w:top w:val="nil"/>
          <w:left w:val="nil"/>
          <w:bottom w:val="nil"/>
          <w:right w:val="nil"/>
          <w:between w:val="nil"/>
        </w:pBdr>
        <w:spacing w:line="252" w:lineRule="auto"/>
        <w:jc w:val="both"/>
        <w:rPr>
          <w:color w:val="FF0000"/>
          <w:spacing w:val="-2"/>
        </w:rPr>
      </w:pPr>
      <w:r w:rsidRPr="0062293A">
        <w:rPr>
          <w:color w:val="FF0000"/>
          <w:spacing w:val="-2"/>
        </w:rPr>
        <w:t xml:space="preserve">alternate ways to access the same functionalities noted here). Then, type over sections of </w:t>
      </w:r>
      <w:r w:rsidR="00660F88" w:rsidRPr="0062293A">
        <w:rPr>
          <w:color w:val="FF0000"/>
          <w:spacing w:val="-2"/>
        </w:rPr>
        <w:t>the template</w:t>
      </w:r>
      <w:r w:rsidRPr="0062293A">
        <w:rPr>
          <w:color w:val="FF0000"/>
          <w:spacing w:val="-2"/>
        </w:rPr>
        <w:t xml:space="preserve"> or cut and paste from another document and use markup styles. The pull-down</w:t>
      </w:r>
      <w:r w:rsidR="00A853F3" w:rsidRPr="0062293A">
        <w:rPr>
          <w:color w:val="FF0000"/>
          <w:spacing w:val="-2"/>
        </w:rPr>
        <w:t xml:space="preserve"> </w:t>
      </w:r>
      <w:r w:rsidRPr="0062293A">
        <w:rPr>
          <w:color w:val="FF0000"/>
          <w:spacing w:val="-2"/>
        </w:rPr>
        <w:t xml:space="preserve">style menu is in the Formatting Toolbar at the top of your </w:t>
      </w:r>
      <w:r w:rsidRPr="0062293A">
        <w:rPr>
          <w:i/>
          <w:color w:val="FF0000"/>
          <w:spacing w:val="-2"/>
        </w:rPr>
        <w:t>Word</w:t>
      </w:r>
      <w:r w:rsidRPr="0062293A">
        <w:rPr>
          <w:color w:val="FF0000"/>
          <w:spacing w:val="-2"/>
        </w:rPr>
        <w:t xml:space="preserve"> window (</w:t>
      </w:r>
      <w:r w:rsidR="00357347" w:rsidRPr="0062293A">
        <w:rPr>
          <w:color w:val="FF0000"/>
          <w:spacing w:val="-2"/>
        </w:rPr>
        <w:t>e.g.</w:t>
      </w:r>
      <w:r w:rsidRPr="0062293A">
        <w:rPr>
          <w:color w:val="FF0000"/>
          <w:spacing w:val="-2"/>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Pr="0062293A">
        <w:rPr>
          <w:b/>
          <w:color w:val="FF0000"/>
          <w:spacing w:val="-2"/>
        </w:rPr>
        <w:t xml:space="preserve"> </w:t>
      </w:r>
      <w:r w:rsidRPr="0062293A">
        <w:rPr>
          <w:color w:val="FF0000"/>
          <w:spacing w:val="-2"/>
        </w:rPr>
        <w:t xml:space="preserve">Use </w:t>
      </w:r>
      <w:r w:rsidRPr="0062293A">
        <w:rPr>
          <w:i/>
          <w:color w:val="FF0000"/>
          <w:spacing w:val="-2"/>
        </w:rPr>
        <w:t>italics</w:t>
      </w:r>
      <w:r w:rsidRPr="0062293A">
        <w:rPr>
          <w:color w:val="FF0000"/>
          <w:spacing w:val="-2"/>
        </w:rPr>
        <w:t xml:space="preserve"> for emphasis; do not underline. </w:t>
      </w:r>
    </w:p>
    <w:p w14:paraId="1EBE8CFF" w14:textId="77777777" w:rsidR="00DC758F" w:rsidRPr="0062293A" w:rsidRDefault="000F2C11" w:rsidP="00DC758F">
      <w:pPr>
        <w:widowControl w:val="0"/>
        <w:pBdr>
          <w:top w:val="nil"/>
          <w:left w:val="nil"/>
          <w:bottom w:val="nil"/>
          <w:right w:val="nil"/>
          <w:between w:val="nil"/>
        </w:pBdr>
        <w:spacing w:line="252" w:lineRule="auto"/>
        <w:ind w:firstLine="202"/>
        <w:jc w:val="both"/>
        <w:rPr>
          <w:color w:val="FF0000"/>
        </w:rPr>
      </w:pPr>
      <w:r w:rsidRPr="0062293A">
        <w:rPr>
          <w:color w:val="FF0000"/>
        </w:rPr>
        <w:t>IEEE will do the final formatting of your article. If your article is intended for a conference, please observe the conference page limits.</w:t>
      </w:r>
    </w:p>
    <w:p w14:paraId="580F0547" w14:textId="5AEDCB4C" w:rsidR="00732E46" w:rsidRPr="0062293A" w:rsidRDefault="0096199E" w:rsidP="00DC758F">
      <w:pPr>
        <w:widowControl w:val="0"/>
        <w:pBdr>
          <w:top w:val="nil"/>
          <w:left w:val="nil"/>
          <w:bottom w:val="nil"/>
          <w:right w:val="nil"/>
          <w:between w:val="nil"/>
        </w:pBdr>
        <w:spacing w:line="252" w:lineRule="auto"/>
        <w:ind w:firstLine="202"/>
        <w:jc w:val="both"/>
        <w:rPr>
          <w:color w:val="FF0000"/>
        </w:rPr>
      </w:pPr>
      <w:r w:rsidRPr="0062293A">
        <w:rPr>
          <w:color w:val="FF0000"/>
        </w:rPr>
        <w:t>This is intended as</w:t>
      </w:r>
      <w:r w:rsidR="00DC758F" w:rsidRPr="0062293A">
        <w:rPr>
          <w:color w:val="FF0000"/>
        </w:rPr>
        <w:t xml:space="preserve"> an authoring template, not a final production template. It is not intended to match the final published format. Differences in final formatting are likely in the final IEEE files. Page count in the template is an estimate. </w:t>
      </w:r>
      <w:r w:rsidRPr="0062293A">
        <w:rPr>
          <w:color w:val="FF0000"/>
        </w:rPr>
        <w:t>Do not adjust line and character spacing to fit your paper to a specific length.</w:t>
      </w:r>
    </w:p>
    <w:p w14:paraId="2BD73CCE" w14:textId="77777777" w:rsidR="000414EB" w:rsidRPr="0062293A" w:rsidRDefault="000414EB" w:rsidP="000414EB">
      <w:pPr>
        <w:widowControl w:val="0"/>
        <w:pBdr>
          <w:top w:val="nil"/>
          <w:left w:val="nil"/>
          <w:bottom w:val="nil"/>
          <w:right w:val="nil"/>
          <w:between w:val="nil"/>
        </w:pBdr>
        <w:spacing w:line="252" w:lineRule="auto"/>
        <w:ind w:firstLine="202"/>
        <w:jc w:val="both"/>
        <w:rPr>
          <w:color w:val="FF0000"/>
        </w:rPr>
      </w:pPr>
    </w:p>
    <w:p w14:paraId="7B446919" w14:textId="0C3233B4" w:rsidR="000414EB" w:rsidRPr="00B621F2" w:rsidRDefault="000414EB" w:rsidP="00981230">
      <w:pPr>
        <w:pStyle w:val="Heading2"/>
        <w:numPr>
          <w:ilvl w:val="0"/>
          <w:numId w:val="0"/>
        </w:numPr>
      </w:pPr>
      <w:r w:rsidRPr="00B621F2">
        <w:t xml:space="preserve">A. </w:t>
      </w:r>
      <w:r w:rsidR="00981230" w:rsidRPr="00B621F2">
        <w:t>Design Constraints</w:t>
      </w:r>
    </w:p>
    <w:p w14:paraId="0A80E21D" w14:textId="77777777" w:rsidR="000414EB" w:rsidRPr="00B621F2" w:rsidRDefault="000414EB" w:rsidP="000414EB">
      <w:pPr>
        <w:widowControl w:val="0"/>
        <w:pBdr>
          <w:top w:val="nil"/>
          <w:left w:val="nil"/>
          <w:bottom w:val="nil"/>
          <w:right w:val="nil"/>
          <w:between w:val="nil"/>
        </w:pBdr>
        <w:spacing w:line="252" w:lineRule="auto"/>
        <w:ind w:firstLine="202"/>
        <w:jc w:val="both"/>
      </w:pPr>
    </w:p>
    <w:p w14:paraId="0D6F3A18" w14:textId="6E756662" w:rsidR="000414EB" w:rsidRPr="00B621F2" w:rsidRDefault="000414EB" w:rsidP="00981230">
      <w:pPr>
        <w:pStyle w:val="Heading2"/>
        <w:numPr>
          <w:ilvl w:val="0"/>
          <w:numId w:val="0"/>
        </w:numPr>
      </w:pPr>
      <w:r w:rsidRPr="00B621F2">
        <w:t xml:space="preserve">B. </w:t>
      </w:r>
      <w:r w:rsidR="00981230" w:rsidRPr="00B621F2">
        <w:t>Standard Flange (stacks inlets for sampling probes)</w:t>
      </w:r>
    </w:p>
    <w:p w14:paraId="5B684813" w14:textId="77777777" w:rsidR="000414EB" w:rsidRPr="0062293A" w:rsidRDefault="000414EB" w:rsidP="000414EB">
      <w:pPr>
        <w:widowControl w:val="0"/>
        <w:pBdr>
          <w:top w:val="nil"/>
          <w:left w:val="nil"/>
          <w:bottom w:val="nil"/>
          <w:right w:val="nil"/>
          <w:between w:val="nil"/>
        </w:pBdr>
        <w:spacing w:line="252" w:lineRule="auto"/>
        <w:ind w:firstLine="202"/>
        <w:jc w:val="both"/>
        <w:rPr>
          <w:color w:val="FF0000"/>
        </w:rPr>
      </w:pPr>
    </w:p>
    <w:p w14:paraId="4AA1E2E9" w14:textId="6BE795A2" w:rsidR="000414EB" w:rsidRPr="0062293A" w:rsidRDefault="000414EB" w:rsidP="000414EB">
      <w:pPr>
        <w:pStyle w:val="Heading2"/>
        <w:numPr>
          <w:ilvl w:val="0"/>
          <w:numId w:val="0"/>
        </w:numPr>
        <w:rPr>
          <w:color w:val="FF0000"/>
        </w:rPr>
      </w:pPr>
      <w:r>
        <w:rPr>
          <w:color w:val="FF0000"/>
        </w:rPr>
        <w:t>D</w:t>
      </w:r>
      <w:r w:rsidRPr="0062293A">
        <w:rPr>
          <w:color w:val="FF0000"/>
        </w:rPr>
        <w:t>. Abbreviations and Acronyms</w:t>
      </w:r>
    </w:p>
    <w:p w14:paraId="3EB8FD4C" w14:textId="41FB62CF" w:rsidR="00732E46" w:rsidRPr="0062293A" w:rsidRDefault="000F2C11" w:rsidP="0096199E">
      <w:pPr>
        <w:widowControl w:val="0"/>
        <w:pBdr>
          <w:top w:val="nil"/>
          <w:left w:val="nil"/>
          <w:bottom w:val="nil"/>
          <w:right w:val="nil"/>
          <w:between w:val="nil"/>
        </w:pBdr>
        <w:spacing w:line="252" w:lineRule="auto"/>
        <w:ind w:firstLine="144"/>
        <w:jc w:val="both"/>
        <w:rPr>
          <w:color w:val="FF0000"/>
        </w:rPr>
      </w:pPr>
      <w:r w:rsidRPr="0062293A">
        <w:rPr>
          <w:color w:val="FF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05968E15" w:rsidR="00732E46" w:rsidRPr="0062293A" w:rsidRDefault="00DB3364" w:rsidP="00B11A65">
      <w:pPr>
        <w:pStyle w:val="Heading1"/>
      </w:pPr>
      <w:r w:rsidRPr="0062293A">
        <w:t xml:space="preserve">III. </w:t>
      </w:r>
      <w:r w:rsidR="00B11A65">
        <w:t>Conceptual Design</w:t>
      </w:r>
    </w:p>
    <w:p w14:paraId="229FC8D4" w14:textId="0A570A5A" w:rsidR="00732E46" w:rsidRPr="0062293A" w:rsidRDefault="006514FE" w:rsidP="0096199E">
      <w:pPr>
        <w:widowControl w:val="0"/>
        <w:pBdr>
          <w:top w:val="nil"/>
          <w:left w:val="nil"/>
          <w:bottom w:val="nil"/>
          <w:right w:val="nil"/>
          <w:between w:val="nil"/>
        </w:pBdr>
        <w:spacing w:line="252" w:lineRule="auto"/>
        <w:ind w:firstLine="202"/>
        <w:jc w:val="both"/>
        <w:rPr>
          <w:color w:val="FF0000"/>
        </w:rPr>
      </w:pPr>
      <w:r w:rsidRPr="0062293A">
        <w:rPr>
          <w:color w:val="FF0000"/>
          <w:spacing w:val="-4"/>
        </w:rPr>
        <w:t>U</w:t>
      </w:r>
      <w:r w:rsidR="000F2C11" w:rsidRPr="0062293A">
        <w:rPr>
          <w:color w:val="FF0000"/>
          <w:spacing w:val="-4"/>
        </w:rPr>
        <w:t xml:space="preserve">se either the Microsoft Equation Editor or </w:t>
      </w:r>
      <w:r w:rsidR="00660F88" w:rsidRPr="0062293A">
        <w:rPr>
          <w:color w:val="FF0000"/>
          <w:spacing w:val="-4"/>
        </w:rPr>
        <w:t xml:space="preserve">the </w:t>
      </w:r>
      <w:proofErr w:type="spellStart"/>
      <w:r w:rsidR="00660F88" w:rsidRPr="0062293A">
        <w:rPr>
          <w:color w:val="FF0000"/>
          <w:spacing w:val="-4"/>
        </w:rPr>
        <w:t>MathType</w:t>
      </w:r>
      <w:proofErr w:type="spellEnd"/>
      <w:r w:rsidR="00660F88" w:rsidRPr="0062293A">
        <w:rPr>
          <w:color w:val="FF0000"/>
          <w:spacing w:val="-4"/>
        </w:rPr>
        <w:t xml:space="preserve"> plugin, </w:t>
      </w:r>
      <w:r w:rsidRPr="0062293A">
        <w:rPr>
          <w:color w:val="FF0000"/>
          <w:spacing w:val="-4"/>
        </w:rPr>
        <w:t>which can be obtained</w:t>
      </w:r>
      <w:r w:rsidR="00660F88" w:rsidRPr="0062293A">
        <w:rPr>
          <w:color w:val="FF0000"/>
          <w:spacing w:val="-4"/>
        </w:rPr>
        <w:t xml:space="preserve"> from </w:t>
      </w:r>
      <w:hyperlink r:id="rId12">
        <w:r w:rsidR="000F2C11" w:rsidRPr="0062293A">
          <w:rPr>
            <w:color w:val="FF0000"/>
            <w:spacing w:val="-4"/>
            <w:u w:val="single"/>
          </w:rPr>
          <w:t>https://store.wiris.com/en/products/mathtype/download</w:t>
        </w:r>
      </w:hyperlink>
      <w:r w:rsidR="000F2C11" w:rsidRPr="0062293A">
        <w:rPr>
          <w:color w:val="FF0000"/>
        </w:rPr>
        <w:t xml:space="preserve">. </w:t>
      </w:r>
      <w:r w:rsidR="005E2D10" w:rsidRPr="0062293A">
        <w:rPr>
          <w:color w:val="FF0000"/>
        </w:rPr>
        <w:t>For help with formatting and placing equations, r</w:t>
      </w:r>
      <w:r w:rsidR="00114406" w:rsidRPr="0062293A">
        <w:rPr>
          <w:color w:val="FF0000"/>
        </w:rPr>
        <w:t>efer to the</w:t>
      </w:r>
      <w:r w:rsidR="00114406" w:rsidRPr="0062293A">
        <w:rPr>
          <w:i/>
          <w:iCs/>
          <w:color w:val="FF0000"/>
        </w:rPr>
        <w:t xml:space="preserve"> IEEE Editing Math Guide</w:t>
      </w:r>
      <w:r w:rsidR="00114406" w:rsidRPr="0062293A">
        <w:rPr>
          <w:color w:val="FF0000"/>
        </w:rPr>
        <w:t xml:space="preserve"> at </w:t>
      </w:r>
      <w:hyperlink r:id="rId13" w:history="1">
        <w:r w:rsidR="00114406" w:rsidRPr="0062293A">
          <w:rPr>
            <w:rStyle w:val="Hyperlink"/>
            <w:color w:val="FF0000"/>
          </w:rPr>
          <w:t>http://journals.ieeeauthorcenter.ieee.org/wp-content/uploads/sites/7/Editing-Mathematics.pdf</w:t>
        </w:r>
      </w:hyperlink>
      <w:r w:rsidR="00114406" w:rsidRPr="0062293A">
        <w:rPr>
          <w:color w:val="FF0000"/>
        </w:rPr>
        <w:t xml:space="preserve"> and </w:t>
      </w:r>
      <w:r w:rsidR="005E2D10" w:rsidRPr="0062293A">
        <w:rPr>
          <w:color w:val="FF0000"/>
        </w:rPr>
        <w:t xml:space="preserve">the </w:t>
      </w:r>
      <w:r w:rsidR="0096199E" w:rsidRPr="0062293A">
        <w:rPr>
          <w:i/>
          <w:iCs/>
          <w:color w:val="FF0000"/>
        </w:rPr>
        <w:t xml:space="preserve">IEEE </w:t>
      </w:r>
      <w:proofErr w:type="spellStart"/>
      <w:r w:rsidR="0096199E" w:rsidRPr="0062293A">
        <w:rPr>
          <w:i/>
          <w:iCs/>
          <w:color w:val="FF0000"/>
        </w:rPr>
        <w:t>MathType</w:t>
      </w:r>
      <w:proofErr w:type="spellEnd"/>
      <w:r w:rsidR="0096199E" w:rsidRPr="0062293A">
        <w:rPr>
          <w:i/>
          <w:iCs/>
          <w:color w:val="FF0000"/>
        </w:rPr>
        <w:t xml:space="preserve"> Tutorial for Microsoft Word Users</w:t>
      </w:r>
      <w:r w:rsidR="005E2D10" w:rsidRPr="0062293A">
        <w:rPr>
          <w:color w:val="FF0000"/>
        </w:rPr>
        <w:t xml:space="preserve"> at</w:t>
      </w:r>
      <w:r w:rsidR="001743EC" w:rsidRPr="0062293A">
        <w:rPr>
          <w:color w:val="FF0000"/>
        </w:rPr>
        <w:t xml:space="preserve"> </w:t>
      </w:r>
      <w:hyperlink r:id="rId14" w:history="1">
        <w:r w:rsidR="001743EC" w:rsidRPr="0062293A">
          <w:rPr>
            <w:rStyle w:val="Hyperlink"/>
            <w:color w:val="FF0000"/>
          </w:rPr>
          <w:t>http://journals.ieeeauthorcenter.ieee.org/wp-content/uploads/sites/7/IEEE-Math-Typesetting-Guide-for-MS-Word-Users.pdf</w:t>
        </w:r>
      </w:hyperlink>
      <w:r w:rsidRPr="0062293A">
        <w:rPr>
          <w:color w:val="FF0000"/>
        </w:rPr>
        <w:t>.</w:t>
      </w:r>
      <w:r w:rsidR="005E2D10" w:rsidRPr="0062293A">
        <w:rPr>
          <w:color w:val="FF0000"/>
        </w:rPr>
        <w:t xml:space="preserve"> </w:t>
      </w:r>
    </w:p>
    <w:p w14:paraId="2D2CC03A" w14:textId="77777777" w:rsidR="0096199E" w:rsidRPr="0062293A" w:rsidRDefault="0096199E" w:rsidP="0096199E">
      <w:pPr>
        <w:widowControl w:val="0"/>
        <w:pBdr>
          <w:top w:val="nil"/>
          <w:left w:val="nil"/>
          <w:bottom w:val="nil"/>
          <w:right w:val="nil"/>
          <w:between w:val="nil"/>
        </w:pBdr>
        <w:spacing w:line="252" w:lineRule="auto"/>
        <w:ind w:firstLine="202"/>
        <w:jc w:val="center"/>
        <w:rPr>
          <w:color w:val="FF0000"/>
        </w:rPr>
      </w:pPr>
      <w:r w:rsidRPr="0062293A">
        <w:rPr>
          <w:color w:val="FF0000"/>
        </w:rPr>
        <w:t>TABLE I</w:t>
      </w:r>
    </w:p>
    <w:p w14:paraId="28D744EB" w14:textId="77777777" w:rsidR="0096199E" w:rsidRPr="0062293A" w:rsidRDefault="0096199E" w:rsidP="0096199E">
      <w:pPr>
        <w:widowControl w:val="0"/>
        <w:pBdr>
          <w:top w:val="nil"/>
          <w:left w:val="nil"/>
          <w:bottom w:val="nil"/>
          <w:right w:val="nil"/>
          <w:between w:val="nil"/>
        </w:pBdr>
        <w:spacing w:line="252" w:lineRule="auto"/>
        <w:ind w:firstLine="202"/>
        <w:jc w:val="center"/>
        <w:rPr>
          <w:color w:val="FF0000"/>
        </w:rPr>
      </w:pPr>
      <w:r w:rsidRPr="0062293A">
        <w:rPr>
          <w:smallCaps/>
          <w:color w:val="FF0000"/>
        </w:rPr>
        <w:t>This is a Sample of a Table Title</w:t>
      </w:r>
    </w:p>
    <w:p w14:paraId="657BA8A9" w14:textId="77777777" w:rsidR="0096199E" w:rsidRPr="0062293A" w:rsidRDefault="0096199E" w:rsidP="0096199E">
      <w:pPr>
        <w:widowControl w:val="0"/>
        <w:pBdr>
          <w:top w:val="nil"/>
          <w:left w:val="nil"/>
          <w:bottom w:val="nil"/>
          <w:right w:val="nil"/>
          <w:between w:val="nil"/>
        </w:pBdr>
        <w:spacing w:line="252" w:lineRule="auto"/>
        <w:ind w:firstLine="202"/>
        <w:jc w:val="center"/>
        <w:rPr>
          <w:color w:val="FF0000"/>
        </w:rPr>
      </w:pPr>
    </w:p>
    <w:p w14:paraId="54024B90" w14:textId="77777777" w:rsidR="0096199E" w:rsidRPr="0062293A" w:rsidRDefault="0096199E" w:rsidP="0096199E">
      <w:pPr>
        <w:widowControl w:val="0"/>
        <w:pBdr>
          <w:top w:val="nil"/>
          <w:left w:val="nil"/>
          <w:bottom w:val="nil"/>
          <w:right w:val="nil"/>
          <w:between w:val="nil"/>
        </w:pBdr>
        <w:spacing w:line="252" w:lineRule="auto"/>
        <w:ind w:firstLine="202"/>
        <w:jc w:val="both"/>
        <w:rPr>
          <w:color w:val="FF0000"/>
        </w:rPr>
      </w:pPr>
      <w:r w:rsidRPr="0062293A">
        <w:rPr>
          <w:noProof/>
          <w:color w:val="FF0000"/>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067559" cy="942946"/>
                    </a:xfrm>
                    <a:prstGeom prst="rect">
                      <a:avLst/>
                    </a:prstGeom>
                    <a:ln/>
                  </pic:spPr>
                </pic:pic>
              </a:graphicData>
            </a:graphic>
          </wp:inline>
        </w:drawing>
      </w:r>
    </w:p>
    <w:p w14:paraId="1EABDA8B" w14:textId="77777777" w:rsidR="00B714C9" w:rsidRPr="00B621F2" w:rsidRDefault="00B714C9" w:rsidP="00B714C9">
      <w:pPr>
        <w:widowControl w:val="0"/>
        <w:pBdr>
          <w:top w:val="nil"/>
          <w:left w:val="nil"/>
          <w:bottom w:val="nil"/>
          <w:right w:val="nil"/>
          <w:between w:val="nil"/>
        </w:pBdr>
        <w:spacing w:line="252" w:lineRule="auto"/>
        <w:ind w:firstLine="202"/>
        <w:jc w:val="both"/>
      </w:pPr>
    </w:p>
    <w:p w14:paraId="41EBBD7E" w14:textId="77777777" w:rsidR="00B714C9" w:rsidRPr="00B621F2" w:rsidRDefault="00B714C9" w:rsidP="00B714C9">
      <w:pPr>
        <w:pStyle w:val="Heading2"/>
        <w:numPr>
          <w:ilvl w:val="0"/>
          <w:numId w:val="0"/>
        </w:numPr>
      </w:pPr>
      <w:r>
        <w:t>A</w:t>
      </w:r>
      <w:r w:rsidRPr="00B621F2">
        <w:t>. Manipulator Mechanism</w:t>
      </w:r>
    </w:p>
    <w:p w14:paraId="0BD1710E" w14:textId="77777777" w:rsidR="00B714C9" w:rsidRPr="00B621F2" w:rsidRDefault="00B714C9" w:rsidP="00B714C9">
      <w:pPr>
        <w:widowControl w:val="0"/>
        <w:pBdr>
          <w:top w:val="nil"/>
          <w:left w:val="nil"/>
          <w:bottom w:val="nil"/>
          <w:right w:val="nil"/>
          <w:between w:val="nil"/>
        </w:pBdr>
        <w:spacing w:line="252" w:lineRule="auto"/>
        <w:ind w:firstLine="202"/>
        <w:jc w:val="both"/>
      </w:pPr>
    </w:p>
    <w:p w14:paraId="7CEAD73C" w14:textId="656A5EF1" w:rsidR="00B714C9" w:rsidRPr="00B621F2" w:rsidRDefault="00B714C9" w:rsidP="00970CC0">
      <w:pPr>
        <w:pStyle w:val="Heading2"/>
        <w:numPr>
          <w:ilvl w:val="0"/>
          <w:numId w:val="0"/>
        </w:numPr>
      </w:pPr>
      <w:r>
        <w:t>B</w:t>
      </w:r>
      <w:r w:rsidRPr="00B621F2">
        <w:t xml:space="preserve">. </w:t>
      </w:r>
      <w:r w:rsidR="00970CC0">
        <w:t>Rotors Placement</w:t>
      </w:r>
    </w:p>
    <w:p w14:paraId="58501EFE" w14:textId="77777777" w:rsidR="00B714C9" w:rsidRPr="00B621F2" w:rsidRDefault="00B714C9" w:rsidP="00B714C9">
      <w:pPr>
        <w:widowControl w:val="0"/>
        <w:pBdr>
          <w:top w:val="nil"/>
          <w:left w:val="nil"/>
          <w:bottom w:val="nil"/>
          <w:right w:val="nil"/>
          <w:between w:val="nil"/>
        </w:pBdr>
        <w:spacing w:line="252" w:lineRule="auto"/>
        <w:ind w:firstLine="202"/>
        <w:jc w:val="both"/>
      </w:pPr>
    </w:p>
    <w:p w14:paraId="14C1DC67" w14:textId="6D7A7807" w:rsidR="00B714C9" w:rsidRDefault="005B341A" w:rsidP="005B341A">
      <w:pPr>
        <w:pStyle w:val="Heading2"/>
        <w:numPr>
          <w:ilvl w:val="0"/>
          <w:numId w:val="0"/>
        </w:numPr>
      </w:pPr>
      <w:r>
        <w:t>C</w:t>
      </w:r>
      <w:r w:rsidR="00B714C9" w:rsidRPr="00B621F2">
        <w:t xml:space="preserve">. </w:t>
      </w:r>
      <w:r>
        <w:t>Weight Estimation</w:t>
      </w:r>
      <w:r w:rsidR="00A95088">
        <w:t xml:space="preserve"> &amp; Motor-Prop Selection</w:t>
      </w:r>
    </w:p>
    <w:p w14:paraId="6B70BE62" w14:textId="77777777" w:rsidR="00303357" w:rsidRPr="00B621F2" w:rsidRDefault="00303357" w:rsidP="00303357">
      <w:pPr>
        <w:widowControl w:val="0"/>
        <w:pBdr>
          <w:top w:val="nil"/>
          <w:left w:val="nil"/>
          <w:bottom w:val="nil"/>
          <w:right w:val="nil"/>
          <w:between w:val="nil"/>
        </w:pBdr>
        <w:spacing w:line="252" w:lineRule="auto"/>
        <w:ind w:firstLine="202"/>
        <w:jc w:val="both"/>
      </w:pPr>
    </w:p>
    <w:p w14:paraId="29FC3849" w14:textId="0461D4BC" w:rsidR="00303357" w:rsidRDefault="00303357" w:rsidP="00D851FD">
      <w:pPr>
        <w:pStyle w:val="Heading2"/>
        <w:numPr>
          <w:ilvl w:val="0"/>
          <w:numId w:val="0"/>
        </w:numPr>
      </w:pPr>
      <w:r>
        <w:t>D</w:t>
      </w:r>
      <w:r w:rsidRPr="00B621F2">
        <w:t xml:space="preserve">. </w:t>
      </w:r>
      <w:r w:rsidR="00D851FD">
        <w:t>Main Components Selection</w:t>
      </w:r>
    </w:p>
    <w:p w14:paraId="382AEC3E" w14:textId="77777777" w:rsidR="00D851FD" w:rsidRPr="00D851FD" w:rsidRDefault="00D851FD" w:rsidP="00D851FD"/>
    <w:p w14:paraId="4C080BBB" w14:textId="35D7BE85" w:rsidR="00303357" w:rsidRPr="00B621F2" w:rsidRDefault="00883941" w:rsidP="00D851FD">
      <w:pPr>
        <w:pStyle w:val="Heading2"/>
        <w:numPr>
          <w:ilvl w:val="0"/>
          <w:numId w:val="0"/>
        </w:numPr>
      </w:pPr>
      <w:r>
        <w:t>E</w:t>
      </w:r>
      <w:r w:rsidR="00303357" w:rsidRPr="00B621F2">
        <w:t xml:space="preserve">. </w:t>
      </w:r>
      <w:r w:rsidR="00D851FD">
        <w:t>Design</w:t>
      </w:r>
    </w:p>
    <w:p w14:paraId="653128EF" w14:textId="77777777" w:rsidR="00303357" w:rsidRPr="00303357" w:rsidRDefault="00303357" w:rsidP="00303357"/>
    <w:p w14:paraId="7719A9ED" w14:textId="77777777" w:rsidR="0096199E" w:rsidRPr="0062293A" w:rsidRDefault="0096199E" w:rsidP="00A65256">
      <w:pPr>
        <w:widowControl w:val="0"/>
        <w:pBdr>
          <w:top w:val="nil"/>
          <w:left w:val="nil"/>
          <w:bottom w:val="nil"/>
          <w:right w:val="nil"/>
          <w:between w:val="nil"/>
        </w:pBdr>
        <w:spacing w:before="20" w:line="252" w:lineRule="auto"/>
        <w:ind w:firstLine="202"/>
        <w:jc w:val="both"/>
        <w:rPr>
          <w:color w:val="FF0000"/>
        </w:rPr>
      </w:pPr>
    </w:p>
    <w:p w14:paraId="66E8346C" w14:textId="4B3B7B66" w:rsidR="00732E46" w:rsidRPr="0062293A" w:rsidRDefault="00DB3364" w:rsidP="00DB3364">
      <w:pPr>
        <w:pStyle w:val="Heading2"/>
        <w:numPr>
          <w:ilvl w:val="0"/>
          <w:numId w:val="0"/>
        </w:numPr>
        <w:rPr>
          <w:color w:val="FF0000"/>
        </w:rPr>
      </w:pPr>
      <w:r w:rsidRPr="0062293A">
        <w:rPr>
          <w:color w:val="FF0000"/>
        </w:rPr>
        <w:t xml:space="preserve">A. </w:t>
      </w:r>
      <w:r w:rsidR="000F2C11" w:rsidRPr="0062293A">
        <w:rPr>
          <w:color w:val="FF0000"/>
        </w:rPr>
        <w:t>Equations</w:t>
      </w:r>
    </w:p>
    <w:p w14:paraId="752FF10B" w14:textId="712765E8" w:rsidR="00732E46" w:rsidRPr="0062293A" w:rsidRDefault="000F2C11" w:rsidP="007B62A7">
      <w:pPr>
        <w:widowControl w:val="0"/>
        <w:pBdr>
          <w:top w:val="nil"/>
          <w:left w:val="nil"/>
          <w:bottom w:val="nil"/>
          <w:right w:val="nil"/>
          <w:between w:val="nil"/>
        </w:pBdr>
        <w:spacing w:line="252" w:lineRule="auto"/>
        <w:ind w:firstLine="202"/>
        <w:jc w:val="both"/>
        <w:rPr>
          <w:color w:val="FF0000"/>
        </w:rPr>
      </w:pPr>
      <w:r w:rsidRPr="0062293A">
        <w:rPr>
          <w:color w:val="FF0000"/>
        </w:rPr>
        <w:t xml:space="preserve">Number equations consecutively with equation numbers in parentheses flush with the right margin of the column, as in (1). First use the equation editor to create the equation. Then </w:t>
      </w:r>
      <w:r w:rsidR="005E2D10" w:rsidRPr="0062293A">
        <w:rPr>
          <w:color w:val="FF0000"/>
        </w:rPr>
        <w:t xml:space="preserve">select </w:t>
      </w:r>
      <w:r w:rsidRPr="0062293A">
        <w:rPr>
          <w:color w:val="FF0000"/>
        </w:rPr>
        <w:t xml:space="preserve">the “Equation” markup style. Press the tab key and write the equation number in parentheses. To make your equations more compact, you may use the solidus </w:t>
      </w:r>
      <w:proofErr w:type="gramStart"/>
      <w:r w:rsidRPr="0062293A">
        <w:rPr>
          <w:color w:val="FF0000"/>
        </w:rPr>
        <w:t>( /</w:t>
      </w:r>
      <w:proofErr w:type="gramEnd"/>
      <w:r w:rsidRPr="0062293A">
        <w:rPr>
          <w:color w:val="FF0000"/>
        </w:rPr>
        <w:t xml:space="preserve"> ), the exp function, or appropriate exponents. Use parentheses to avoid ambiguities in denominators. Punctuate equations when they are part of a sentence, as in</w:t>
      </w:r>
    </w:p>
    <w:p w14:paraId="4B3F1CB8" w14:textId="77777777" w:rsidR="00732E46" w:rsidRPr="0062293A" w:rsidRDefault="000F2C11">
      <w:pPr>
        <w:widowControl w:val="0"/>
        <w:pBdr>
          <w:top w:val="nil"/>
          <w:left w:val="nil"/>
          <w:bottom w:val="nil"/>
          <w:right w:val="nil"/>
          <w:between w:val="nil"/>
        </w:pBdr>
        <w:tabs>
          <w:tab w:val="center" w:pos="2790"/>
          <w:tab w:val="right" w:pos="5040"/>
        </w:tabs>
        <w:spacing w:line="252" w:lineRule="auto"/>
        <w:jc w:val="center"/>
        <w:rPr>
          <w:color w:val="FF0000"/>
        </w:rPr>
      </w:pPr>
      <w:r w:rsidRPr="0062293A">
        <w:rPr>
          <w:color w:val="FF0000"/>
        </w:rPr>
        <w:tab/>
      </w:r>
      <w:r w:rsidRPr="0062293A">
        <w:rPr>
          <w:i/>
          <w:color w:val="FF0000"/>
        </w:rPr>
        <w:t>B</w:t>
      </w:r>
      <w:r w:rsidRPr="0062293A">
        <w:rPr>
          <w:i/>
          <w:color w:val="FF0000"/>
          <w:vertAlign w:val="subscript"/>
        </w:rPr>
        <w:t xml:space="preserve">p </w:t>
      </w:r>
      <w:r w:rsidRPr="0062293A">
        <w:rPr>
          <w:color w:val="FF0000"/>
        </w:rPr>
        <w:t xml:space="preserve">+ </w:t>
      </w:r>
      <w:r w:rsidRPr="0062293A">
        <w:rPr>
          <w:i/>
          <w:color w:val="FF0000"/>
        </w:rPr>
        <w:t>H</w:t>
      </w:r>
      <w:r w:rsidRPr="0062293A">
        <w:rPr>
          <w:color w:val="FF0000"/>
          <w:vertAlign w:val="subscript"/>
        </w:rPr>
        <w:t>2</w:t>
      </w:r>
      <w:r w:rsidRPr="0062293A">
        <w:rPr>
          <w:color w:val="FF0000"/>
        </w:rPr>
        <w:t xml:space="preserve"> = 40.</w:t>
      </w:r>
      <w:r w:rsidRPr="0062293A">
        <w:rPr>
          <w:color w:val="FF0000"/>
        </w:rPr>
        <w:tab/>
        <w:t>(1)</w:t>
      </w:r>
    </w:p>
    <w:p w14:paraId="394EE51F" w14:textId="77777777" w:rsidR="00A853F3" w:rsidRPr="0062293A" w:rsidRDefault="00A853F3" w:rsidP="00A65256">
      <w:pPr>
        <w:widowControl w:val="0"/>
        <w:pBdr>
          <w:top w:val="nil"/>
          <w:left w:val="nil"/>
          <w:bottom w:val="nil"/>
          <w:right w:val="nil"/>
          <w:between w:val="nil"/>
        </w:pBdr>
        <w:spacing w:before="20" w:line="252" w:lineRule="auto"/>
        <w:ind w:firstLine="202"/>
        <w:jc w:val="both"/>
        <w:rPr>
          <w:color w:val="FF0000"/>
        </w:rPr>
      </w:pPr>
    </w:p>
    <w:p w14:paraId="0ACC2F98" w14:textId="19C7688C" w:rsidR="00732E46" w:rsidRPr="0062293A" w:rsidRDefault="00E57D3D" w:rsidP="00A853F3">
      <w:pPr>
        <w:widowControl w:val="0"/>
        <w:pBdr>
          <w:top w:val="nil"/>
          <w:left w:val="nil"/>
          <w:bottom w:val="nil"/>
          <w:right w:val="nil"/>
          <w:between w:val="nil"/>
        </w:pBdr>
        <w:spacing w:line="252" w:lineRule="auto"/>
        <w:ind w:firstLine="202"/>
        <w:jc w:val="both"/>
        <w:rPr>
          <w:color w:val="FF0000"/>
        </w:rPr>
      </w:pPr>
      <w:r w:rsidRPr="0062293A">
        <w:rPr>
          <w:color w:val="FF0000"/>
        </w:rPr>
        <w:t>Be sure that the symbols in your equation have been defined before the equation appears or immediately following. Italicize</w:t>
      </w:r>
      <w:r w:rsidR="00A853F3" w:rsidRPr="0062293A">
        <w:rPr>
          <w:color w:val="FF0000"/>
        </w:rPr>
        <w:t xml:space="preserve"> </w:t>
      </w:r>
      <w:r w:rsidR="000F2C11" w:rsidRPr="0062293A">
        <w:rPr>
          <w:color w:val="FF0000"/>
        </w:rPr>
        <w:t>symbols (</w:t>
      </w:r>
      <w:r w:rsidR="000F2C11" w:rsidRPr="0062293A">
        <w:rPr>
          <w:i/>
          <w:color w:val="FF0000"/>
        </w:rPr>
        <w:t>T</w:t>
      </w:r>
      <w:r w:rsidR="000F2C11" w:rsidRPr="0062293A">
        <w:rPr>
          <w:color w:val="FF0000"/>
        </w:rPr>
        <w:t xml:space="preserve"> might refer to temperature, but T is the unit tesla). When referring to an equation or formula, use simply “(1),” not “Eq. (1)” or “equation (1),” except at the beginning of a sentence: “Equation (1) is </w:t>
      </w:r>
      <w:proofErr w:type="gramStart"/>
      <w:r w:rsidR="000F2C11" w:rsidRPr="0062293A">
        <w:rPr>
          <w:color w:val="FF0000"/>
        </w:rPr>
        <w:t>... .”</w:t>
      </w:r>
      <w:proofErr w:type="gramEnd"/>
    </w:p>
    <w:p w14:paraId="233DFA19" w14:textId="77777777" w:rsidR="00031B79" w:rsidRPr="0062293A" w:rsidRDefault="00031B79" w:rsidP="00A65256">
      <w:pPr>
        <w:widowControl w:val="0"/>
        <w:pBdr>
          <w:top w:val="nil"/>
          <w:left w:val="nil"/>
          <w:bottom w:val="nil"/>
          <w:right w:val="nil"/>
          <w:between w:val="nil"/>
        </w:pBdr>
        <w:spacing w:before="20" w:line="252" w:lineRule="auto"/>
        <w:ind w:firstLine="202"/>
        <w:jc w:val="both"/>
        <w:rPr>
          <w:color w:val="FF0000"/>
        </w:rPr>
      </w:pPr>
    </w:p>
    <w:p w14:paraId="120293A3" w14:textId="6A5811A3" w:rsidR="002947C5" w:rsidRPr="0062293A" w:rsidRDefault="002947C5" w:rsidP="00D050EC">
      <w:pPr>
        <w:pStyle w:val="Heading2"/>
        <w:numPr>
          <w:ilvl w:val="0"/>
          <w:numId w:val="0"/>
        </w:numPr>
        <w:rPr>
          <w:color w:val="FF0000"/>
        </w:rPr>
      </w:pPr>
      <w:r w:rsidRPr="0062293A">
        <w:rPr>
          <w:color w:val="FF0000"/>
        </w:rPr>
        <w:t>B. Algorithms</w:t>
      </w:r>
    </w:p>
    <w:p w14:paraId="4FA98CB4" w14:textId="19008C93" w:rsidR="002947C5" w:rsidRPr="0062293A" w:rsidRDefault="002947C5" w:rsidP="00D050EC">
      <w:pPr>
        <w:pStyle w:val="Text"/>
        <w:rPr>
          <w:color w:val="FF0000"/>
        </w:rPr>
      </w:pPr>
      <w:r w:rsidRPr="0062293A">
        <w:rPr>
          <w:color w:val="FF0000"/>
        </w:rPr>
        <w:t>Algorithms should be numbered and include a short title.</w:t>
      </w:r>
      <w:r w:rsidR="007A2DEB" w:rsidRPr="0062293A">
        <w:rPr>
          <w:color w:val="FF0000"/>
        </w:rPr>
        <w:t xml:space="preserve"> </w:t>
      </w:r>
      <w:r w:rsidRPr="0062293A">
        <w:rPr>
          <w:color w:val="FF0000"/>
        </w:rPr>
        <w:t>They are set off from the text with rules above and below the</w:t>
      </w:r>
      <w:r w:rsidR="00B05CCE" w:rsidRPr="0062293A">
        <w:rPr>
          <w:color w:val="FF0000"/>
        </w:rPr>
        <w:t xml:space="preserve"> </w:t>
      </w:r>
      <w:r w:rsidRPr="0062293A">
        <w:rPr>
          <w:color w:val="FF0000"/>
        </w:rPr>
        <w:t>title and after the last line.</w:t>
      </w:r>
    </w:p>
    <w:p w14:paraId="43B7010B" w14:textId="6C3D3145" w:rsidR="00621141" w:rsidRPr="0062293A" w:rsidRDefault="00621141" w:rsidP="00621141">
      <w:pPr>
        <w:pStyle w:val="PARAIndent"/>
        <w:spacing w:before="240"/>
        <w:rPr>
          <w:rFonts w:eastAsia="NimbusRomNo9L-Regu"/>
          <w:color w:val="FF0000"/>
          <w:lang w:eastAsia="en-IN"/>
        </w:rPr>
      </w:pPr>
      <w:r w:rsidRPr="0062293A">
        <w:rPr>
          <w:noProof/>
          <w:color w:val="FF0000"/>
        </w:rPr>
        <w:drawing>
          <wp:inline distT="0" distB="0" distL="0" distR="0" wp14:anchorId="02982399" wp14:editId="7C259E3D">
            <wp:extent cx="3063240" cy="1956714"/>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ndesign Projects\005 Series\03 OA Word templates\Work\TJ\Work\Fig3.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3240" cy="1956714"/>
                    </a:xfrm>
                    <a:prstGeom prst="rect">
                      <a:avLst/>
                    </a:prstGeom>
                    <a:noFill/>
                    <a:ln>
                      <a:noFill/>
                    </a:ln>
                  </pic:spPr>
                </pic:pic>
              </a:graphicData>
            </a:graphic>
          </wp:inline>
        </w:drawing>
      </w:r>
    </w:p>
    <w:p w14:paraId="4F1C26D4" w14:textId="6629763D" w:rsidR="00732E46" w:rsidRPr="0062293A" w:rsidRDefault="00DB3364" w:rsidP="00A0149F">
      <w:pPr>
        <w:pStyle w:val="Heading1"/>
      </w:pPr>
      <w:r w:rsidRPr="0062293A">
        <w:t xml:space="preserve">IV. </w:t>
      </w:r>
      <w:r w:rsidR="000F2C11" w:rsidRPr="0062293A">
        <w:t xml:space="preserve">Guidelines for Graphics Preparation </w:t>
      </w:r>
      <w:r w:rsidR="000F2C11" w:rsidRPr="0062293A">
        <w:br/>
        <w:t>and Submission</w:t>
      </w:r>
    </w:p>
    <w:p w14:paraId="060A7626" w14:textId="029EA85A" w:rsidR="00732E46" w:rsidRPr="0062293A" w:rsidRDefault="00DB3364" w:rsidP="007E5119">
      <w:pPr>
        <w:pStyle w:val="Heading2"/>
        <w:numPr>
          <w:ilvl w:val="0"/>
          <w:numId w:val="0"/>
        </w:numPr>
        <w:spacing w:before="240"/>
        <w:rPr>
          <w:color w:val="FF0000"/>
        </w:rPr>
      </w:pPr>
      <w:r w:rsidRPr="0062293A">
        <w:rPr>
          <w:color w:val="FF0000"/>
        </w:rPr>
        <w:t xml:space="preserve">A. </w:t>
      </w:r>
      <w:r w:rsidR="000F2C11" w:rsidRPr="0062293A">
        <w:rPr>
          <w:color w:val="FF0000"/>
        </w:rPr>
        <w:t>Types of Graphics</w:t>
      </w:r>
    </w:p>
    <w:p w14:paraId="5A634F31" w14:textId="77777777" w:rsidR="00732E46" w:rsidRPr="0062293A" w:rsidRDefault="000F2C11">
      <w:pPr>
        <w:ind w:firstLine="144"/>
        <w:jc w:val="both"/>
        <w:rPr>
          <w:color w:val="FF0000"/>
        </w:rPr>
      </w:pPr>
      <w:r w:rsidRPr="0062293A">
        <w:rPr>
          <w:color w:val="FF0000"/>
        </w:rPr>
        <w:t>The following list outlines the different types of graphics published in IEEE journals. They are categorized based on their construction, and use of color / shades of gray:</w:t>
      </w:r>
    </w:p>
    <w:p w14:paraId="076B9C40" w14:textId="3AD2E23E" w:rsidR="00732E46" w:rsidRPr="0062293A" w:rsidRDefault="000F2C11" w:rsidP="00DB3364">
      <w:pPr>
        <w:pStyle w:val="ListParagraph"/>
        <w:numPr>
          <w:ilvl w:val="1"/>
          <w:numId w:val="10"/>
        </w:numPr>
        <w:rPr>
          <w:rFonts w:ascii="Times" w:eastAsia="Times" w:hAnsi="Times" w:cs="Times"/>
          <w:color w:val="FF0000"/>
        </w:rPr>
      </w:pPr>
      <w:r w:rsidRPr="0062293A">
        <w:rPr>
          <w:b/>
          <w:color w:val="FF0000"/>
        </w:rPr>
        <w:t>Color/Grayscale Figures</w:t>
      </w:r>
      <w:r w:rsidR="00DB3364" w:rsidRPr="0062293A">
        <w:rPr>
          <w:color w:val="FF0000"/>
        </w:rPr>
        <w:br/>
      </w:r>
      <w:proofErr w:type="spellStart"/>
      <w:r w:rsidRPr="0062293A">
        <w:rPr>
          <w:rFonts w:ascii="Times" w:eastAsia="Times" w:hAnsi="Times" w:cs="Times"/>
          <w:color w:val="FF0000"/>
        </w:rPr>
        <w:t>Figures</w:t>
      </w:r>
      <w:proofErr w:type="spellEnd"/>
      <w:r w:rsidRPr="0062293A">
        <w:rPr>
          <w:rFonts w:ascii="Times" w:eastAsia="Times" w:hAnsi="Times" w:cs="Times"/>
          <w:color w:val="FF0000"/>
        </w:rPr>
        <w:t xml:space="preserve"> that are meant to appear in color, or shades of black/gray. Such figures may include photographs, </w:t>
      </w:r>
      <w:r w:rsidRPr="0062293A">
        <w:rPr>
          <w:rFonts w:ascii="Times" w:eastAsia="Times" w:hAnsi="Times" w:cs="Times"/>
          <w:color w:val="FF0000"/>
        </w:rPr>
        <w:br/>
        <w:t>illustrations, multicolor graphs, and flowcharts.</w:t>
      </w:r>
    </w:p>
    <w:p w14:paraId="6B1DACC8" w14:textId="605B3405" w:rsidR="00732E46" w:rsidRPr="0062293A" w:rsidRDefault="000F2C11" w:rsidP="00DB3364">
      <w:pPr>
        <w:pStyle w:val="ListParagraph"/>
        <w:numPr>
          <w:ilvl w:val="1"/>
          <w:numId w:val="10"/>
        </w:numPr>
        <w:rPr>
          <w:rFonts w:ascii="Times" w:eastAsia="Times" w:hAnsi="Times" w:cs="Times"/>
          <w:color w:val="FF0000"/>
        </w:rPr>
      </w:pPr>
      <w:r w:rsidRPr="0062293A">
        <w:rPr>
          <w:b/>
          <w:color w:val="FF0000"/>
        </w:rPr>
        <w:t>Line Art Figures</w:t>
      </w:r>
      <w:r w:rsidR="00DB3364" w:rsidRPr="0062293A">
        <w:rPr>
          <w:rFonts w:ascii="Times" w:eastAsia="Times" w:hAnsi="Times" w:cs="Times"/>
          <w:color w:val="FF0000"/>
        </w:rPr>
        <w:br/>
      </w:r>
      <w:r w:rsidRPr="0062293A">
        <w:rPr>
          <w:rFonts w:ascii="Times" w:eastAsia="Times" w:hAnsi="Times" w:cs="Times"/>
          <w:color w:val="FF0000"/>
        </w:rPr>
        <w:t>Figures that are composed of only black lines and shapes. These figures should have no shades or half-tones of gray, only black and white.</w:t>
      </w:r>
    </w:p>
    <w:p w14:paraId="6C7A72D5" w14:textId="2581B780" w:rsidR="00732E46" w:rsidRPr="0062293A" w:rsidRDefault="000F2C11" w:rsidP="00DB3364">
      <w:pPr>
        <w:pStyle w:val="ListParagraph"/>
        <w:numPr>
          <w:ilvl w:val="1"/>
          <w:numId w:val="10"/>
        </w:numPr>
        <w:rPr>
          <w:rFonts w:ascii="Times" w:eastAsia="Times" w:hAnsi="Times" w:cs="Times"/>
          <w:i/>
          <w:color w:val="FF0000"/>
        </w:rPr>
      </w:pPr>
      <w:r w:rsidRPr="0062293A">
        <w:rPr>
          <w:b/>
          <w:color w:val="FF0000"/>
        </w:rPr>
        <w:t>Tables</w:t>
      </w:r>
      <w:r w:rsidRPr="0062293A">
        <w:rPr>
          <w:rFonts w:ascii="Times" w:eastAsia="Times" w:hAnsi="Times" w:cs="Times"/>
          <w:color w:val="FF0000"/>
        </w:rPr>
        <w:br/>
        <w:t>Data charts which are typically black and white, but sometimes include color.</w:t>
      </w:r>
    </w:p>
    <w:p w14:paraId="7C6970AE" w14:textId="77777777" w:rsidR="001F512A" w:rsidRPr="0062293A" w:rsidRDefault="001F512A" w:rsidP="001F512A">
      <w:pPr>
        <w:pStyle w:val="ListParagraph"/>
        <w:ind w:left="450"/>
        <w:rPr>
          <w:rFonts w:ascii="Times" w:eastAsia="Times" w:hAnsi="Times" w:cs="Times"/>
          <w:i/>
          <w:color w:val="FF0000"/>
        </w:rPr>
      </w:pPr>
    </w:p>
    <w:p w14:paraId="30945116" w14:textId="5B220BB5" w:rsidR="00732E46" w:rsidRPr="0062293A" w:rsidRDefault="00DB3364" w:rsidP="00DB3364">
      <w:pPr>
        <w:pStyle w:val="Heading2"/>
        <w:numPr>
          <w:ilvl w:val="0"/>
          <w:numId w:val="0"/>
        </w:numPr>
        <w:jc w:val="both"/>
        <w:rPr>
          <w:rFonts w:eastAsia="Cambria"/>
          <w:color w:val="FF0000"/>
        </w:rPr>
      </w:pPr>
      <w:r w:rsidRPr="0062293A">
        <w:rPr>
          <w:rFonts w:eastAsia="Cambria"/>
          <w:color w:val="FF0000"/>
        </w:rPr>
        <w:t xml:space="preserve">B. </w:t>
      </w:r>
      <w:r w:rsidR="000F2C11" w:rsidRPr="0062293A">
        <w:rPr>
          <w:rFonts w:eastAsia="Cambria"/>
          <w:color w:val="FF0000"/>
        </w:rPr>
        <w:t>Multipart Figures</w:t>
      </w:r>
    </w:p>
    <w:p w14:paraId="44F78EA3" w14:textId="23209744" w:rsidR="00732E46" w:rsidRPr="0062293A" w:rsidRDefault="005E2D10">
      <w:pPr>
        <w:ind w:firstLine="144"/>
        <w:jc w:val="both"/>
        <w:rPr>
          <w:rFonts w:ascii="Times" w:eastAsia="Times" w:hAnsi="Times" w:cs="Times"/>
          <w:color w:val="FF0000"/>
          <w:spacing w:val="-3"/>
        </w:rPr>
      </w:pPr>
      <w:r w:rsidRPr="0062293A">
        <w:rPr>
          <w:rFonts w:ascii="Times" w:eastAsia="Times" w:hAnsi="Times" w:cs="Times"/>
          <w:color w:val="FF0000"/>
          <w:spacing w:val="-3"/>
        </w:rPr>
        <w:t>These are f</w:t>
      </w:r>
      <w:r w:rsidR="000F2C11" w:rsidRPr="0062293A">
        <w:rPr>
          <w:rFonts w:ascii="Times" w:eastAsia="Times" w:hAnsi="Times" w:cs="Times"/>
          <w:color w:val="FF0000"/>
          <w:spacing w:val="-3"/>
        </w:rPr>
        <w:t>igures compiled of more than one sub-figure presented side-by-side or stacked. If a multipart figure is made up of multiple figure types (one part is line</w:t>
      </w:r>
      <w:r w:rsidR="001E7EDB" w:rsidRPr="0062293A">
        <w:rPr>
          <w:rFonts w:ascii="Times" w:eastAsia="Times" w:hAnsi="Times" w:cs="Times"/>
          <w:color w:val="FF0000"/>
          <w:spacing w:val="-3"/>
        </w:rPr>
        <w:t xml:space="preserve"> </w:t>
      </w:r>
      <w:r w:rsidR="000F2C11" w:rsidRPr="0062293A">
        <w:rPr>
          <w:rFonts w:ascii="Times" w:eastAsia="Times" w:hAnsi="Times" w:cs="Times"/>
          <w:color w:val="FF0000"/>
          <w:spacing w:val="-3"/>
        </w:rPr>
        <w:t>art, and another is grayscale or color), the figure should meet the stricter guidelines.</w:t>
      </w:r>
    </w:p>
    <w:p w14:paraId="4D21B673" w14:textId="77777777" w:rsidR="00031B79" w:rsidRPr="0062293A" w:rsidRDefault="00031B79" w:rsidP="00D050EC">
      <w:pPr>
        <w:rPr>
          <w:rFonts w:eastAsia="Times"/>
          <w:color w:val="FF0000"/>
        </w:rPr>
      </w:pPr>
    </w:p>
    <w:p w14:paraId="6827CE4A" w14:textId="17DB14C9" w:rsidR="00732E46" w:rsidRPr="0062293A" w:rsidRDefault="00DB3364" w:rsidP="00DB3364">
      <w:pPr>
        <w:pStyle w:val="Heading2"/>
        <w:numPr>
          <w:ilvl w:val="0"/>
          <w:numId w:val="0"/>
        </w:numPr>
        <w:jc w:val="both"/>
        <w:rPr>
          <w:color w:val="FF0000"/>
        </w:rPr>
      </w:pPr>
      <w:r w:rsidRPr="0062293A">
        <w:rPr>
          <w:color w:val="FF0000"/>
        </w:rPr>
        <w:t xml:space="preserve">C. </w:t>
      </w:r>
      <w:r w:rsidR="000F2C11" w:rsidRPr="0062293A">
        <w:rPr>
          <w:color w:val="FF0000"/>
        </w:rPr>
        <w:t>File Formats for Graphics</w:t>
      </w:r>
    </w:p>
    <w:p w14:paraId="5A21ED3C" w14:textId="7414B27A" w:rsidR="00732E46" w:rsidRPr="0062293A" w:rsidRDefault="000F2C11">
      <w:pPr>
        <w:ind w:firstLine="144"/>
        <w:jc w:val="both"/>
        <w:rPr>
          <w:color w:val="FF0000"/>
          <w:spacing w:val="-3"/>
        </w:rPr>
      </w:pPr>
      <w:r w:rsidRPr="0062293A">
        <w:rPr>
          <w:color w:val="FF0000"/>
          <w:spacing w:val="-3"/>
        </w:rP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rsidRPr="0062293A">
        <w:rPr>
          <w:color w:val="FF0000"/>
          <w:spacing w:val="-3"/>
        </w:rPr>
        <w:t>. These programs can</w:t>
      </w:r>
      <w:r w:rsidRPr="0062293A">
        <w:rPr>
          <w:color w:val="FF0000"/>
          <w:spacing w:val="-3"/>
        </w:rPr>
        <w:t xml:space="preserve"> </w:t>
      </w:r>
      <w:r w:rsidR="00DB3364" w:rsidRPr="0062293A">
        <w:rPr>
          <w:color w:val="FF0000"/>
          <w:spacing w:val="-3"/>
        </w:rPr>
        <w:t>re-</w:t>
      </w:r>
      <w:r w:rsidRPr="0062293A">
        <w:rPr>
          <w:color w:val="FF0000"/>
          <w:spacing w:val="-3"/>
        </w:rP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Pr="0062293A" w:rsidRDefault="001F512A">
      <w:pPr>
        <w:ind w:firstLine="144"/>
        <w:jc w:val="both"/>
        <w:rPr>
          <w:color w:val="FF0000"/>
        </w:rPr>
      </w:pPr>
    </w:p>
    <w:p w14:paraId="6296F667" w14:textId="41396871" w:rsidR="00732E46" w:rsidRPr="0062293A" w:rsidRDefault="00DB3364" w:rsidP="00DB3364">
      <w:pPr>
        <w:pStyle w:val="Heading2"/>
        <w:numPr>
          <w:ilvl w:val="0"/>
          <w:numId w:val="0"/>
        </w:numPr>
        <w:jc w:val="both"/>
        <w:rPr>
          <w:color w:val="FF0000"/>
        </w:rPr>
      </w:pPr>
      <w:r w:rsidRPr="0062293A">
        <w:rPr>
          <w:color w:val="FF0000"/>
        </w:rPr>
        <w:t xml:space="preserve">D. </w:t>
      </w:r>
      <w:r w:rsidR="000F2C11" w:rsidRPr="0062293A">
        <w:rPr>
          <w:color w:val="FF0000"/>
        </w:rPr>
        <w:t>Sizing of Graphics</w:t>
      </w:r>
    </w:p>
    <w:p w14:paraId="5477C4ED" w14:textId="77777777" w:rsidR="00732E46" w:rsidRPr="0062293A" w:rsidRDefault="000F2C11">
      <w:pPr>
        <w:ind w:firstLine="144"/>
        <w:jc w:val="both"/>
        <w:rPr>
          <w:rFonts w:ascii="Times" w:eastAsia="Times" w:hAnsi="Times" w:cs="Times"/>
          <w:color w:val="FF0000"/>
        </w:rPr>
      </w:pPr>
      <w:r w:rsidRPr="0062293A">
        <w:rPr>
          <w:rFonts w:ascii="Times" w:eastAsia="Times" w:hAnsi="Times" w:cs="Times"/>
          <w:color w:val="FF0000"/>
        </w:rPr>
        <w:t xml:space="preserve">Most charts, graphs, and tables are one column wide (3.5 inches / 88 mm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not be sized less than column width unless when necessary. </w:t>
      </w:r>
    </w:p>
    <w:p w14:paraId="11CAAD70" w14:textId="5256A1C1" w:rsidR="00732E46" w:rsidRPr="0062293A" w:rsidRDefault="000F2C11">
      <w:pPr>
        <w:ind w:firstLine="144"/>
        <w:jc w:val="both"/>
        <w:rPr>
          <w:rFonts w:ascii="Times" w:eastAsia="Times" w:hAnsi="Times" w:cs="Times"/>
          <w:color w:val="FF0000"/>
        </w:rPr>
      </w:pPr>
      <w:r w:rsidRPr="0062293A">
        <w:rPr>
          <w:rFonts w:ascii="Times" w:eastAsia="Times" w:hAnsi="Times" w:cs="Times"/>
          <w:color w:val="FF0000"/>
        </w:rPr>
        <w:t xml:space="preserve">The final printed size of author photographs is exactly </w:t>
      </w:r>
      <w:r w:rsidRPr="0062293A">
        <w:rPr>
          <w:rFonts w:ascii="Times" w:eastAsia="Times" w:hAnsi="Times" w:cs="Times"/>
          <w:color w:val="FF0000"/>
        </w:rPr>
        <w:br/>
        <w:t>1 in wide by 1.25 in tall (25.4 mm x 31.75 mm / 6 picas x 7.5 picas). Author photos printed in editorials measure 1.59 in wide by 2 in tall (40 mm x 50 mm / 9.5 picas x 12 picas).</w:t>
      </w:r>
    </w:p>
    <w:p w14:paraId="6088589B" w14:textId="77777777" w:rsidR="001F512A" w:rsidRPr="0062293A" w:rsidRDefault="001F512A" w:rsidP="00A65256">
      <w:pPr>
        <w:spacing w:before="20"/>
        <w:ind w:firstLine="144"/>
        <w:jc w:val="both"/>
        <w:rPr>
          <w:rFonts w:ascii="Times" w:eastAsia="Times" w:hAnsi="Times" w:cs="Times"/>
          <w:color w:val="FF0000"/>
        </w:rPr>
      </w:pPr>
    </w:p>
    <w:p w14:paraId="276C6666" w14:textId="1BA9AADD" w:rsidR="00732E46" w:rsidRPr="0062293A" w:rsidRDefault="00DB3364" w:rsidP="00DB3364">
      <w:pPr>
        <w:pStyle w:val="Heading2"/>
        <w:numPr>
          <w:ilvl w:val="0"/>
          <w:numId w:val="0"/>
        </w:numPr>
        <w:jc w:val="both"/>
        <w:rPr>
          <w:rFonts w:ascii="Times" w:eastAsia="Times" w:hAnsi="Times" w:cs="Times"/>
          <w:smallCaps/>
          <w:color w:val="FF0000"/>
        </w:rPr>
      </w:pPr>
      <w:r w:rsidRPr="0062293A">
        <w:rPr>
          <w:color w:val="FF0000"/>
        </w:rPr>
        <w:t xml:space="preserve">E. </w:t>
      </w:r>
      <w:r w:rsidR="000F2C11" w:rsidRPr="0062293A">
        <w:rPr>
          <w:color w:val="FF0000"/>
        </w:rPr>
        <w:t>Resolution</w:t>
      </w:r>
      <w:r w:rsidR="000F2C11" w:rsidRPr="0062293A">
        <w:rPr>
          <w:rFonts w:ascii="Times" w:eastAsia="Times" w:hAnsi="Times" w:cs="Times"/>
          <w:color w:val="FF0000"/>
        </w:rPr>
        <w:t xml:space="preserve"> </w:t>
      </w:r>
    </w:p>
    <w:p w14:paraId="04A12030" w14:textId="7DF988B9" w:rsidR="00732E46" w:rsidRPr="0062293A" w:rsidRDefault="000F2C11">
      <w:pPr>
        <w:ind w:firstLine="144"/>
        <w:jc w:val="both"/>
        <w:rPr>
          <w:rFonts w:ascii="Times" w:eastAsia="Times" w:hAnsi="Times" w:cs="Times"/>
          <w:color w:val="FF0000"/>
        </w:rPr>
      </w:pPr>
      <w:r w:rsidRPr="0062293A">
        <w:rPr>
          <w:rFonts w:ascii="Times" w:eastAsia="Times" w:hAnsi="Times" w:cs="Times"/>
          <w:color w:val="FF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345C8FB4" w14:textId="53E98DC7" w:rsidR="00732E46" w:rsidRPr="0062293A" w:rsidRDefault="00DB3364" w:rsidP="00DB3364">
      <w:pPr>
        <w:pStyle w:val="Heading2"/>
        <w:numPr>
          <w:ilvl w:val="0"/>
          <w:numId w:val="0"/>
        </w:numPr>
        <w:jc w:val="both"/>
        <w:rPr>
          <w:rFonts w:eastAsia="Cambria"/>
          <w:smallCaps/>
          <w:color w:val="FF0000"/>
        </w:rPr>
      </w:pPr>
      <w:r w:rsidRPr="0062293A">
        <w:rPr>
          <w:rFonts w:eastAsia="Cambria"/>
          <w:color w:val="FF0000"/>
        </w:rPr>
        <w:t xml:space="preserve">F. </w:t>
      </w:r>
      <w:r w:rsidR="000F2C11" w:rsidRPr="0062293A">
        <w:rPr>
          <w:rFonts w:eastAsia="Cambria"/>
          <w:color w:val="FF0000"/>
        </w:rPr>
        <w:t>Vector Art</w:t>
      </w:r>
    </w:p>
    <w:p w14:paraId="5E01C40E" w14:textId="77777777" w:rsidR="00732E46" w:rsidRPr="0062293A" w:rsidRDefault="000F2C11">
      <w:pPr>
        <w:ind w:firstLine="144"/>
        <w:jc w:val="both"/>
        <w:rPr>
          <w:rFonts w:ascii="Times" w:eastAsia="Times" w:hAnsi="Times" w:cs="Times"/>
          <w:color w:val="FF0000"/>
        </w:rPr>
      </w:pPr>
      <w:r w:rsidRPr="0062293A">
        <w:rPr>
          <w:rFonts w:ascii="Times" w:eastAsia="Times" w:hAnsi="Times" w:cs="Times"/>
          <w:color w:val="FF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Pr="0062293A" w:rsidRDefault="00732E46" w:rsidP="00A65256">
      <w:pPr>
        <w:spacing w:before="20"/>
        <w:ind w:firstLine="144"/>
        <w:jc w:val="both"/>
        <w:rPr>
          <w:color w:val="FF0000"/>
        </w:rPr>
      </w:pPr>
    </w:p>
    <w:p w14:paraId="039DC15F" w14:textId="58038E84" w:rsidR="00732E46" w:rsidRPr="0062293A" w:rsidRDefault="00DB3364" w:rsidP="00DB3364">
      <w:pPr>
        <w:pStyle w:val="Heading2"/>
        <w:numPr>
          <w:ilvl w:val="0"/>
          <w:numId w:val="0"/>
        </w:numPr>
        <w:jc w:val="both"/>
        <w:rPr>
          <w:rFonts w:eastAsia="Cambria"/>
          <w:smallCaps/>
          <w:color w:val="FF0000"/>
        </w:rPr>
      </w:pPr>
      <w:r w:rsidRPr="0062293A">
        <w:rPr>
          <w:rFonts w:eastAsia="Cambria"/>
          <w:color w:val="FF0000"/>
        </w:rPr>
        <w:t xml:space="preserve">G. </w:t>
      </w:r>
      <w:r w:rsidR="000F2C11" w:rsidRPr="0062293A">
        <w:rPr>
          <w:rFonts w:eastAsia="Cambria"/>
          <w:color w:val="FF0000"/>
        </w:rPr>
        <w:t>Color Space</w:t>
      </w:r>
    </w:p>
    <w:p w14:paraId="56101CDF" w14:textId="77777777" w:rsidR="00732E46" w:rsidRPr="0062293A" w:rsidRDefault="000F2C11">
      <w:pPr>
        <w:ind w:firstLine="144"/>
        <w:jc w:val="both"/>
        <w:rPr>
          <w:rFonts w:ascii="Times" w:eastAsia="Times" w:hAnsi="Times" w:cs="Times"/>
          <w:color w:val="FF0000"/>
        </w:rPr>
      </w:pPr>
      <w:r w:rsidRPr="0062293A">
        <w:rPr>
          <w:rFonts w:ascii="Times" w:eastAsia="Times" w:hAnsi="Times" w:cs="Times"/>
          <w:color w:val="FF0000"/>
        </w:rPr>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43307C2A" w14:textId="1FC57E7A" w:rsidR="00732E46" w:rsidRPr="0062293A" w:rsidRDefault="000F2C11">
      <w:pPr>
        <w:ind w:firstLine="144"/>
        <w:jc w:val="both"/>
        <w:rPr>
          <w:rFonts w:ascii="Times" w:eastAsia="Times" w:hAnsi="Times" w:cs="Times"/>
          <w:color w:val="FF0000"/>
          <w:spacing w:val="-2"/>
        </w:rPr>
      </w:pPr>
      <w:r w:rsidRPr="0062293A">
        <w:rPr>
          <w:rFonts w:ascii="Times" w:eastAsia="Times" w:hAnsi="Times" w:cs="Times"/>
          <w:color w:val="FF0000"/>
          <w:spacing w:val="-2"/>
        </w:rPr>
        <w:t xml:space="preserve">All color figures should be generated in RGB or CMYK color space. Grayscale images should be submitted in grayscale color space. Line art may be provided in grayscale OR bitmap </w:t>
      </w:r>
      <w:proofErr w:type="spellStart"/>
      <w:r w:rsidRPr="0062293A">
        <w:rPr>
          <w:rFonts w:ascii="Times" w:eastAsia="Times" w:hAnsi="Times" w:cs="Times"/>
          <w:color w:val="FF0000"/>
          <w:spacing w:val="-2"/>
        </w:rPr>
        <w:t>colorspace</w:t>
      </w:r>
      <w:proofErr w:type="spellEnd"/>
      <w:r w:rsidRPr="0062293A">
        <w:rPr>
          <w:rFonts w:ascii="Times" w:eastAsia="Times" w:hAnsi="Times" w:cs="Times"/>
          <w:color w:val="FF0000"/>
          <w:spacing w:val="-2"/>
        </w:rPr>
        <w:t xml:space="preserve">. Note that “bitmap </w:t>
      </w:r>
      <w:proofErr w:type="spellStart"/>
      <w:r w:rsidRPr="0062293A">
        <w:rPr>
          <w:rFonts w:ascii="Times" w:eastAsia="Times" w:hAnsi="Times" w:cs="Times"/>
          <w:color w:val="FF0000"/>
          <w:spacing w:val="-2"/>
        </w:rPr>
        <w:t>colorspace</w:t>
      </w:r>
      <w:proofErr w:type="spellEnd"/>
      <w:r w:rsidRPr="0062293A">
        <w:rPr>
          <w:rFonts w:ascii="Times" w:eastAsia="Times" w:hAnsi="Times" w:cs="Times"/>
          <w:color w:val="FF0000"/>
          <w:spacing w:val="-2"/>
        </w:rPr>
        <w:t>” and “bitmap file format” are not the same thing. When bitmap color space is selected, .TIF/.TIFF/.PNG are the recommended file formats.</w:t>
      </w:r>
    </w:p>
    <w:p w14:paraId="7691E2B0" w14:textId="77777777" w:rsidR="001F512A" w:rsidRPr="0062293A" w:rsidRDefault="001F512A" w:rsidP="002F221E">
      <w:pPr>
        <w:spacing w:before="30"/>
        <w:ind w:firstLine="144"/>
        <w:jc w:val="both"/>
        <w:rPr>
          <w:rFonts w:ascii="Times" w:eastAsia="Times" w:hAnsi="Times" w:cs="Times"/>
          <w:color w:val="FF0000"/>
        </w:rPr>
      </w:pPr>
    </w:p>
    <w:p w14:paraId="5A5C8F87" w14:textId="68A28CE5" w:rsidR="00732E46" w:rsidRPr="0062293A" w:rsidRDefault="00DB3364" w:rsidP="00DB3364">
      <w:pPr>
        <w:pStyle w:val="Heading2"/>
        <w:numPr>
          <w:ilvl w:val="0"/>
          <w:numId w:val="0"/>
        </w:numPr>
        <w:rPr>
          <w:color w:val="FF0000"/>
        </w:rPr>
      </w:pPr>
      <w:r w:rsidRPr="0062293A">
        <w:rPr>
          <w:color w:val="FF0000"/>
        </w:rPr>
        <w:t xml:space="preserve">H. </w:t>
      </w:r>
      <w:r w:rsidR="000F2C11" w:rsidRPr="0062293A">
        <w:rPr>
          <w:color w:val="FF0000"/>
        </w:rPr>
        <w:t>Accepted Fonts Within Figures</w:t>
      </w:r>
    </w:p>
    <w:p w14:paraId="2BFB0E7A" w14:textId="77777777" w:rsidR="00732E46" w:rsidRPr="0062293A" w:rsidRDefault="000F2C11" w:rsidP="00D050EC">
      <w:pPr>
        <w:ind w:firstLine="144"/>
        <w:jc w:val="both"/>
        <w:rPr>
          <w:rFonts w:eastAsia="Times"/>
          <w:color w:val="FF0000"/>
        </w:rPr>
      </w:pPr>
      <w:r w:rsidRPr="0062293A">
        <w:rPr>
          <w:rFonts w:eastAsia="Times"/>
          <w:color w:val="FF0000"/>
        </w:rPr>
        <w:t>When preparing your graphics, IEEE suggests that you use one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Pr="0062293A" w:rsidRDefault="000F2C11" w:rsidP="00D050EC">
      <w:pPr>
        <w:ind w:firstLine="144"/>
        <w:jc w:val="both"/>
        <w:rPr>
          <w:color w:val="FF0000"/>
        </w:rPr>
      </w:pPr>
      <w:r w:rsidRPr="0062293A">
        <w:rPr>
          <w:color w:val="FF0000"/>
        </w:rPr>
        <w:t>A safe option when finalizing your figures is to strip out the fonts before you save the files, creating “outline” type. This converts fonts to artwork which will appear uniformly on any screen.</w:t>
      </w:r>
    </w:p>
    <w:p w14:paraId="384CE81F" w14:textId="77777777" w:rsidR="001F512A" w:rsidRPr="0062293A" w:rsidRDefault="001F512A" w:rsidP="000968E1">
      <w:pPr>
        <w:spacing w:before="20"/>
        <w:ind w:firstLine="144"/>
        <w:jc w:val="both"/>
        <w:rPr>
          <w:rFonts w:ascii="Times" w:eastAsia="Times" w:hAnsi="Times" w:cs="Times"/>
          <w:color w:val="FF0000"/>
          <w:sz w:val="22"/>
          <w:szCs w:val="22"/>
        </w:rPr>
      </w:pPr>
    </w:p>
    <w:p w14:paraId="09BE84DC" w14:textId="26A3FAFD" w:rsidR="00732E46" w:rsidRPr="0062293A" w:rsidRDefault="00DB3364" w:rsidP="00DB3364">
      <w:pPr>
        <w:pStyle w:val="Heading2"/>
        <w:numPr>
          <w:ilvl w:val="0"/>
          <w:numId w:val="0"/>
        </w:numPr>
        <w:rPr>
          <w:color w:val="FF0000"/>
        </w:rPr>
      </w:pPr>
      <w:r w:rsidRPr="0062293A">
        <w:rPr>
          <w:color w:val="FF0000"/>
        </w:rPr>
        <w:t xml:space="preserve">I. </w:t>
      </w:r>
      <w:r w:rsidR="000F2C11" w:rsidRPr="0062293A">
        <w:rPr>
          <w:color w:val="FF0000"/>
        </w:rPr>
        <w:t>Using Labels Within Figures</w:t>
      </w:r>
    </w:p>
    <w:p w14:paraId="57E960B8" w14:textId="77777777" w:rsidR="00E653B5" w:rsidRPr="0062293A" w:rsidRDefault="000F2C11" w:rsidP="00DB3364">
      <w:pPr>
        <w:pStyle w:val="ListParagraph"/>
        <w:numPr>
          <w:ilvl w:val="0"/>
          <w:numId w:val="11"/>
        </w:numPr>
        <w:ind w:left="540"/>
        <w:rPr>
          <w:color w:val="FF0000"/>
        </w:rPr>
      </w:pPr>
      <w:r w:rsidRPr="0062293A">
        <w:rPr>
          <w:b/>
          <w:color w:val="FF0000"/>
        </w:rPr>
        <w:t>Figure Axis Labels</w:t>
      </w:r>
    </w:p>
    <w:p w14:paraId="301C6715" w14:textId="77777777" w:rsidR="007054D1" w:rsidRPr="0062293A" w:rsidRDefault="000F2C11" w:rsidP="007054D1">
      <w:pPr>
        <w:pStyle w:val="ListParagraph"/>
        <w:numPr>
          <w:ilvl w:val="1"/>
          <w:numId w:val="11"/>
        </w:numPr>
        <w:jc w:val="both"/>
        <w:rPr>
          <w:color w:val="FF0000"/>
        </w:rPr>
      </w:pPr>
      <w:r w:rsidRPr="0062293A">
        <w:rPr>
          <w:color w:val="FF0000"/>
        </w:rPr>
        <w:t xml:space="preserve">Figure axis labels are often a source of confusion. Use words rather than symbols. As an example, write the quantity “Magnetization” or “Magnetization </w:t>
      </w:r>
      <w:r w:rsidRPr="0062293A">
        <w:rPr>
          <w:i/>
          <w:color w:val="FF0000"/>
        </w:rPr>
        <w:t>M</w:t>
      </w:r>
      <w:r w:rsidRPr="0062293A">
        <w:rPr>
          <w:color w:val="FF0000"/>
        </w:rPr>
        <w:t>,” not just “</w:t>
      </w:r>
      <w:r w:rsidRPr="0062293A">
        <w:rPr>
          <w:i/>
          <w:color w:val="FF0000"/>
        </w:rPr>
        <w:t>M</w:t>
      </w:r>
      <w:r w:rsidRPr="0062293A">
        <w:rPr>
          <w:color w:val="FF0000"/>
        </w:rPr>
        <w:t xml:space="preserve">.” Put units in parentheses. Do not label axes only with units. </w:t>
      </w:r>
      <w:r w:rsidR="00A6122B" w:rsidRPr="0062293A">
        <w:rPr>
          <w:color w:val="FF0000"/>
        </w:rPr>
        <w:t>For</w:t>
      </w:r>
      <w:r w:rsidRPr="0062293A">
        <w:rPr>
          <w:color w:val="FF0000"/>
        </w:rPr>
        <w:t xml:space="preserve"> example, write “Magnetization (A/m)” or “Magnetization (</w:t>
      </w:r>
      <w:proofErr w:type="gramStart"/>
      <w:r w:rsidRPr="0062293A">
        <w:rPr>
          <w:color w:val="FF0000"/>
        </w:rPr>
        <w:t>A</w:t>
      </w:r>
      <w:proofErr w:type="gramEnd"/>
      <w:r w:rsidR="00E625A7" w:rsidRPr="0062293A">
        <w:rPr>
          <w:noProof/>
          <w:color w:val="FF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65pt;height:6.65pt;mso-width-percent:0;mso-height-percent:0;mso-width-percent:0;mso-height-percent:0" o:ole="" fillcolor="window">
            <v:imagedata r:id="rId17" o:title=""/>
          </v:shape>
          <o:OLEObject Type="Embed" ProgID="Equation.3" ShapeID="_x0000_i1025" DrawAspect="Content" ObjectID="_1788254976" r:id="rId18"/>
        </w:object>
      </w:r>
      <w:r w:rsidRPr="0062293A">
        <w:rPr>
          <w:color w:val="FF0000"/>
        </w:rPr>
        <w:t>m</w:t>
      </w:r>
      <w:r w:rsidRPr="0062293A">
        <w:rPr>
          <w:rFonts w:ascii="Cambria Math" w:eastAsia="Symbol" w:hAnsi="Cambria Math" w:cs="Cambria Math"/>
          <w:color w:val="FF0000"/>
          <w:vertAlign w:val="superscript"/>
        </w:rPr>
        <w:t>−</w:t>
      </w:r>
      <w:r w:rsidRPr="0062293A">
        <w:rPr>
          <w:color w:val="FF0000"/>
          <w:vertAlign w:val="superscript"/>
        </w:rPr>
        <w:t>1</w:t>
      </w:r>
      <w:r w:rsidRPr="0062293A">
        <w:rPr>
          <w:color w:val="FF0000"/>
        </w:rPr>
        <w:t>),” not just “A/m.” Do not label axes with a ratio of quantities and units. For example, write “Temperature (K),” not “Temperature/K.”</w:t>
      </w:r>
    </w:p>
    <w:p w14:paraId="6D4A7B0E" w14:textId="0ACE86F7" w:rsidR="00732E46" w:rsidRPr="0062293A" w:rsidRDefault="000F2C11" w:rsidP="007054D1">
      <w:pPr>
        <w:pStyle w:val="ListParagraph"/>
        <w:numPr>
          <w:ilvl w:val="1"/>
          <w:numId w:val="11"/>
        </w:numPr>
        <w:jc w:val="both"/>
        <w:rPr>
          <w:color w:val="FF0000"/>
          <w:spacing w:val="-3"/>
        </w:rPr>
      </w:pPr>
      <w:r w:rsidRPr="0062293A">
        <w:rPr>
          <w:color w:val="FF0000"/>
          <w:spacing w:val="-3"/>
        </w:rPr>
        <w:t>Multipliers can be especially confusing. Write “Magnetization (kA/m)” or “Magnetization (10</w:t>
      </w:r>
      <w:r w:rsidRPr="0062293A">
        <w:rPr>
          <w:color w:val="FF0000"/>
          <w:spacing w:val="-3"/>
          <w:vertAlign w:val="superscript"/>
        </w:rPr>
        <w:t>3</w:t>
      </w:r>
      <w:r w:rsidRPr="0062293A">
        <w:rPr>
          <w:color w:val="FF0000"/>
          <w:spacing w:val="-3"/>
        </w:rPr>
        <w:t xml:space="preserve"> A/m).” Do not write “Magnetization (A/m) × 1000” because the reader would not know whether the top </w:t>
      </w:r>
      <w:r w:rsidRPr="0062293A">
        <w:rPr>
          <w:color w:val="FF0000"/>
          <w:spacing w:val="-3"/>
        </w:rPr>
        <w:t xml:space="preserve">axis label </w:t>
      </w:r>
      <w:r w:rsidR="00A6122B" w:rsidRPr="0062293A">
        <w:rPr>
          <w:color w:val="FF0000"/>
          <w:spacing w:val="-3"/>
        </w:rPr>
        <w:t>means</w:t>
      </w:r>
      <w:r w:rsidRPr="0062293A">
        <w:rPr>
          <w:color w:val="FF0000"/>
          <w:spacing w:val="-3"/>
        </w:rPr>
        <w:t xml:space="preserve"> 16000 A/m or 0.016 A/m. Figure labels should be legible, approximately 8- to 10-point type.</w:t>
      </w:r>
    </w:p>
    <w:p w14:paraId="5D5FC1EB" w14:textId="77777777" w:rsidR="00732E46" w:rsidRPr="0062293A" w:rsidRDefault="00732E46" w:rsidP="00A65256">
      <w:pPr>
        <w:pStyle w:val="ListParagraph"/>
        <w:spacing w:before="40"/>
        <w:ind w:left="0"/>
        <w:contextualSpacing w:val="0"/>
        <w:jc w:val="both"/>
        <w:rPr>
          <w:rFonts w:ascii="Times" w:eastAsia="Times" w:hAnsi="Times" w:cs="Times"/>
          <w:color w:val="FF0000"/>
        </w:rPr>
      </w:pPr>
    </w:p>
    <w:p w14:paraId="19090765" w14:textId="77777777" w:rsidR="00E653B5" w:rsidRPr="0062293A" w:rsidRDefault="000F2C11" w:rsidP="00EF6430">
      <w:pPr>
        <w:pStyle w:val="ListParagraph"/>
        <w:numPr>
          <w:ilvl w:val="0"/>
          <w:numId w:val="11"/>
        </w:numPr>
        <w:ind w:left="540"/>
        <w:rPr>
          <w:color w:val="FF0000"/>
        </w:rPr>
      </w:pPr>
      <w:r w:rsidRPr="0062293A">
        <w:rPr>
          <w:b/>
          <w:color w:val="FF0000"/>
        </w:rPr>
        <w:t>Subfigure Labels in Multipart Figures and Tables</w:t>
      </w:r>
    </w:p>
    <w:p w14:paraId="20C20803" w14:textId="666703C8" w:rsidR="00732E46" w:rsidRPr="0062293A" w:rsidRDefault="000F2C11" w:rsidP="00E653B5">
      <w:pPr>
        <w:pStyle w:val="ListParagraph"/>
        <w:ind w:left="540"/>
        <w:rPr>
          <w:color w:val="FF0000"/>
        </w:rPr>
      </w:pPr>
      <w:r w:rsidRPr="0062293A">
        <w:rPr>
          <w:rFonts w:ascii="Times" w:eastAsia="Times" w:hAnsi="Times" w:cs="Times"/>
          <w:color w:val="FF0000"/>
        </w:rPr>
        <w:t xml:space="preserve">Multipart figures should be combined and labeled before final submission. Labels should appear centered below each subfigure in 8-point Times New Roman font in the format of (a) (b) (c). </w:t>
      </w:r>
    </w:p>
    <w:p w14:paraId="568DB727" w14:textId="678CEB8E" w:rsidR="00732E46" w:rsidRPr="0062293A" w:rsidRDefault="00EF6430" w:rsidP="007B62A7">
      <w:pPr>
        <w:pStyle w:val="Heading2"/>
        <w:numPr>
          <w:ilvl w:val="0"/>
          <w:numId w:val="0"/>
        </w:numPr>
        <w:rPr>
          <w:rFonts w:eastAsia="Cambria"/>
          <w:color w:val="FF0000"/>
        </w:rPr>
      </w:pPr>
      <w:r w:rsidRPr="0062293A">
        <w:rPr>
          <w:rFonts w:eastAsia="Cambria"/>
          <w:color w:val="FF0000"/>
        </w:rPr>
        <w:t xml:space="preserve">J. </w:t>
      </w:r>
      <w:r w:rsidR="000F2C11" w:rsidRPr="0062293A">
        <w:rPr>
          <w:rFonts w:eastAsia="Cambria"/>
          <w:color w:val="FF0000"/>
        </w:rPr>
        <w:t>Referencing a Figure or Table Within Your Article</w:t>
      </w:r>
    </w:p>
    <w:p w14:paraId="15B83135" w14:textId="77777777" w:rsidR="00732E46" w:rsidRPr="0062293A" w:rsidRDefault="000F2C11">
      <w:pPr>
        <w:ind w:firstLine="144"/>
        <w:jc w:val="both"/>
        <w:rPr>
          <w:rFonts w:ascii="Times" w:eastAsia="Times" w:hAnsi="Times" w:cs="Times"/>
          <w:color w:val="FF0000"/>
        </w:rPr>
      </w:pPr>
      <w:r w:rsidRPr="0062293A">
        <w:rPr>
          <w:rFonts w:ascii="Times" w:eastAsia="Times" w:hAnsi="Times" w:cs="Times"/>
          <w:color w:val="FF0000"/>
        </w:rPr>
        <w:t xml:space="preserve">When referencing your figures and tables within your </w:t>
      </w:r>
      <w:r w:rsidRPr="0062293A">
        <w:rPr>
          <w:color w:val="FF0000"/>
        </w:rPr>
        <w:t>article</w:t>
      </w:r>
      <w:r w:rsidRPr="0062293A">
        <w:rPr>
          <w:rFonts w:ascii="Times" w:eastAsia="Times" w:hAnsi="Times" w:cs="Times"/>
          <w:color w:val="FF0000"/>
        </w:rPr>
        <w:t>, use the abbreviation “Fig.” even at the beginning of a sentence. Do not abbreviate “Table.” Tables should be numbered with Roman numerals.</w:t>
      </w:r>
    </w:p>
    <w:p w14:paraId="56447028" w14:textId="57BA5642" w:rsidR="00732E46" w:rsidRPr="0062293A" w:rsidRDefault="00732E46" w:rsidP="00A65256">
      <w:pPr>
        <w:spacing w:before="40"/>
        <w:jc w:val="both"/>
        <w:rPr>
          <w:color w:val="FF0000"/>
        </w:rPr>
      </w:pPr>
    </w:p>
    <w:p w14:paraId="1A8F8753" w14:textId="1C6131EF" w:rsidR="00732E46" w:rsidRPr="0062293A" w:rsidRDefault="00EF6430" w:rsidP="00827FB8">
      <w:pPr>
        <w:pStyle w:val="Heading2"/>
        <w:numPr>
          <w:ilvl w:val="0"/>
          <w:numId w:val="0"/>
        </w:numPr>
        <w:spacing w:before="100"/>
        <w:jc w:val="both"/>
        <w:rPr>
          <w:color w:val="FF0000"/>
        </w:rPr>
      </w:pPr>
      <w:r w:rsidRPr="0062293A">
        <w:rPr>
          <w:color w:val="FF0000"/>
        </w:rPr>
        <w:t xml:space="preserve">K. </w:t>
      </w:r>
      <w:r w:rsidR="000F2C11" w:rsidRPr="0062293A">
        <w:rPr>
          <w:color w:val="FF0000"/>
        </w:rPr>
        <w:t>Submitting Your Graphics</w:t>
      </w:r>
    </w:p>
    <w:p w14:paraId="0F4737FF" w14:textId="77777777" w:rsidR="00732E46" w:rsidRPr="0062293A" w:rsidRDefault="000F2C11">
      <w:pPr>
        <w:ind w:firstLine="144"/>
        <w:jc w:val="both"/>
        <w:rPr>
          <w:color w:val="FF0000"/>
          <w:spacing w:val="-2"/>
        </w:rPr>
      </w:pPr>
      <w:r w:rsidRPr="0062293A">
        <w:rPr>
          <w:color w:val="FF0000"/>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sidRPr="0062293A">
        <w:rPr>
          <w:color w:val="FF0000"/>
          <w:spacing w:val="-2"/>
          <w:highlight w:val="white"/>
        </w:rPr>
        <w:t>e.</w:t>
      </w:r>
      <w:r w:rsidRPr="0062293A">
        <w:rPr>
          <w:color w:val="FF0000"/>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E6438C" w:rsidR="00732E46" w:rsidRPr="0062293A" w:rsidRDefault="00732E46" w:rsidP="00A65256">
      <w:pPr>
        <w:spacing w:before="40"/>
        <w:jc w:val="both"/>
        <w:rPr>
          <w:color w:val="FF0000"/>
        </w:rPr>
      </w:pPr>
    </w:p>
    <w:p w14:paraId="29A5BA9E" w14:textId="11B1C491" w:rsidR="00732E46" w:rsidRPr="0062293A" w:rsidRDefault="00EF6430" w:rsidP="00827FB8">
      <w:pPr>
        <w:pStyle w:val="Heading2"/>
        <w:numPr>
          <w:ilvl w:val="0"/>
          <w:numId w:val="0"/>
        </w:numPr>
        <w:spacing w:before="100"/>
        <w:rPr>
          <w:i w:val="0"/>
          <w:color w:val="FF0000"/>
        </w:rPr>
      </w:pPr>
      <w:r w:rsidRPr="0062293A">
        <w:rPr>
          <w:color w:val="FF0000"/>
        </w:rPr>
        <w:t xml:space="preserve">L. </w:t>
      </w:r>
      <w:r w:rsidR="000F2C11" w:rsidRPr="0062293A">
        <w:rPr>
          <w:color w:val="FF0000"/>
        </w:rPr>
        <w:t>Color Processing / Printing in IEEE Transactions, Journals, and Letters</w:t>
      </w:r>
    </w:p>
    <w:p w14:paraId="55F51617" w14:textId="77777777" w:rsidR="00732E46" w:rsidRPr="0062293A" w:rsidRDefault="000F2C11">
      <w:pPr>
        <w:ind w:firstLine="144"/>
        <w:jc w:val="both"/>
        <w:rPr>
          <w:rFonts w:ascii="Times" w:eastAsia="Times" w:hAnsi="Times" w:cs="Times"/>
          <w:color w:val="FF0000"/>
        </w:rPr>
      </w:pPr>
      <w:r w:rsidRPr="0062293A">
        <w:rPr>
          <w:color w:val="FF0000"/>
        </w:rPr>
        <w:t xml:space="preserve">All IEEE Transactions, Journals, and Letters allow an author to publish color figures on IEEE </w:t>
      </w:r>
      <w:r w:rsidRPr="0062293A">
        <w:rPr>
          <w:i/>
          <w:color w:val="FF0000"/>
        </w:rPr>
        <w:t>Xplore</w:t>
      </w:r>
      <w:r w:rsidRPr="0062293A">
        <w:rPr>
          <w:color w:val="FF0000"/>
        </w:rPr>
        <w:t xml:space="preserve"> at no charge, and automatically convert them to grayscale for print versions. </w:t>
      </w:r>
      <w:r w:rsidRPr="0062293A">
        <w:rPr>
          <w:rFonts w:ascii="Times" w:eastAsia="Times" w:hAnsi="Times" w:cs="Times"/>
          <w:color w:val="FF0000"/>
        </w:rPr>
        <w:t xml:space="preserve">In most journals, figures and tables may alternatively be printed in color if an author chooses to do so. Please note that this service comes at an extra expense to the author. If you intend to have print color graphics, you will have the opportunity to indicate this in the Author Gateway and will be contacted by </w:t>
      </w:r>
      <w:proofErr w:type="spellStart"/>
      <w:r w:rsidRPr="0062293A">
        <w:rPr>
          <w:rFonts w:ascii="Times" w:eastAsia="Times" w:hAnsi="Times" w:cs="Times"/>
          <w:color w:val="FF0000"/>
        </w:rPr>
        <w:t>PubOps</w:t>
      </w:r>
      <w:proofErr w:type="spellEnd"/>
      <w:r w:rsidRPr="0062293A">
        <w:rPr>
          <w:rFonts w:ascii="Times" w:eastAsia="Times" w:hAnsi="Times" w:cs="Times"/>
          <w:color w:val="FF0000"/>
        </w:rPr>
        <w:t xml:space="preserve"> to confirm the charges.</w:t>
      </w:r>
    </w:p>
    <w:p w14:paraId="34DD075D" w14:textId="4A394D81" w:rsidR="00732E46" w:rsidRPr="00774445" w:rsidRDefault="00DB3364" w:rsidP="00D050EC">
      <w:pPr>
        <w:keepNext/>
        <w:pBdr>
          <w:top w:val="nil"/>
          <w:left w:val="nil"/>
          <w:bottom w:val="nil"/>
          <w:right w:val="nil"/>
          <w:between w:val="nil"/>
        </w:pBdr>
        <w:spacing w:before="240" w:after="80"/>
        <w:jc w:val="center"/>
      </w:pPr>
      <w:r w:rsidRPr="00774445">
        <w:rPr>
          <w:smallCaps/>
        </w:rPr>
        <w:t xml:space="preserve">V. </w:t>
      </w:r>
      <w:r w:rsidR="000F2C11" w:rsidRPr="00774445">
        <w:rPr>
          <w:smallCaps/>
        </w:rPr>
        <w:t>Conclusion</w:t>
      </w:r>
    </w:p>
    <w:p w14:paraId="64E169CA" w14:textId="77777777" w:rsidR="00C54B70" w:rsidRPr="0062293A" w:rsidRDefault="000F2C11" w:rsidP="007B62A7">
      <w:pPr>
        <w:ind w:firstLine="144"/>
        <w:jc w:val="both"/>
        <w:rPr>
          <w:color w:val="FF0000"/>
        </w:rPr>
      </w:pPr>
      <w:r w:rsidRPr="0062293A">
        <w:rPr>
          <w:color w:val="FF0000"/>
        </w:rPr>
        <w:t xml:space="preserve">A conclusion section is not required. Although a conclusion may review the main points of the article, do not </w:t>
      </w:r>
      <w:r w:rsidRPr="0062293A">
        <w:rPr>
          <w:rFonts w:ascii="Times" w:eastAsia="Times" w:hAnsi="Times" w:cs="Times"/>
          <w:color w:val="FF0000"/>
        </w:rPr>
        <w:t>replicate</w:t>
      </w:r>
      <w:r w:rsidRPr="0062293A">
        <w:rPr>
          <w:color w:val="FF0000"/>
        </w:rPr>
        <w:t xml:space="preserve"> the abstract as the conclusion. A conclusion might elaborate on the importance of the work or suggest applications and extensions.</w:t>
      </w:r>
    </w:p>
    <w:p w14:paraId="52521F00" w14:textId="77777777" w:rsidR="00732E46" w:rsidRPr="0062293A" w:rsidRDefault="000F2C11" w:rsidP="00A0149F">
      <w:pPr>
        <w:pStyle w:val="Heading1"/>
      </w:pPr>
      <w:r w:rsidRPr="0062293A">
        <w:t>Appendix</w:t>
      </w:r>
    </w:p>
    <w:p w14:paraId="337C2468" w14:textId="77777777" w:rsidR="00732E46" w:rsidRPr="0062293A" w:rsidRDefault="000F2C11">
      <w:pPr>
        <w:widowControl w:val="0"/>
        <w:pBdr>
          <w:top w:val="nil"/>
          <w:left w:val="nil"/>
          <w:bottom w:val="nil"/>
          <w:right w:val="nil"/>
          <w:between w:val="nil"/>
        </w:pBdr>
        <w:spacing w:line="252" w:lineRule="auto"/>
        <w:ind w:firstLine="202"/>
        <w:jc w:val="both"/>
        <w:rPr>
          <w:color w:val="FF0000"/>
        </w:rPr>
      </w:pPr>
      <w:r w:rsidRPr="0062293A">
        <w:rPr>
          <w:color w:val="FF0000"/>
        </w:rPr>
        <w:t>Appendixes, if needed, appear before the acknowledgment.</w:t>
      </w:r>
    </w:p>
    <w:p w14:paraId="74726847" w14:textId="77777777" w:rsidR="00732E46" w:rsidRPr="0062293A" w:rsidRDefault="000F2C11" w:rsidP="00A0149F">
      <w:pPr>
        <w:pStyle w:val="Heading1"/>
      </w:pPr>
      <w:bookmarkStart w:id="3" w:name="_heading=h.ji51hl1e8dp3" w:colFirst="0" w:colLast="0"/>
      <w:bookmarkEnd w:id="3"/>
      <w:r w:rsidRPr="0062293A">
        <w:t>References and Footnotes</w:t>
      </w:r>
    </w:p>
    <w:p w14:paraId="6417537E" w14:textId="3B3D54D6" w:rsidR="00732E46" w:rsidRPr="0062293A" w:rsidRDefault="00EF6430" w:rsidP="00827FB8">
      <w:pPr>
        <w:pStyle w:val="Heading2"/>
        <w:numPr>
          <w:ilvl w:val="0"/>
          <w:numId w:val="0"/>
        </w:numPr>
        <w:tabs>
          <w:tab w:val="left" w:pos="180"/>
        </w:tabs>
        <w:spacing w:before="140"/>
        <w:ind w:left="90"/>
        <w:rPr>
          <w:color w:val="FF0000"/>
        </w:rPr>
      </w:pPr>
      <w:r w:rsidRPr="0062293A">
        <w:rPr>
          <w:color w:val="FF0000"/>
        </w:rPr>
        <w:t xml:space="preserve">A. </w:t>
      </w:r>
      <w:r w:rsidR="000F2C11" w:rsidRPr="0062293A">
        <w:rPr>
          <w:color w:val="FF0000"/>
        </w:rPr>
        <w:t>References</w:t>
      </w:r>
    </w:p>
    <w:p w14:paraId="6DEAF198" w14:textId="6AC0F2D2" w:rsidR="00732E46" w:rsidRPr="0062293A" w:rsidRDefault="000F2C11">
      <w:pPr>
        <w:widowControl w:val="0"/>
        <w:pBdr>
          <w:top w:val="nil"/>
          <w:left w:val="nil"/>
          <w:bottom w:val="nil"/>
          <w:right w:val="nil"/>
          <w:between w:val="nil"/>
        </w:pBdr>
        <w:spacing w:line="252" w:lineRule="auto"/>
        <w:ind w:firstLine="202"/>
        <w:jc w:val="both"/>
        <w:rPr>
          <w:color w:val="FF0000"/>
        </w:rPr>
      </w:pPr>
      <w:r w:rsidRPr="0062293A">
        <w:rPr>
          <w:color w:val="FF0000"/>
        </w:rPr>
        <w:t xml:space="preserve">References need not be cited in text. When they are, they appear on the line, in square brackets, inside the punctuation. </w:t>
      </w:r>
      <w:r w:rsidRPr="0062293A">
        <w:rPr>
          <w:color w:val="FF0000"/>
        </w:rPr>
        <w:lastRenderedPageBreak/>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62293A">
        <w:rPr>
          <w:color w:val="FF0000"/>
        </w:rPr>
        <w:t>... .”</w:t>
      </w:r>
      <w:proofErr w:type="gramEnd"/>
      <w:r w:rsidRPr="0062293A">
        <w:rPr>
          <w:color w:val="FF0000"/>
        </w:rPr>
        <w:t xml:space="preserve"> Please do not use automatic endnotes in </w:t>
      </w:r>
      <w:r w:rsidRPr="0062293A">
        <w:rPr>
          <w:i/>
          <w:color w:val="FF0000"/>
        </w:rPr>
        <w:t>Word</w:t>
      </w:r>
      <w:r w:rsidRPr="0062293A">
        <w:rPr>
          <w:color w:val="FF0000"/>
        </w:rPr>
        <w:t>, rather, type the reference list at the end of the paper using the “References” style.</w:t>
      </w:r>
    </w:p>
    <w:p w14:paraId="694358D7" w14:textId="1DB68CD7" w:rsidR="00732E46" w:rsidRPr="0062293A" w:rsidRDefault="000F2C11">
      <w:pPr>
        <w:widowControl w:val="0"/>
        <w:pBdr>
          <w:top w:val="nil"/>
          <w:left w:val="nil"/>
          <w:bottom w:val="nil"/>
          <w:right w:val="nil"/>
          <w:between w:val="nil"/>
        </w:pBdr>
        <w:spacing w:line="252" w:lineRule="auto"/>
        <w:ind w:firstLine="144"/>
        <w:jc w:val="both"/>
        <w:rPr>
          <w:color w:val="FF0000"/>
          <w:spacing w:val="-4"/>
        </w:rPr>
      </w:pPr>
      <w:r w:rsidRPr="0062293A">
        <w:rPr>
          <w:color w:val="FF0000"/>
          <w:spacing w:val="-4"/>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sidRPr="0062293A">
        <w:rPr>
          <w:i/>
          <w:color w:val="FF0000"/>
          <w:spacing w:val="-4"/>
        </w:rPr>
        <w:t>et al</w:t>
      </w:r>
      <w:r w:rsidRPr="0062293A">
        <w:rPr>
          <w:color w:val="FF0000"/>
          <w:spacing w:val="-4"/>
        </w:rPr>
        <w:t xml:space="preserve">. only if names are not given or if there are more than 6 authors. Use commas around Jr., Sr., and III in names. Abbreviate conference titles. When citing IEEE Transactions, provide the issue number, page range, volume number, month if available, and 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62293A" w:rsidRDefault="000F2C11">
      <w:pPr>
        <w:widowControl w:val="0"/>
        <w:pBdr>
          <w:top w:val="nil"/>
          <w:left w:val="nil"/>
          <w:bottom w:val="nil"/>
          <w:right w:val="nil"/>
          <w:between w:val="nil"/>
        </w:pBdr>
        <w:spacing w:line="252" w:lineRule="auto"/>
        <w:ind w:firstLine="144"/>
        <w:jc w:val="both"/>
        <w:rPr>
          <w:color w:val="FF0000"/>
          <w:spacing w:val="-2"/>
        </w:rPr>
      </w:pPr>
      <w:r w:rsidRPr="0062293A">
        <w:rPr>
          <w:color w:val="FF0000"/>
          <w:spacing w:val="-2"/>
        </w:rPr>
        <w:t xml:space="preserve">Other than books, capitalize only the first word in an article title, except for proper nouns and element symbols. For articles 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62293A">
        <w:rPr>
          <w:i/>
          <w:iCs/>
          <w:color w:val="FF0000"/>
          <w:spacing w:val="-2"/>
        </w:rPr>
        <w:t>IEEE Editorial Style Manual</w:t>
      </w:r>
      <w:r w:rsidRPr="0062293A">
        <w:rPr>
          <w:color w:val="FF0000"/>
          <w:spacing w:val="-2"/>
        </w:rPr>
        <w:t xml:space="preserve"> </w:t>
      </w:r>
      <w:r w:rsidR="00A530D2" w:rsidRPr="0062293A">
        <w:rPr>
          <w:i/>
          <w:iCs/>
          <w:color w:val="FF0000"/>
          <w:spacing w:val="-2"/>
        </w:rPr>
        <w:t xml:space="preserve">for Authors </w:t>
      </w:r>
      <w:r w:rsidRPr="0062293A">
        <w:rPr>
          <w:color w:val="FF0000"/>
          <w:spacing w:val="-2"/>
        </w:rPr>
        <w:t xml:space="preserve">at </w:t>
      </w:r>
      <w:hyperlink r:id="rId19">
        <w:r w:rsidRPr="0062293A">
          <w:rPr>
            <w:color w:val="FF0000"/>
            <w:spacing w:val="-2"/>
            <w:sz w:val="19"/>
            <w:szCs w:val="19"/>
            <w:highlight w:val="white"/>
            <w:u w:val="single"/>
          </w:rPr>
          <w:t>https://journals.ieeeauthorcenter.ieee.org/create-your-ieee-journal-article/create-the-text-of-your-article/ieee-editorial-style-manual/</w:t>
        </w:r>
      </w:hyperlink>
      <w:r w:rsidRPr="0062293A">
        <w:rPr>
          <w:color w:val="FF0000"/>
          <w:spacing w:val="-2"/>
        </w:rPr>
        <w:t>.</w:t>
      </w:r>
    </w:p>
    <w:p w14:paraId="1DE45720" w14:textId="77777777" w:rsidR="001F512A" w:rsidRPr="0062293A" w:rsidRDefault="001F512A">
      <w:pPr>
        <w:widowControl w:val="0"/>
        <w:pBdr>
          <w:top w:val="nil"/>
          <w:left w:val="nil"/>
          <w:bottom w:val="nil"/>
          <w:right w:val="nil"/>
          <w:between w:val="nil"/>
        </w:pBdr>
        <w:spacing w:line="252" w:lineRule="auto"/>
        <w:ind w:firstLine="144"/>
        <w:jc w:val="both"/>
        <w:rPr>
          <w:color w:val="FF0000"/>
        </w:rPr>
      </w:pPr>
    </w:p>
    <w:p w14:paraId="33D9B8F6" w14:textId="4F3C62E8" w:rsidR="00732E46" w:rsidRPr="0062293A" w:rsidRDefault="00EF6430" w:rsidP="00EF6430">
      <w:pPr>
        <w:pStyle w:val="Heading2"/>
        <w:numPr>
          <w:ilvl w:val="0"/>
          <w:numId w:val="0"/>
        </w:numPr>
        <w:rPr>
          <w:color w:val="FF0000"/>
        </w:rPr>
      </w:pPr>
      <w:r w:rsidRPr="0062293A">
        <w:rPr>
          <w:color w:val="FF0000"/>
        </w:rPr>
        <w:t xml:space="preserve">B. </w:t>
      </w:r>
      <w:r w:rsidR="000F2C11" w:rsidRPr="0062293A">
        <w:rPr>
          <w:color w:val="FF0000"/>
        </w:rPr>
        <w:t>Footnotes</w:t>
      </w:r>
    </w:p>
    <w:p w14:paraId="42999174" w14:textId="2A5100B6" w:rsidR="00732E46" w:rsidRPr="0062293A" w:rsidRDefault="000F2C11">
      <w:pPr>
        <w:widowControl w:val="0"/>
        <w:pBdr>
          <w:top w:val="nil"/>
          <w:left w:val="nil"/>
          <w:bottom w:val="nil"/>
          <w:right w:val="nil"/>
          <w:between w:val="nil"/>
        </w:pBdr>
        <w:spacing w:line="252" w:lineRule="auto"/>
        <w:ind w:firstLine="202"/>
        <w:jc w:val="both"/>
        <w:rPr>
          <w:color w:val="FF0000"/>
        </w:rPr>
      </w:pPr>
      <w:r w:rsidRPr="0062293A">
        <w:rPr>
          <w:color w:val="FF0000"/>
        </w:rPr>
        <w:t>Number footnotes separately in superscripts (Insert | Footnote).</w:t>
      </w:r>
      <w:r w:rsidRPr="0062293A">
        <w:rPr>
          <w:color w:val="FF0000"/>
          <w:vertAlign w:val="superscript"/>
        </w:rPr>
        <w:footnoteReference w:id="2"/>
      </w:r>
      <w:r w:rsidRPr="0062293A">
        <w:rPr>
          <w:color w:val="FF0000"/>
        </w:rPr>
        <w:t xml:space="preserve"> Place the actual footnote at the bottom of the column in which it is cited; do not put footnotes in the reference list (endnotes). Use letters for table footnotes (see Table I). </w:t>
      </w:r>
    </w:p>
    <w:p w14:paraId="4CEB8735" w14:textId="21956F37" w:rsidR="00732E46" w:rsidRPr="0062293A" w:rsidRDefault="000F2C11" w:rsidP="00A0149F">
      <w:pPr>
        <w:pStyle w:val="Heading1"/>
      </w:pPr>
      <w:r w:rsidRPr="0062293A">
        <w:t xml:space="preserve">Submitting Your </w:t>
      </w:r>
      <w:r w:rsidR="00E57D3D" w:rsidRPr="0062293A">
        <w:t xml:space="preserve">Article </w:t>
      </w:r>
      <w:r w:rsidRPr="0062293A">
        <w:t>for Review</w:t>
      </w:r>
    </w:p>
    <w:p w14:paraId="02AED5B9" w14:textId="281E4866" w:rsidR="00732E46" w:rsidRPr="0062293A" w:rsidRDefault="00EF6430" w:rsidP="00EF6430">
      <w:pPr>
        <w:pStyle w:val="Heading2"/>
        <w:numPr>
          <w:ilvl w:val="0"/>
          <w:numId w:val="0"/>
        </w:numPr>
        <w:rPr>
          <w:color w:val="FF0000"/>
        </w:rPr>
      </w:pPr>
      <w:r w:rsidRPr="0062293A">
        <w:rPr>
          <w:color w:val="FF0000"/>
        </w:rPr>
        <w:t xml:space="preserve">A. </w:t>
      </w:r>
      <w:r w:rsidR="000F2C11" w:rsidRPr="0062293A">
        <w:rPr>
          <w:color w:val="FF0000"/>
        </w:rPr>
        <w:t xml:space="preserve">Review Stage Using </w:t>
      </w:r>
      <w:proofErr w:type="spellStart"/>
      <w:r w:rsidR="000F2C11" w:rsidRPr="0062293A">
        <w:rPr>
          <w:color w:val="FF0000"/>
        </w:rPr>
        <w:t>ScholarOne</w:t>
      </w:r>
      <w:proofErr w:type="spellEnd"/>
      <w:r w:rsidR="000F2C11" w:rsidRPr="0062293A">
        <w:rPr>
          <w:color w:val="FF0000"/>
        </w:rPr>
        <w:t xml:space="preserve"> Manuscripts</w:t>
      </w:r>
    </w:p>
    <w:p w14:paraId="11B24C45" w14:textId="087C76F6" w:rsidR="00732E46" w:rsidRPr="0062293A" w:rsidRDefault="000F2C11" w:rsidP="007B62A7">
      <w:pPr>
        <w:tabs>
          <w:tab w:val="left" w:pos="360"/>
        </w:tabs>
        <w:ind w:firstLine="144"/>
        <w:jc w:val="both"/>
        <w:rPr>
          <w:color w:val="FF0000"/>
        </w:rPr>
      </w:pPr>
      <w:r w:rsidRPr="0062293A">
        <w:rPr>
          <w:color w:val="FF0000"/>
        </w:rPr>
        <w:t xml:space="preserve">Contributions to the Transactions, Journals, and Letters may be submitted electronically on IEEE’s online manuscript submission and peer-review system, </w:t>
      </w:r>
      <w:proofErr w:type="spellStart"/>
      <w:r w:rsidRPr="0062293A">
        <w:rPr>
          <w:color w:val="FF0000"/>
        </w:rPr>
        <w:t>ScholarOne</w:t>
      </w:r>
      <w:proofErr w:type="spellEnd"/>
      <w:r w:rsidRPr="0062293A">
        <w:rPr>
          <w:color w:val="FF0000"/>
        </w:rPr>
        <w:t xml:space="preserve"> Manuscripts. You can get help choosing the correct publication for your manuscript as well as find their corresponding </w:t>
      </w:r>
      <w:proofErr w:type="spellStart"/>
      <w:r w:rsidRPr="0062293A">
        <w:rPr>
          <w:color w:val="FF0000"/>
        </w:rPr>
        <w:t>ScholarOne</w:t>
      </w:r>
      <w:proofErr w:type="spellEnd"/>
      <w:r w:rsidRPr="0062293A">
        <w:rPr>
          <w:color w:val="FF0000"/>
        </w:rPr>
        <w:t xml:space="preserve"> Manuscripts peer review site using the tools listed at</w:t>
      </w:r>
      <w:r w:rsidR="00E57D3D" w:rsidRPr="0062293A">
        <w:rPr>
          <w:color w:val="FF0000"/>
        </w:rPr>
        <w:t xml:space="preserve"> </w:t>
      </w:r>
      <w:hyperlink r:id="rId20">
        <w:r w:rsidRPr="0062293A">
          <w:rPr>
            <w:color w:val="FF0000"/>
            <w:u w:val="single"/>
          </w:rPr>
          <w:t>http://www.ieee.org/publications_standards/publications/authors/authors_submission.html</w:t>
        </w:r>
      </w:hyperlink>
      <w:r w:rsidRPr="0062293A">
        <w:rPr>
          <w:color w:val="FF0000"/>
        </w:rPr>
        <w:t xml:space="preserve"> Once you have chosen your publication and navigated to the </w:t>
      </w:r>
      <w:proofErr w:type="spellStart"/>
      <w:r w:rsidRPr="0062293A">
        <w:rPr>
          <w:color w:val="FF0000"/>
        </w:rPr>
        <w:t>ScholarOne</w:t>
      </w:r>
      <w:proofErr w:type="spellEnd"/>
      <w:r w:rsidRPr="0062293A">
        <w:rPr>
          <w:color w:val="FF0000"/>
        </w:rPr>
        <w:t xml:space="preserve"> site, check first to see if you have an existing account. If there is none, please </w:t>
      </w:r>
      <w:r w:rsidRPr="0062293A">
        <w:rPr>
          <w:color w:val="FF0000"/>
        </w:rPr>
        <w:t>create a new account. After logging in, go to your Author Center and click “Start New Submission.”</w:t>
      </w:r>
    </w:p>
    <w:p w14:paraId="0024B00E" w14:textId="33C269C5" w:rsidR="00732E46" w:rsidRPr="0062293A" w:rsidRDefault="000F2C11" w:rsidP="00D050EC">
      <w:pPr>
        <w:ind w:firstLine="144"/>
        <w:jc w:val="both"/>
        <w:rPr>
          <w:color w:val="FF0000"/>
        </w:rPr>
      </w:pPr>
      <w:r w:rsidRPr="0062293A">
        <w:rPr>
          <w:color w:val="FF0000"/>
        </w:rPr>
        <w:t>Along with other information, you will be asked to select the manuscript type from the journal’s pre-determined list of options</w:t>
      </w:r>
      <w:r w:rsidR="00E45781" w:rsidRPr="0062293A">
        <w:rPr>
          <w:color w:val="FF0000"/>
        </w:rPr>
        <w:t>.</w:t>
      </w:r>
      <w:r w:rsidRPr="0062293A">
        <w:rPr>
          <w:color w:val="FF0000"/>
        </w:rPr>
        <w:t xml:space="preserve"> Depending on the journal, there are various steps to the submission process; please make sure to carefully answer all of the </w:t>
      </w:r>
      <w:r w:rsidRPr="0062293A">
        <w:rPr>
          <w:rFonts w:ascii="Times" w:eastAsia="Times" w:hAnsi="Times" w:cs="Times"/>
          <w:color w:val="FF0000"/>
        </w:rPr>
        <w:t>submission</w:t>
      </w:r>
      <w:r w:rsidRPr="0062293A">
        <w:rPr>
          <w:color w:val="FF0000"/>
        </w:rPr>
        <w:t xml:space="preserve">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62293A">
        <w:rPr>
          <w:color w:val="FF0000"/>
        </w:rPr>
        <w:t>ScholarOne</w:t>
      </w:r>
      <w:proofErr w:type="spellEnd"/>
      <w:r w:rsidRPr="0062293A">
        <w:rPr>
          <w:color w:val="FF0000"/>
        </w:rPr>
        <w:t xml:space="preserve"> Manuscripts, please contact oprs-support@ieee.org or call +1 732 465 5861.</w:t>
      </w:r>
    </w:p>
    <w:p w14:paraId="1A82A7C6" w14:textId="4460738C" w:rsidR="00732E46" w:rsidRPr="0062293A" w:rsidRDefault="000F2C11" w:rsidP="00D050EC">
      <w:pPr>
        <w:ind w:firstLine="144"/>
        <w:jc w:val="both"/>
        <w:rPr>
          <w:color w:val="FF0000"/>
        </w:rPr>
      </w:pPr>
      <w:proofErr w:type="spellStart"/>
      <w:r w:rsidRPr="0062293A">
        <w:rPr>
          <w:color w:val="FF0000"/>
        </w:rPr>
        <w:t>ScholarOne</w:t>
      </w:r>
      <w:proofErr w:type="spellEnd"/>
      <w:r w:rsidRPr="0062293A">
        <w:rPr>
          <w:color w:val="FF0000"/>
        </w:rPr>
        <w:t xml:space="preserve"> Manuscripts will accept files for review in various formats. </w:t>
      </w:r>
      <w:r w:rsidR="0080720F" w:rsidRPr="0062293A">
        <w:rPr>
          <w:color w:val="FF0000"/>
        </w:rPr>
        <w:t>T</w:t>
      </w:r>
      <w:r w:rsidRPr="0062293A">
        <w:rPr>
          <w:color w:val="FF0000"/>
        </w:rPr>
        <w:t>here is a “Journal Home</w:t>
      </w:r>
      <w:r w:rsidR="0080720F" w:rsidRPr="0062293A">
        <w:rPr>
          <w:color w:val="FF0000"/>
        </w:rPr>
        <w:t>”</w:t>
      </w:r>
      <w:r w:rsidRPr="0062293A">
        <w:rPr>
          <w:color w:val="FF0000"/>
        </w:rPr>
        <w:t xml:space="preserve"> link on the log-in page of each </w:t>
      </w:r>
      <w:proofErr w:type="spellStart"/>
      <w:r w:rsidRPr="0062293A">
        <w:rPr>
          <w:color w:val="FF0000"/>
        </w:rPr>
        <w:t>ScholarOne</w:t>
      </w:r>
      <w:proofErr w:type="spellEnd"/>
      <w:r w:rsidRPr="0062293A">
        <w:rPr>
          <w:color w:val="FF0000"/>
        </w:rPr>
        <w:t xml:space="preserve"> Manuscripts site that will bring you to the journal’s homepage with their detailed requirements; please check these guidelines for your particular journal before you submit.  </w:t>
      </w:r>
    </w:p>
    <w:p w14:paraId="03B9F038" w14:textId="77777777" w:rsidR="001F512A" w:rsidRPr="0062293A" w:rsidRDefault="001F512A">
      <w:pPr>
        <w:tabs>
          <w:tab w:val="left" w:pos="360"/>
        </w:tabs>
        <w:jc w:val="both"/>
        <w:rPr>
          <w:color w:val="FF0000"/>
        </w:rPr>
      </w:pPr>
    </w:p>
    <w:p w14:paraId="21CD2FA6" w14:textId="224F6972" w:rsidR="00732E46" w:rsidRPr="0062293A" w:rsidRDefault="00EF6430" w:rsidP="00EF6430">
      <w:pPr>
        <w:pStyle w:val="Heading2"/>
        <w:numPr>
          <w:ilvl w:val="0"/>
          <w:numId w:val="0"/>
        </w:numPr>
        <w:rPr>
          <w:color w:val="FF0000"/>
        </w:rPr>
      </w:pPr>
      <w:r w:rsidRPr="0062293A">
        <w:rPr>
          <w:color w:val="FF0000"/>
        </w:rPr>
        <w:t xml:space="preserve">B. </w:t>
      </w:r>
      <w:r w:rsidR="000F2C11" w:rsidRPr="0062293A">
        <w:rPr>
          <w:color w:val="FF0000"/>
        </w:rPr>
        <w:t xml:space="preserve">Final Stage Using </w:t>
      </w:r>
      <w:proofErr w:type="spellStart"/>
      <w:r w:rsidR="000F2C11" w:rsidRPr="0062293A">
        <w:rPr>
          <w:color w:val="FF0000"/>
        </w:rPr>
        <w:t>ScholarOne</w:t>
      </w:r>
      <w:proofErr w:type="spellEnd"/>
      <w:r w:rsidR="000F2C11" w:rsidRPr="0062293A">
        <w:rPr>
          <w:color w:val="FF0000"/>
        </w:rPr>
        <w:t xml:space="preserve"> Manuscripts</w:t>
      </w:r>
    </w:p>
    <w:p w14:paraId="57A9A954" w14:textId="48F21AC0" w:rsidR="00732E46" w:rsidRPr="0062293A" w:rsidRDefault="000F2C11" w:rsidP="007B62A7">
      <w:pPr>
        <w:ind w:firstLine="144"/>
        <w:jc w:val="both"/>
        <w:rPr>
          <w:color w:val="FF0000"/>
        </w:rPr>
      </w:pPr>
      <w:r w:rsidRPr="0062293A">
        <w:rPr>
          <w:color w:val="FF0000"/>
        </w:rPr>
        <w:t xml:space="preserve">Upon acceptance, you will receive an email with specific instructions regarding the submission of your final files. To avoid any delays in publication, please be sure to follow these instructions. </w:t>
      </w:r>
      <w:r w:rsidR="0080720F" w:rsidRPr="0062293A">
        <w:rPr>
          <w:color w:val="FF0000"/>
        </w:rPr>
        <w:t>Fi</w:t>
      </w:r>
      <w:r w:rsidRPr="0062293A">
        <w:rPr>
          <w:color w:val="FF0000"/>
        </w:rP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33D988D" w:rsidR="00732E46" w:rsidRPr="0062293A" w:rsidRDefault="000F2C11" w:rsidP="00D050EC">
      <w:pPr>
        <w:ind w:firstLine="144"/>
        <w:jc w:val="both"/>
        <w:rPr>
          <w:color w:val="FF0000"/>
        </w:rPr>
      </w:pPr>
      <w:r w:rsidRPr="0062293A">
        <w:rPr>
          <w:color w:val="FF0000"/>
        </w:rPr>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rsidRPr="0062293A">
        <w:rPr>
          <w:color w:val="FF0000"/>
        </w:rPr>
        <w:t>ScholarOne</w:t>
      </w:r>
      <w:proofErr w:type="spellEnd"/>
      <w:r w:rsidRPr="0062293A">
        <w:rPr>
          <w:color w:val="FF0000"/>
        </w:rPr>
        <w:t xml:space="preserve"> Manuscripts you will be automatically redirected to the IEEE electronic copyright form wizard. Please complete the copyright at that time to avoid publication delays. </w:t>
      </w:r>
    </w:p>
    <w:p w14:paraId="5DC46466" w14:textId="618BA0BF" w:rsidR="00732E46" w:rsidRPr="0062293A" w:rsidRDefault="00EF6430" w:rsidP="008856C3">
      <w:pPr>
        <w:pStyle w:val="Heading2"/>
        <w:numPr>
          <w:ilvl w:val="0"/>
          <w:numId w:val="0"/>
        </w:numPr>
        <w:rPr>
          <w:color w:val="FF0000"/>
        </w:rPr>
      </w:pPr>
      <w:r w:rsidRPr="0062293A">
        <w:rPr>
          <w:color w:val="FF0000"/>
        </w:rPr>
        <w:t xml:space="preserve">C. </w:t>
      </w:r>
      <w:r w:rsidR="000F2C11" w:rsidRPr="0062293A">
        <w:rPr>
          <w:color w:val="FF0000"/>
        </w:rPr>
        <w:t>Copyright Form</w:t>
      </w:r>
    </w:p>
    <w:p w14:paraId="524C8A86" w14:textId="7794EDF2" w:rsidR="00732E46" w:rsidRPr="0062293A" w:rsidRDefault="000F2C11">
      <w:pPr>
        <w:widowControl w:val="0"/>
        <w:pBdr>
          <w:top w:val="nil"/>
          <w:left w:val="nil"/>
          <w:bottom w:val="nil"/>
          <w:right w:val="nil"/>
          <w:between w:val="nil"/>
        </w:pBdr>
        <w:spacing w:line="252" w:lineRule="auto"/>
        <w:ind w:firstLine="202"/>
        <w:jc w:val="both"/>
        <w:rPr>
          <w:color w:val="FF0000"/>
          <w:spacing w:val="-2"/>
        </w:rPr>
      </w:pPr>
      <w:r w:rsidRPr="0062293A">
        <w:rPr>
          <w:color w:val="FF0000"/>
          <w:spacing w:val="-2"/>
          <w:highlight w:val="white"/>
        </w:rPr>
        <w:t>Authors must submit an electronic IEEE Copyright Form (</w:t>
      </w:r>
      <w:proofErr w:type="spellStart"/>
      <w:r w:rsidRPr="0062293A">
        <w:rPr>
          <w:color w:val="FF0000"/>
          <w:spacing w:val="-2"/>
          <w:highlight w:val="white"/>
        </w:rPr>
        <w:t>eCF</w:t>
      </w:r>
      <w:proofErr w:type="spellEnd"/>
      <w:r w:rsidRPr="0062293A">
        <w:rPr>
          <w:color w:val="FF0000"/>
          <w:spacing w:val="-2"/>
          <w:highlight w:val="white"/>
        </w:rPr>
        <w:t xml:space="preserve">) upon submitting their final manuscript files. You can access the </w:t>
      </w:r>
      <w:proofErr w:type="spellStart"/>
      <w:r w:rsidRPr="0062293A">
        <w:rPr>
          <w:color w:val="FF0000"/>
          <w:spacing w:val="-2"/>
          <w:highlight w:val="white"/>
        </w:rPr>
        <w:t>eCF</w:t>
      </w:r>
      <w:proofErr w:type="spellEnd"/>
      <w:r w:rsidRPr="0062293A">
        <w:rPr>
          <w:color w:val="FF0000"/>
          <w:spacing w:val="-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1" w:history="1">
        <w:r w:rsidR="006B68F3" w:rsidRPr="0062293A">
          <w:rPr>
            <w:rStyle w:val="Hyperlink"/>
            <w:color w:val="FF0000"/>
            <w:spacing w:val="-2"/>
            <w:highlight w:val="white"/>
          </w:rPr>
          <w:t>https://www.ieee.org/publications/rights/index.html</w:t>
        </w:r>
      </w:hyperlink>
      <w:hyperlink r:id="rId22">
        <w:r w:rsidRPr="0062293A">
          <w:rPr>
            <w:color w:val="FF0000"/>
            <w:spacing w:val="-2"/>
            <w:highlight w:val="white"/>
            <w:u w:val="single"/>
          </w:rPr>
          <w:t xml:space="preserve"> </w:t>
        </w:r>
      </w:hyperlink>
    </w:p>
    <w:p w14:paraId="5D6B1EFA" w14:textId="77777777" w:rsidR="00732E46" w:rsidRPr="0062293A" w:rsidRDefault="000F2C11" w:rsidP="00A0149F">
      <w:pPr>
        <w:pStyle w:val="Heading1"/>
      </w:pPr>
      <w:r w:rsidRPr="0062293A">
        <w:t>IEEE Guidelines and Policies</w:t>
      </w:r>
    </w:p>
    <w:p w14:paraId="71905707" w14:textId="400CA6B1" w:rsidR="00732E46" w:rsidRPr="0062293A" w:rsidRDefault="000F2C11" w:rsidP="007B62A7">
      <w:pPr>
        <w:widowControl w:val="0"/>
        <w:pBdr>
          <w:top w:val="nil"/>
          <w:left w:val="nil"/>
          <w:bottom w:val="nil"/>
          <w:right w:val="nil"/>
          <w:between w:val="nil"/>
        </w:pBdr>
        <w:spacing w:line="252" w:lineRule="auto"/>
        <w:ind w:firstLine="202"/>
        <w:jc w:val="both"/>
        <w:rPr>
          <w:color w:val="FF0000"/>
        </w:rPr>
      </w:pPr>
      <w:r w:rsidRPr="0062293A">
        <w:rPr>
          <w:color w:val="FF0000"/>
          <w:highlight w:val="white"/>
        </w:rPr>
        <w:t xml:space="preserve">A full overview of IEEE publishing guidelines and policies can be found at </w:t>
      </w:r>
      <w:hyperlink r:id="rId23" w:history="1">
        <w:r w:rsidR="006F18B8" w:rsidRPr="0062293A">
          <w:rPr>
            <w:rStyle w:val="Hyperlink"/>
            <w:color w:val="FF0000"/>
            <w:highlight w:val="white"/>
          </w:rPr>
          <w:t>https://journals.ieeeauthorcenter.ieee.org/</w:t>
        </w:r>
        <w:r w:rsidR="006F18B8" w:rsidRPr="0062293A">
          <w:rPr>
            <w:rStyle w:val="Hyperlink"/>
            <w:color w:val="FF0000"/>
            <w:highlight w:val="white"/>
          </w:rPr>
          <w:br/>
          <w:t>become-an-ieee-journal-author/publishing-ethics/guidelines-and-policies/</w:t>
        </w:r>
      </w:hyperlink>
      <w:r w:rsidRPr="0062293A">
        <w:rPr>
          <w:color w:val="FF0000"/>
          <w:highlight w:val="white"/>
        </w:rPr>
        <w:t xml:space="preserve">. They are designed to help authors understand and navigate the publishing process successfully. </w:t>
      </w:r>
      <w:r w:rsidR="00E45781" w:rsidRPr="0062293A">
        <w:rPr>
          <w:color w:val="FF0000"/>
          <w:highlight w:val="white"/>
        </w:rPr>
        <w:t>L</w:t>
      </w:r>
      <w:r w:rsidRPr="0062293A">
        <w:rPr>
          <w:color w:val="FF0000"/>
          <w:highlight w:val="white"/>
        </w:rPr>
        <w:t xml:space="preserve">earn more </w:t>
      </w:r>
      <w:r w:rsidRPr="0062293A">
        <w:rPr>
          <w:color w:val="FF0000"/>
          <w:highlight w:val="white"/>
        </w:rPr>
        <w:lastRenderedPageBreak/>
        <w:t>about IEEE’s fundamental publishing guidelines and principles, submission and peer review policies, post-publication policies, and guidelines on advertising, accessibility, and data privacy.</w:t>
      </w:r>
    </w:p>
    <w:p w14:paraId="48F8D56C" w14:textId="77777777" w:rsidR="00D10AC8" w:rsidRPr="0062293A" w:rsidRDefault="00D10AC8" w:rsidP="00A0149F">
      <w:pPr>
        <w:pStyle w:val="Heading1"/>
      </w:pPr>
      <w:r w:rsidRPr="0062293A">
        <w:t>Acknowledgment</w:t>
      </w:r>
    </w:p>
    <w:p w14:paraId="49678B33" w14:textId="7178244B" w:rsidR="00732E46" w:rsidRPr="0062293A" w:rsidRDefault="00D10AC8" w:rsidP="00180E1F">
      <w:pPr>
        <w:widowControl w:val="0"/>
        <w:pBdr>
          <w:top w:val="nil"/>
          <w:left w:val="nil"/>
          <w:bottom w:val="nil"/>
          <w:right w:val="nil"/>
          <w:between w:val="nil"/>
        </w:pBdr>
        <w:spacing w:line="252" w:lineRule="auto"/>
        <w:ind w:firstLine="202"/>
        <w:jc w:val="both"/>
        <w:rPr>
          <w:color w:val="FF0000"/>
          <w:sz w:val="16"/>
          <w:szCs w:val="16"/>
        </w:rPr>
      </w:pPr>
      <w:r w:rsidRPr="0062293A">
        <w:rPr>
          <w:color w:val="FF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62293A">
        <w:rPr>
          <w:color w:val="FF0000"/>
        </w:rPr>
        <w:t>... .”</w:t>
      </w:r>
      <w:proofErr w:type="gramEnd"/>
      <w:r w:rsidRPr="0062293A">
        <w:rPr>
          <w:color w:val="FF0000"/>
        </w:rPr>
        <w:t xml:space="preserve"> Instead, write “F. A. Author thanks </w:t>
      </w:r>
      <w:proofErr w:type="gramStart"/>
      <w:r w:rsidRPr="0062293A">
        <w:rPr>
          <w:color w:val="FF0000"/>
        </w:rPr>
        <w:t>... .”</w:t>
      </w:r>
      <w:proofErr w:type="gramEnd"/>
      <w:r w:rsidRPr="0062293A">
        <w:rPr>
          <w:color w:val="FF0000"/>
        </w:rPr>
        <w:t xml:space="preserve"> In most cases, sponsor and financial support acknowledgments are placed in the unnumbered footnote on the first page, not here.</w:t>
      </w:r>
    </w:p>
    <w:sdt>
      <w:sdtPr>
        <w:rPr>
          <w:smallCaps w:val="0"/>
          <w:kern w:val="0"/>
        </w:rPr>
        <w:id w:val="-1843929047"/>
        <w:docPartObj>
          <w:docPartGallery w:val="Bibliographies"/>
          <w:docPartUnique/>
        </w:docPartObj>
      </w:sdtPr>
      <w:sdtEndPr/>
      <w:sdtContent>
        <w:p w14:paraId="52445932" w14:textId="6A7BAFF7" w:rsidR="00180E1F" w:rsidRDefault="00180E1F">
          <w:pPr>
            <w:pStyle w:val="Heading1"/>
          </w:pPr>
          <w:r>
            <w:t>References</w:t>
          </w:r>
        </w:p>
        <w:sdt>
          <w:sdtPr>
            <w:id w:val="-573587230"/>
            <w:bibliography/>
          </w:sdtPr>
          <w:sdtEndPr/>
          <w:sdtContent>
            <w:p w14:paraId="231EA750" w14:textId="6A055ADD" w:rsidR="00180E1F" w:rsidRDefault="00180E1F">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9F5C88B" w14:textId="77777777" w:rsidR="00DA5A9A" w:rsidRDefault="00DA5A9A" w:rsidP="001F2329">
      <w:pPr>
        <w:pBdr>
          <w:top w:val="nil"/>
          <w:left w:val="nil"/>
          <w:bottom w:val="nil"/>
          <w:right w:val="nil"/>
          <w:between w:val="nil"/>
        </w:pBdr>
        <w:spacing w:before="30"/>
        <w:jc w:val="both"/>
        <w:rPr>
          <w:rFonts w:ascii="Times" w:eastAsia="Times" w:hAnsi="Times" w:cs="Times"/>
          <w:i/>
          <w:color w:val="FF0000"/>
        </w:rPr>
      </w:pPr>
    </w:p>
    <w:p w14:paraId="7F51E9C3" w14:textId="77777777" w:rsidR="00180E1F" w:rsidRPr="0062293A" w:rsidRDefault="00180E1F" w:rsidP="001F2329">
      <w:pPr>
        <w:pBdr>
          <w:top w:val="nil"/>
          <w:left w:val="nil"/>
          <w:bottom w:val="nil"/>
          <w:right w:val="nil"/>
          <w:between w:val="nil"/>
        </w:pBdr>
        <w:spacing w:before="30"/>
        <w:jc w:val="both"/>
        <w:rPr>
          <w:color w:val="FF0000"/>
        </w:rPr>
      </w:pPr>
    </w:p>
    <w:p w14:paraId="40D15B3E" w14:textId="775E81EF" w:rsidR="005E69DC" w:rsidRPr="0062293A" w:rsidRDefault="005E69DC">
      <w:pPr>
        <w:rPr>
          <w:color w:val="FF0000"/>
        </w:rPr>
      </w:pPr>
    </w:p>
    <w:p w14:paraId="73C90705" w14:textId="54C276F4" w:rsidR="00732E46" w:rsidRPr="0062293A" w:rsidRDefault="00954BD6" w:rsidP="001E7EDB">
      <w:pPr>
        <w:pBdr>
          <w:top w:val="nil"/>
          <w:left w:val="nil"/>
          <w:bottom w:val="nil"/>
          <w:right w:val="nil"/>
          <w:between w:val="nil"/>
        </w:pBdr>
        <w:jc w:val="both"/>
        <w:rPr>
          <w:color w:val="FF0000"/>
        </w:rPr>
      </w:pPr>
      <w:r w:rsidRPr="0062293A">
        <w:rPr>
          <w:noProof/>
          <w:color w:val="FF0000"/>
        </w:rPr>
        <w:drawing>
          <wp:anchor distT="0" distB="0" distL="114300" distR="114300" simplePos="0" relativeHeight="251659264" behindDoc="0" locked="0" layoutInCell="1" allowOverlap="1" wp14:anchorId="14EA730D" wp14:editId="51413B8E">
            <wp:simplePos x="0" y="0"/>
            <wp:positionH relativeFrom="column">
              <wp:posOffset>1905</wp:posOffset>
            </wp:positionH>
            <wp:positionV relativeFrom="paragraph">
              <wp:posOffset>48260</wp:posOffset>
            </wp:positionV>
            <wp:extent cx="931545" cy="114681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31545" cy="1146810"/>
                    </a:xfrm>
                    <a:prstGeom prst="rect">
                      <a:avLst/>
                    </a:prstGeom>
                  </pic:spPr>
                </pic:pic>
              </a:graphicData>
            </a:graphic>
            <wp14:sizeRelH relativeFrom="margin">
              <wp14:pctWidth>0</wp14:pctWidth>
            </wp14:sizeRelH>
            <wp14:sizeRelV relativeFrom="margin">
              <wp14:pctHeight>0</wp14:pctHeight>
            </wp14:sizeRelV>
          </wp:anchor>
        </w:drawing>
      </w:r>
      <w:r w:rsidR="000F2C11" w:rsidRPr="0062293A">
        <w:rPr>
          <w:b/>
          <w:color w:val="FF0000"/>
        </w:rPr>
        <w:t>First A. Author</w:t>
      </w:r>
      <w:r w:rsidR="000F2C11" w:rsidRPr="0062293A">
        <w:rPr>
          <w:color w:val="FF0000"/>
        </w:rPr>
        <w:t xml:space="preserve"> (Fellow, IEEE) and all authors may include biographies if the publication allows. Biographies are often not included in conference-related papers. Please check the Information for Authors to confirm. Author photos should be current, professional images of the head and shoulders.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p>
    <w:p w14:paraId="021F3C56" w14:textId="143F5465" w:rsidR="00732E46" w:rsidRPr="0062293A" w:rsidRDefault="000F2C11">
      <w:pPr>
        <w:pBdr>
          <w:top w:val="nil"/>
          <w:left w:val="nil"/>
          <w:bottom w:val="nil"/>
          <w:right w:val="nil"/>
          <w:between w:val="nil"/>
        </w:pBdr>
        <w:ind w:firstLine="202"/>
        <w:jc w:val="both"/>
        <w:rPr>
          <w:color w:val="FF0000"/>
        </w:rPr>
      </w:pPr>
      <w:r w:rsidRPr="0062293A">
        <w:rPr>
          <w:color w:val="FF0000"/>
        </w:rPr>
        <w:t>The second paragraph uses the preferred third person pronoun (he, she, they, etc.)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sidRPr="0062293A">
        <w:rPr>
          <w:color w:val="FF0000"/>
        </w:rPr>
        <w:t>.</w:t>
      </w:r>
      <w:r w:rsidRPr="0062293A">
        <w:rPr>
          <w:color w:val="FF0000"/>
        </w:rPr>
        <w:t xml:space="preserve"> The format for listing publishers of a book within the biography is: </w:t>
      </w:r>
      <w:r w:rsidRPr="0062293A">
        <w:rPr>
          <w:i/>
          <w:color w:val="FF0000"/>
        </w:rPr>
        <w:t>Title of Book</w:t>
      </w:r>
      <w:r w:rsidRPr="0062293A">
        <w:rPr>
          <w:color w:val="FF0000"/>
        </w:rPr>
        <w:t xml:space="preserve"> (publisher name, year) similar to a reference. Current and previous research interests end the paragraph.</w:t>
      </w:r>
    </w:p>
    <w:p w14:paraId="035A69EA" w14:textId="7FABB5E4" w:rsidR="00732E46" w:rsidRPr="0062293A" w:rsidRDefault="000F2C11" w:rsidP="00D050EC">
      <w:pPr>
        <w:pBdr>
          <w:top w:val="nil"/>
          <w:left w:val="nil"/>
          <w:bottom w:val="nil"/>
          <w:right w:val="nil"/>
          <w:between w:val="nil"/>
        </w:pBdr>
        <w:ind w:firstLine="202"/>
        <w:jc w:val="both"/>
        <w:rPr>
          <w:color w:val="FF0000"/>
        </w:rPr>
      </w:pPr>
      <w:r w:rsidRPr="0062293A">
        <w:rPr>
          <w:color w:val="FF0000"/>
        </w:rPr>
        <w:t xml:space="preserve">The third paragraph begins with the author’s preferred title and last name (e.g., Dr. Smith, Prof. Jones, Mr. </w:t>
      </w:r>
      <w:proofErr w:type="spellStart"/>
      <w:r w:rsidRPr="0062293A">
        <w:rPr>
          <w:color w:val="FF0000"/>
        </w:rPr>
        <w:t>Kajor</w:t>
      </w:r>
      <w:proofErr w:type="spellEnd"/>
      <w:r w:rsidRPr="0062293A">
        <w:rPr>
          <w:color w:val="FF0000"/>
        </w:rPr>
        <w:t xml:space="preserve">, Ms. Hunter, Mx. Riley). List any memberships in professional societies other than the IEEE. Finally, list any awards and work for IEEE committees and publications. </w:t>
      </w:r>
    </w:p>
    <w:p w14:paraId="2F9336D9" w14:textId="77777777" w:rsidR="00A853F3" w:rsidRPr="0062293A" w:rsidRDefault="00A853F3">
      <w:pPr>
        <w:pBdr>
          <w:top w:val="nil"/>
          <w:left w:val="nil"/>
          <w:bottom w:val="nil"/>
          <w:right w:val="nil"/>
          <w:between w:val="nil"/>
        </w:pBdr>
        <w:tabs>
          <w:tab w:val="left" w:pos="450"/>
        </w:tabs>
        <w:jc w:val="both"/>
        <w:rPr>
          <w:color w:val="FF0000"/>
        </w:rPr>
      </w:pPr>
    </w:p>
    <w:p w14:paraId="5F4B47C0" w14:textId="77777777" w:rsidR="00C04F49" w:rsidRPr="0062293A" w:rsidRDefault="00C04F49">
      <w:pPr>
        <w:pBdr>
          <w:top w:val="nil"/>
          <w:left w:val="nil"/>
          <w:bottom w:val="nil"/>
          <w:right w:val="nil"/>
          <w:between w:val="nil"/>
        </w:pBdr>
        <w:tabs>
          <w:tab w:val="left" w:pos="450"/>
        </w:tabs>
        <w:jc w:val="both"/>
        <w:rPr>
          <w:color w:val="FF0000"/>
        </w:rPr>
      </w:pPr>
    </w:p>
    <w:p w14:paraId="3E9DF21A" w14:textId="7AD9B6B2" w:rsidR="00732E46" w:rsidRPr="0062293A" w:rsidRDefault="000F2C11">
      <w:pPr>
        <w:jc w:val="both"/>
        <w:rPr>
          <w:rFonts w:ascii="Times" w:eastAsia="Times" w:hAnsi="Times" w:cs="Times"/>
          <w:color w:val="FF0000"/>
        </w:rPr>
      </w:pPr>
      <w:r w:rsidRPr="0062293A">
        <w:rPr>
          <w:b/>
          <w:color w:val="FF0000"/>
        </w:rPr>
        <w:t>Second B. Author</w:t>
      </w:r>
      <w:r w:rsidR="00EA352F" w:rsidRPr="0062293A">
        <w:rPr>
          <w:bCs/>
          <w:color w:val="FF0000"/>
        </w:rPr>
        <w:t>,</w:t>
      </w:r>
      <w:r w:rsidRPr="0062293A">
        <w:rPr>
          <w:color w:val="FF0000"/>
        </w:rPr>
        <w:t xml:space="preserve"> </w:t>
      </w:r>
      <w:r w:rsidRPr="0062293A">
        <w:rPr>
          <w:rFonts w:ascii="Times" w:eastAsia="Times" w:hAnsi="Times" w:cs="Times"/>
          <w:color w:val="FF0000"/>
        </w:rPr>
        <w:t xml:space="preserve">photograph and biography not available at the time of publication.  </w:t>
      </w:r>
    </w:p>
    <w:p w14:paraId="660C7766" w14:textId="77777777" w:rsidR="00C04F49" w:rsidRPr="0062293A" w:rsidRDefault="00C04F49">
      <w:pPr>
        <w:jc w:val="both"/>
        <w:rPr>
          <w:rFonts w:ascii="Times" w:eastAsia="Times" w:hAnsi="Times" w:cs="Times"/>
          <w:color w:val="FF0000"/>
        </w:rPr>
      </w:pPr>
    </w:p>
    <w:p w14:paraId="41C918F2" w14:textId="0835C9F8" w:rsidR="00732E46" w:rsidRPr="0062293A" w:rsidRDefault="000F2C11">
      <w:pPr>
        <w:jc w:val="both"/>
        <w:rPr>
          <w:rFonts w:ascii="Times" w:eastAsia="Times" w:hAnsi="Times" w:cs="Times"/>
          <w:color w:val="FF0000"/>
        </w:rPr>
      </w:pPr>
      <w:r w:rsidRPr="0062293A">
        <w:rPr>
          <w:b/>
          <w:color w:val="FF0000"/>
        </w:rPr>
        <w:t xml:space="preserve">Third C. Author Jr. </w:t>
      </w:r>
      <w:r w:rsidRPr="0062293A">
        <w:rPr>
          <w:rFonts w:ascii="Times" w:eastAsia="Times" w:hAnsi="Times" w:cs="Times"/>
          <w:color w:val="FF0000"/>
        </w:rPr>
        <w:t>(Member, IEEE), photograph and biography not availa</w:t>
      </w:r>
      <w:r w:rsidR="00851B4D" w:rsidRPr="0062293A">
        <w:rPr>
          <w:rFonts w:ascii="Times" w:eastAsia="Times" w:hAnsi="Times" w:cs="Times"/>
          <w:color w:val="FF0000"/>
        </w:rPr>
        <w:t>ble at the time of publication.</w:t>
      </w:r>
    </w:p>
    <w:sectPr w:rsidR="00732E46" w:rsidRPr="0062293A"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4DC23" w14:textId="77777777" w:rsidR="008103A1" w:rsidRDefault="008103A1">
      <w:r>
        <w:separator/>
      </w:r>
    </w:p>
  </w:endnote>
  <w:endnote w:type="continuationSeparator" w:id="0">
    <w:p w14:paraId="07211522" w14:textId="77777777" w:rsidR="008103A1" w:rsidRDefault="00810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550518" w14:textId="77777777" w:rsidR="008103A1" w:rsidRPr="009A0AA6" w:rsidRDefault="008103A1" w:rsidP="009A0AA6">
      <w:pPr>
        <w:pStyle w:val="Footer"/>
      </w:pPr>
    </w:p>
  </w:footnote>
  <w:footnote w:type="continuationSeparator" w:id="0">
    <w:p w14:paraId="5081B3B4" w14:textId="77777777" w:rsidR="008103A1" w:rsidRDefault="008103A1">
      <w:r>
        <w:continuationSeparator/>
      </w:r>
    </w:p>
  </w:footnote>
  <w:footnote w:id="1">
    <w:p w14:paraId="350D71A7" w14:textId="77777777" w:rsidR="00BE4774" w:rsidRPr="009D6004" w:rsidRDefault="00BE4774" w:rsidP="00BE4774">
      <w:pPr>
        <w:keepLines/>
        <w:pBdr>
          <w:top w:val="nil"/>
          <w:left w:val="nil"/>
          <w:bottom w:val="nil"/>
          <w:right w:val="nil"/>
          <w:between w:val="nil"/>
        </w:pBdr>
        <w:ind w:firstLine="202"/>
        <w:jc w:val="both"/>
        <w:rPr>
          <w:color w:val="FF0000"/>
          <w:sz w:val="16"/>
          <w:szCs w:val="16"/>
        </w:rPr>
      </w:pPr>
      <w:r w:rsidRPr="009D6004">
        <w:rPr>
          <w:color w:val="FF0000"/>
          <w:sz w:val="16"/>
          <w:szCs w:val="16"/>
        </w:rPr>
        <w:t>This paragraph of the first footnote will contain the date on which you submitted your paper for review, which is populated by IEEE. It is IEEE style to display support information, including sponsor and financial support acknowledgment, here and not in an acknowledgment section at the end of the article. For example, “This work was supported in part by the U.S. Department of Commerce under Grant 123456.” The name of the corresponding author appears after the financial information, e.g.</w:t>
      </w:r>
      <w:r w:rsidRPr="009D6004">
        <w:rPr>
          <w:i/>
          <w:color w:val="FF0000"/>
          <w:sz w:val="16"/>
          <w:szCs w:val="16"/>
        </w:rPr>
        <w:t xml:space="preserve"> (Corresponding author: Second B. Author). </w:t>
      </w:r>
      <w:r w:rsidRPr="009D6004">
        <w:rPr>
          <w:color w:val="FF0000"/>
          <w:sz w:val="16"/>
          <w:szCs w:val="16"/>
        </w:rPr>
        <w:t xml:space="preserve">Here you may also indicate if authors contributed equally or if there are co-first authors. </w:t>
      </w:r>
    </w:p>
    <w:p w14:paraId="5FCDE783" w14:textId="77777777" w:rsidR="00BE4774" w:rsidRPr="009D6004" w:rsidRDefault="00BE4774" w:rsidP="00BE4774">
      <w:pPr>
        <w:keepLines/>
        <w:pBdr>
          <w:top w:val="nil"/>
          <w:left w:val="nil"/>
          <w:bottom w:val="nil"/>
          <w:right w:val="nil"/>
          <w:between w:val="nil"/>
        </w:pBdr>
        <w:ind w:firstLine="202"/>
        <w:jc w:val="both"/>
        <w:rPr>
          <w:color w:val="FF0000"/>
          <w:sz w:val="16"/>
          <w:szCs w:val="16"/>
        </w:rPr>
      </w:pPr>
      <w:r w:rsidRPr="009D6004">
        <w:rPr>
          <w:color w:val="FF0000"/>
          <w:sz w:val="16"/>
          <w:szCs w:val="16"/>
        </w:rPr>
        <w:t xml:space="preserve">The next few paragraphs should contain the authors’ current affiliations, including current address and e-mail. For example, First A. Author is with the National Institute of Standards and Technology, Boulder, CO 80305 USA (e-mail: author@ boulder.nist.gov). </w:t>
      </w:r>
    </w:p>
    <w:p w14:paraId="7937703E" w14:textId="4B530715" w:rsidR="00BE4774" w:rsidRPr="009D6004" w:rsidRDefault="00BE4774" w:rsidP="00BE4774">
      <w:pPr>
        <w:keepLines/>
        <w:pBdr>
          <w:top w:val="nil"/>
          <w:left w:val="nil"/>
          <w:bottom w:val="nil"/>
          <w:right w:val="nil"/>
          <w:between w:val="nil"/>
        </w:pBdr>
        <w:ind w:firstLine="202"/>
        <w:jc w:val="both"/>
        <w:rPr>
          <w:color w:val="FF0000"/>
          <w:sz w:val="16"/>
          <w:szCs w:val="16"/>
        </w:rPr>
      </w:pPr>
      <w:r w:rsidRPr="009D6004">
        <w:rPr>
          <w:color w:val="FF0000"/>
          <w:sz w:val="16"/>
          <w:szCs w:val="16"/>
        </w:rPr>
        <w:t>Second B. Author Jr. was with Rice University, Houston, TX 77005 USA. He is now with the Department of Physics, Colorado State University, Fort Collins, CO 80523 USA (e-mail: author@lamar.colostate.edu).</w:t>
      </w:r>
    </w:p>
    <w:p w14:paraId="5ED9EAB1" w14:textId="77777777" w:rsidR="00BE4774" w:rsidRPr="009D6004" w:rsidRDefault="00BE4774" w:rsidP="00BE4774">
      <w:pPr>
        <w:keepLines/>
        <w:pBdr>
          <w:top w:val="nil"/>
          <w:left w:val="nil"/>
          <w:bottom w:val="nil"/>
          <w:right w:val="nil"/>
          <w:between w:val="nil"/>
        </w:pBdr>
        <w:ind w:firstLine="202"/>
        <w:jc w:val="both"/>
        <w:rPr>
          <w:color w:val="FF0000"/>
          <w:sz w:val="16"/>
          <w:szCs w:val="16"/>
        </w:rPr>
      </w:pPr>
      <w:r w:rsidRPr="009D6004">
        <w:rPr>
          <w:color w:val="FF0000"/>
          <w:sz w:val="16"/>
          <w:szCs w:val="16"/>
        </w:rPr>
        <w:t>Third C. Author is with the Electrical Engineering Department, University of Colorado, Boulder, CO 80309 USA, on leave from the National Research Institute for Metals, Tsukuba 305-0047, Japan (e-mail: author@nrim.go.jp).</w:t>
      </w:r>
    </w:p>
    <w:p w14:paraId="690D5EFE" w14:textId="77777777" w:rsidR="00BE4774" w:rsidRPr="009D6004" w:rsidRDefault="00BE4774" w:rsidP="00BE4774">
      <w:pPr>
        <w:keepLines/>
        <w:widowControl w:val="0"/>
        <w:spacing w:line="252" w:lineRule="auto"/>
        <w:ind w:firstLine="202"/>
        <w:jc w:val="both"/>
        <w:rPr>
          <w:color w:val="FF0000"/>
          <w:sz w:val="16"/>
          <w:szCs w:val="16"/>
        </w:rPr>
      </w:pPr>
      <w:r w:rsidRPr="009D6004">
        <w:rPr>
          <w:color w:val="FF0000"/>
          <w:sz w:val="16"/>
          <w:szCs w:val="16"/>
        </w:rPr>
        <w:t>Mentions of supplemental materials and animal/human rights statements can be included here.</w:t>
      </w:r>
    </w:p>
    <w:p w14:paraId="4102162F" w14:textId="77777777" w:rsidR="00BE4774" w:rsidRDefault="00BE4774" w:rsidP="00BE4774">
      <w:pPr>
        <w:pStyle w:val="FootnoteText"/>
      </w:pPr>
      <w:r w:rsidRPr="009D6004">
        <w:rPr>
          <w:color w:val="FF0000"/>
        </w:rPr>
        <w:t>Color versions of one or more of the figures in this article are available online at http://ieeexplore.ieee.org</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D9899" w14:textId="77777777" w:rsidR="00732E46" w:rsidRDefault="000F2C11">
    <w:pPr>
      <w:jc w:val="right"/>
    </w:pPr>
    <w:r>
      <w:fldChar w:fldCharType="begin"/>
    </w:r>
    <w:r>
      <w:instrText>PAGE</w:instrText>
    </w:r>
    <w:r>
      <w:fldChar w:fldCharType="separate"/>
    </w:r>
    <w:r w:rsidR="00E9235D">
      <w:rPr>
        <w:noProof/>
      </w:rPr>
      <w:t>6</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8"/>
  </w:num>
  <w:num w:numId="5">
    <w:abstractNumId w:val="5"/>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7"/>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E46"/>
    <w:rsid w:val="00002FAF"/>
    <w:rsid w:val="00023182"/>
    <w:rsid w:val="00031B79"/>
    <w:rsid w:val="0003442C"/>
    <w:rsid w:val="000403AE"/>
    <w:rsid w:val="000414EB"/>
    <w:rsid w:val="00050683"/>
    <w:rsid w:val="00053B2E"/>
    <w:rsid w:val="00061D18"/>
    <w:rsid w:val="000650E5"/>
    <w:rsid w:val="00067023"/>
    <w:rsid w:val="00081747"/>
    <w:rsid w:val="00085D7A"/>
    <w:rsid w:val="000968E1"/>
    <w:rsid w:val="000A094C"/>
    <w:rsid w:val="000C21BE"/>
    <w:rsid w:val="000D4F4C"/>
    <w:rsid w:val="000F2C11"/>
    <w:rsid w:val="000F400B"/>
    <w:rsid w:val="000F471E"/>
    <w:rsid w:val="00114406"/>
    <w:rsid w:val="00124A09"/>
    <w:rsid w:val="00137B3C"/>
    <w:rsid w:val="0014692A"/>
    <w:rsid w:val="00152AB3"/>
    <w:rsid w:val="00170C54"/>
    <w:rsid w:val="001743EC"/>
    <w:rsid w:val="00180047"/>
    <w:rsid w:val="00180E1F"/>
    <w:rsid w:val="0019206C"/>
    <w:rsid w:val="001B020C"/>
    <w:rsid w:val="001B0334"/>
    <w:rsid w:val="001B2E51"/>
    <w:rsid w:val="001E7EDB"/>
    <w:rsid w:val="001F1173"/>
    <w:rsid w:val="001F2329"/>
    <w:rsid w:val="001F512A"/>
    <w:rsid w:val="00201147"/>
    <w:rsid w:val="00233A4C"/>
    <w:rsid w:val="00234ABB"/>
    <w:rsid w:val="00251305"/>
    <w:rsid w:val="002577ED"/>
    <w:rsid w:val="00262D2F"/>
    <w:rsid w:val="00264613"/>
    <w:rsid w:val="002775B6"/>
    <w:rsid w:val="00282E76"/>
    <w:rsid w:val="00285E41"/>
    <w:rsid w:val="002947C5"/>
    <w:rsid w:val="002C4EA8"/>
    <w:rsid w:val="002E2421"/>
    <w:rsid w:val="002F221E"/>
    <w:rsid w:val="00303357"/>
    <w:rsid w:val="00305C29"/>
    <w:rsid w:val="0031286C"/>
    <w:rsid w:val="00313303"/>
    <w:rsid w:val="00357347"/>
    <w:rsid w:val="0036091A"/>
    <w:rsid w:val="003913E5"/>
    <w:rsid w:val="003D4DC8"/>
    <w:rsid w:val="003D7915"/>
    <w:rsid w:val="003F021E"/>
    <w:rsid w:val="00402320"/>
    <w:rsid w:val="004063A4"/>
    <w:rsid w:val="00474613"/>
    <w:rsid w:val="0048247F"/>
    <w:rsid w:val="004A4B26"/>
    <w:rsid w:val="004B29E3"/>
    <w:rsid w:val="004C0A1B"/>
    <w:rsid w:val="004C0A56"/>
    <w:rsid w:val="004C1E98"/>
    <w:rsid w:val="004C2573"/>
    <w:rsid w:val="00533E1B"/>
    <w:rsid w:val="00550D56"/>
    <w:rsid w:val="0056364D"/>
    <w:rsid w:val="0059348A"/>
    <w:rsid w:val="005A170E"/>
    <w:rsid w:val="005A2567"/>
    <w:rsid w:val="005B341A"/>
    <w:rsid w:val="005B43C2"/>
    <w:rsid w:val="005C18AE"/>
    <w:rsid w:val="005C68BC"/>
    <w:rsid w:val="005C6FF9"/>
    <w:rsid w:val="005E165C"/>
    <w:rsid w:val="005E2D10"/>
    <w:rsid w:val="005E69DC"/>
    <w:rsid w:val="005F0DEA"/>
    <w:rsid w:val="005F12E8"/>
    <w:rsid w:val="005F2531"/>
    <w:rsid w:val="005F4497"/>
    <w:rsid w:val="005F5E3C"/>
    <w:rsid w:val="006068E5"/>
    <w:rsid w:val="00613800"/>
    <w:rsid w:val="006209FC"/>
    <w:rsid w:val="00621141"/>
    <w:rsid w:val="00621A94"/>
    <w:rsid w:val="0062293A"/>
    <w:rsid w:val="00636D0A"/>
    <w:rsid w:val="00637ECB"/>
    <w:rsid w:val="00645190"/>
    <w:rsid w:val="00647980"/>
    <w:rsid w:val="006514FE"/>
    <w:rsid w:val="0065173B"/>
    <w:rsid w:val="00657881"/>
    <w:rsid w:val="00660F88"/>
    <w:rsid w:val="006774B8"/>
    <w:rsid w:val="00685834"/>
    <w:rsid w:val="00694E0B"/>
    <w:rsid w:val="006B68F3"/>
    <w:rsid w:val="006C32BD"/>
    <w:rsid w:val="006C5644"/>
    <w:rsid w:val="006C60F0"/>
    <w:rsid w:val="006E42E3"/>
    <w:rsid w:val="006F18B8"/>
    <w:rsid w:val="006F6F5A"/>
    <w:rsid w:val="007054D1"/>
    <w:rsid w:val="00732E46"/>
    <w:rsid w:val="00756915"/>
    <w:rsid w:val="00771AA2"/>
    <w:rsid w:val="00774445"/>
    <w:rsid w:val="00790D67"/>
    <w:rsid w:val="007938DE"/>
    <w:rsid w:val="007A2DEB"/>
    <w:rsid w:val="007B07C3"/>
    <w:rsid w:val="007B38DE"/>
    <w:rsid w:val="007B62A7"/>
    <w:rsid w:val="007C410D"/>
    <w:rsid w:val="007C5FE2"/>
    <w:rsid w:val="007E5119"/>
    <w:rsid w:val="007E713A"/>
    <w:rsid w:val="007F4FB6"/>
    <w:rsid w:val="0080720F"/>
    <w:rsid w:val="008103A1"/>
    <w:rsid w:val="00810E2F"/>
    <w:rsid w:val="00813371"/>
    <w:rsid w:val="00827FB8"/>
    <w:rsid w:val="008313C6"/>
    <w:rsid w:val="00851B4D"/>
    <w:rsid w:val="00874977"/>
    <w:rsid w:val="00883941"/>
    <w:rsid w:val="008856C3"/>
    <w:rsid w:val="00892657"/>
    <w:rsid w:val="0089298D"/>
    <w:rsid w:val="00897E26"/>
    <w:rsid w:val="008E1FF8"/>
    <w:rsid w:val="008E4F03"/>
    <w:rsid w:val="00932FBA"/>
    <w:rsid w:val="009345F4"/>
    <w:rsid w:val="009454A2"/>
    <w:rsid w:val="00954BD6"/>
    <w:rsid w:val="0096199E"/>
    <w:rsid w:val="00970CC0"/>
    <w:rsid w:val="00981230"/>
    <w:rsid w:val="00986618"/>
    <w:rsid w:val="009A0AA6"/>
    <w:rsid w:val="009A278C"/>
    <w:rsid w:val="009B429F"/>
    <w:rsid w:val="009D0B85"/>
    <w:rsid w:val="009D6004"/>
    <w:rsid w:val="009E2C51"/>
    <w:rsid w:val="009E73E3"/>
    <w:rsid w:val="00A0149F"/>
    <w:rsid w:val="00A26A6A"/>
    <w:rsid w:val="00A27561"/>
    <w:rsid w:val="00A320DF"/>
    <w:rsid w:val="00A41540"/>
    <w:rsid w:val="00A530D2"/>
    <w:rsid w:val="00A551CB"/>
    <w:rsid w:val="00A6122B"/>
    <w:rsid w:val="00A64F86"/>
    <w:rsid w:val="00A65256"/>
    <w:rsid w:val="00A67DDF"/>
    <w:rsid w:val="00A80BDA"/>
    <w:rsid w:val="00A853F3"/>
    <w:rsid w:val="00A95088"/>
    <w:rsid w:val="00AA5225"/>
    <w:rsid w:val="00AB4C22"/>
    <w:rsid w:val="00AC0FD4"/>
    <w:rsid w:val="00AF3089"/>
    <w:rsid w:val="00AF357B"/>
    <w:rsid w:val="00AF701F"/>
    <w:rsid w:val="00B05CCE"/>
    <w:rsid w:val="00B07BB7"/>
    <w:rsid w:val="00B10AF1"/>
    <w:rsid w:val="00B11A37"/>
    <w:rsid w:val="00B11A65"/>
    <w:rsid w:val="00B175FF"/>
    <w:rsid w:val="00B32CB6"/>
    <w:rsid w:val="00B51AB6"/>
    <w:rsid w:val="00B54450"/>
    <w:rsid w:val="00B60677"/>
    <w:rsid w:val="00B621F2"/>
    <w:rsid w:val="00B630FA"/>
    <w:rsid w:val="00B714C9"/>
    <w:rsid w:val="00B83635"/>
    <w:rsid w:val="00BB1DE8"/>
    <w:rsid w:val="00BC0495"/>
    <w:rsid w:val="00BE4774"/>
    <w:rsid w:val="00C04F49"/>
    <w:rsid w:val="00C16047"/>
    <w:rsid w:val="00C25825"/>
    <w:rsid w:val="00C52F3D"/>
    <w:rsid w:val="00C54B70"/>
    <w:rsid w:val="00C64D24"/>
    <w:rsid w:val="00C72820"/>
    <w:rsid w:val="00C7592D"/>
    <w:rsid w:val="00C821C0"/>
    <w:rsid w:val="00C9162C"/>
    <w:rsid w:val="00C92809"/>
    <w:rsid w:val="00CB5CB4"/>
    <w:rsid w:val="00CC21A8"/>
    <w:rsid w:val="00CD54DC"/>
    <w:rsid w:val="00CF48E2"/>
    <w:rsid w:val="00D050EC"/>
    <w:rsid w:val="00D05F12"/>
    <w:rsid w:val="00D10AC8"/>
    <w:rsid w:val="00D20E00"/>
    <w:rsid w:val="00D66528"/>
    <w:rsid w:val="00D83AF6"/>
    <w:rsid w:val="00D84406"/>
    <w:rsid w:val="00D851FD"/>
    <w:rsid w:val="00D868B8"/>
    <w:rsid w:val="00D87F8B"/>
    <w:rsid w:val="00D97C64"/>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9235D"/>
    <w:rsid w:val="00EA2E6E"/>
    <w:rsid w:val="00EA352F"/>
    <w:rsid w:val="00EC35CE"/>
    <w:rsid w:val="00ED5BAA"/>
    <w:rsid w:val="00EE01E7"/>
    <w:rsid w:val="00EE02E8"/>
    <w:rsid w:val="00EF0A32"/>
    <w:rsid w:val="00EF6430"/>
    <w:rsid w:val="00F05F21"/>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0149F"/>
    <w:pPr>
      <w:keepNext/>
      <w:spacing w:before="25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A0149F"/>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customStyle="1" w:styleId="papertitle">
    <w:name w:val="paper title"/>
    <w:rsid w:val="00637ECB"/>
    <w:pPr>
      <w:spacing w:after="120"/>
      <w:jc w:val="center"/>
    </w:pPr>
    <w:rPr>
      <w:rFonts w:eastAsia="MS Mincho"/>
      <w:noProof/>
      <w:sz w:val="48"/>
      <w:szCs w:val="48"/>
    </w:rPr>
  </w:style>
  <w:style w:type="paragraph" w:styleId="Caption">
    <w:name w:val="caption"/>
    <w:basedOn w:val="Normal"/>
    <w:next w:val="Normal"/>
    <w:uiPriority w:val="35"/>
    <w:unhideWhenUsed/>
    <w:qFormat/>
    <w:rsid w:val="003D4DC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512621">
      <w:bodyDiv w:val="1"/>
      <w:marLeft w:val="0"/>
      <w:marRight w:val="0"/>
      <w:marTop w:val="0"/>
      <w:marBottom w:val="0"/>
      <w:divBdr>
        <w:top w:val="none" w:sz="0" w:space="0" w:color="auto"/>
        <w:left w:val="none" w:sz="0" w:space="0" w:color="auto"/>
        <w:bottom w:val="none" w:sz="0" w:space="0" w:color="auto"/>
        <w:right w:val="none" w:sz="0" w:space="0" w:color="auto"/>
      </w:divBdr>
    </w:div>
    <w:div w:id="852454882">
      <w:bodyDiv w:val="1"/>
      <w:marLeft w:val="0"/>
      <w:marRight w:val="0"/>
      <w:marTop w:val="0"/>
      <w:marBottom w:val="0"/>
      <w:divBdr>
        <w:top w:val="none" w:sz="0" w:space="0" w:color="auto"/>
        <w:left w:val="none" w:sz="0" w:space="0" w:color="auto"/>
        <w:bottom w:val="none" w:sz="0" w:space="0" w:color="auto"/>
        <w:right w:val="none" w:sz="0" w:space="0" w:color="auto"/>
      </w:divBdr>
    </w:div>
    <w:div w:id="940457789">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548313">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67813935">
      <w:bodyDiv w:val="1"/>
      <w:marLeft w:val="0"/>
      <w:marRight w:val="0"/>
      <w:marTop w:val="0"/>
      <w:marBottom w:val="0"/>
      <w:divBdr>
        <w:top w:val="none" w:sz="0" w:space="0" w:color="auto"/>
        <w:left w:val="none" w:sz="0" w:space="0" w:color="auto"/>
        <w:bottom w:val="none" w:sz="0" w:space="0" w:color="auto"/>
        <w:right w:val="none" w:sz="0" w:space="0" w:color="auto"/>
      </w:divBdr>
    </w:div>
    <w:div w:id="2061049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ournals.ieeeauthorcenter.ieee.org/wp-content/uploads/sites/7/Editing-Mathematics.pdf" TargetMode="Externa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ieee.org/publications/rights/index.html" TargetMode="External"/><Relationship Id="rId7" Type="http://schemas.openxmlformats.org/officeDocument/2006/relationships/footnotes" Target="footnotes.xml"/><Relationship Id="rId12" Type="http://schemas.openxmlformats.org/officeDocument/2006/relationships/hyperlink" Target="https://store.wiris.com/en/products/mathtype/download" TargetMode="External"/><Relationship Id="rId17" Type="http://schemas.openxmlformats.org/officeDocument/2006/relationships/image" Target="media/image4.w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tiff"/><Relationship Id="rId20" Type="http://schemas.openxmlformats.org/officeDocument/2006/relationships/hyperlink" Target="http://www.ieee.org/publications_standards/publications/authors/authors_submiss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journals.ieeeauthorcenter.ieee.org/become-an-ieee-journal-author/publishing-ethics/guidelines-and-policies/"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s://journals.ieeeauthorcenter.ieee.org/create-your-ieee-journal-article/create-the-text-of-your-article/ieee-editorial-style-manua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journals.ieeeauthorcenter.ieee.org/wp-content/uploads/sites/7/IEEE-Math-Typesetting-Guide-for-MS-Word-Users.pdf" TargetMode="External"/><Relationship Id="rId22" Type="http://schemas.openxmlformats.org/officeDocument/2006/relationships/hyperlink" Target="https://www.ieee.org/publications/right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Xie171</b:Tag>
    <b:SourceType>JournalArticle</b:SourceType>
    <b:Guid>{10024D00-BD8D-46EE-B358-7A9176898863}</b:Guid>
    <b:Title>A review of urban air pollution monitoring and exposure assessment methods</b:Title>
    <b:Year>2017</b:Year>
    <b:JournalName>ISPRS International Journal of Geo-Information</b:JournalName>
    <b:Volume>6</b:Volume>
    <b:Issue>12</b:Issue>
    <b:Author>
      <b:Author>
        <b:NameList>
          <b:Person>
            <b:Last>Xie</b:Last>
            <b:First>Xingzhe</b:First>
          </b:Person>
          <b:Person>
            <b:Last>Semanjski</b:Last>
            <b:First>Ivana</b:First>
          </b:Person>
          <b:Person>
            <b:Last>Gautama</b:Last>
            <b:First>Sidharta</b:First>
          </b:Person>
          <b:Person>
            <b:Last>Tsiligianni</b:Last>
            <b:First>Evaggelia</b:First>
          </b:Person>
          <b:Person>
            <b:Last>Deligiannis</b:Last>
            <b:First>Nikos</b:First>
          </b:Person>
          <b:Person>
            <b:Last>Rajan</b:Last>
            <b:First>Raj Thilak</b:First>
          </b:Person>
          <b:Person>
            <b:Last>Pasveer</b:Last>
            <b:First>Frank</b:First>
          </b:Person>
          <b:Person>
            <b:Last>Philips</b:Last>
            <b:First>Wilfried</b:First>
          </b:Person>
        </b:NameList>
      </b:Author>
    </b:Author>
    <b:Publisher>MDPI</b:Publisher>
    <b:StandardNumber>2220-9964</b:StandardNumber>
    <b:DOI>10.3390/ijgi6120389</b:DOI>
    <b:RefOrder>1</b:RefOrder>
  </b:Source>
  <b:Source>
    <b:Tag>Asa22</b:Tag>
    <b:SourceType>JournalArticle</b:SourceType>
    <b:Guid>{21B9F276-F652-4DB7-81B9-AA763F900D28}</b:Guid>
    <b:Title>UAV-based remote sensing for the petroleum industry and environmental monitoring: State-of-the-art and perspectives</b:Title>
    <b:JournalName>Journal of Petroleum Science and Engineering</b:JournalName>
    <b:Year>2022</b:Year>
    <b:Volume>208</b:Volume>
    <b:Author>
      <b:Author>
        <b:NameList>
          <b:Person>
            <b:Last>Asadzadeh</b:Last>
            <b:First>Saeid</b:First>
          </b:Person>
          <b:Person>
            <b:Last>de Oliveira</b:Last>
            <b:Middle>José</b:Middle>
            <b:First>Wilson </b:First>
          </b:Person>
          <b:Person>
            <b:Last>de Souza Filho</b:Last>
            <b:Middle>Roberto</b:Middle>
            <b:First>Carlos</b:First>
          </b:Person>
        </b:NameList>
      </b:Author>
    </b:Author>
    <b:Publisher>Elsevier</b:Publisher>
    <b:DOI>https://doi.org/10.1016/j.petrol.2021.109633</b:DOI>
    <b:RefOrder>2</b:RefOrder>
  </b:Source>
  <b:Source>
    <b:Tag>Mot23</b:Tag>
    <b:SourceType>JournalArticle</b:SourceType>
    <b:Guid>{BDADD097-17F6-493D-B9AC-EBAED6FA5B64}</b:Guid>
    <b:Title>Unmanned aerial vehicles for air pollution monitoring: A survey</b:Title>
    <b:JournalName>IEEE Internet of Things Journal</b:JournalName>
    <b:Year>2023</b:Year>
    <b:Pages>21687 - 21704</b:Pages>
    <b:Volume>10</b:Volume>
    <b:Issue>24</b:Issue>
    <b:Author>
      <b:Author>
        <b:NameList>
          <b:Person>
            <b:Last>Motlagh</b:Last>
            <b:Middle>Hossein</b:Middle>
            <b:First>Naser</b:First>
          </b:Person>
          <b:Person>
            <b:Last>Kortoçi</b:Last>
            <b:First>Pranvera</b:First>
          </b:Person>
          <b:Person>
            <b:Last>Su</b:Last>
            <b:First>Xiang</b:First>
          </b:Person>
          <b:Person>
            <b:Last>Lovén</b:Last>
            <b:First>Lauri</b:First>
          </b:Person>
          <b:Person>
            <b:Last>Hoel</b:Last>
            <b:Middle>Kristian</b:Middle>
            <b:First>Hans</b:First>
          </b:Person>
          <b:Person>
            <b:Last>Haugsvær</b:Last>
            <b:Middle>Bjerkestrand</b:Middle>
            <b:First>Sindre</b:First>
          </b:Person>
          <b:Person>
            <b:Last>Srivastava</b:Last>
            <b:First>Varun</b:First>
          </b:Person>
          <b:Person>
            <b:Last>Gulbrandsen</b:Last>
            <b:Middle>Fabian</b:Middle>
            <b:First>Casper</b:First>
          </b:Person>
          <b:Person>
            <b:Last>Nurmi</b:Last>
            <b:First>Petteri</b:First>
          </b:Person>
          <b:Person>
            <b:Last>Tarkoma</b:Last>
            <b:First>Sasu</b:First>
          </b:Person>
        </b:NameList>
      </b:Author>
    </b:Author>
    <b:DOI>10.1109/JIOT.2023.3290508</b:DOI>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1E48AC-EBF8-4A18-8ADC-47D0FC2CE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3968</Words>
  <Characters>22622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2024-06-12T13:11:00Z</dcterms:created>
  <dcterms:modified xsi:type="dcterms:W3CDTF">2024-09-19T09:13:00Z</dcterms:modified>
</cp:coreProperties>
</file>