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2.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jc w:val="right"/>
        <w:rPr>
          <w:rFonts w:ascii="Times New Roman Bold" w:eastAsiaTheme="minorEastAsia" w:hAnsi="Times New Roman Bold"/>
          <w:b/>
          <w:caps/>
        </w:rPr>
      </w:pPr>
      <w:bookmarkStart w:id="0" w:name="_GoBack"/>
      <w:bookmarkEnd w:id="0"/>
      <w:r>
        <w:rPr>
          <w:rFonts w:ascii="Times New Roman Bold" w:eastAsiaTheme="minorEastAsia" w:hAnsi="Times New Roman Bold"/>
          <w:b/>
          <w:caps/>
        </w:rPr>
        <w:t>Confidential</w:t>
      </w:r>
    </w:p>
    <w:p>
      <w:pPr>
        <w:ind w:firstLine="0"/>
        <w:jc w:val="center"/>
        <w:rPr>
          <w:rFonts w:eastAsiaTheme="minorEastAsia"/>
          <w:b/>
          <w:i/>
        </w:rPr>
      </w:pPr>
      <w:r>
        <w:rPr>
          <w:rFonts w:eastAsiaTheme="minorEastAsia"/>
          <w:b/>
        </w:rPr>
        <w:t xml:space="preserve">FEEDMYPOCKETS</w:t>
      </w:r>
    </w:p>
    <w:p>
      <w:pPr>
        <w:ind w:firstLine="0"/>
        <w:jc w:val="center"/>
        <w:rPr>
          <w:rFonts w:eastAsiaTheme="minorEastAsia"/>
        </w:rPr>
      </w:pPr>
      <w:r>
        <w:rPr>
          <w:rFonts w:ascii="Times New Roman Bold" w:eastAsiaTheme="minorEastAsia" w:hAnsi="Times New Roman Bold"/>
          <w:b/>
          <w:caps/>
        </w:rPr>
        <w:t>Memorandum of Terms</w:t>
      </w:r>
    </w:p>
    <w:p>
      <w:pPr>
        <w:pStyle w:val="TSIntro"/>
      </w:pPr>
      <w:r>
        <w:t xml:space="preserve">Except with respect to the provisions entitled </w:t>
      </w:r>
      <w:r>
        <w:t>“</w:t>
      </w:r>
      <w:r>
        <w:rPr>
          <w:b/>
          <w:i/>
        </w:rPr>
        <w:t>Confidentiality</w:t>
      </w:r>
      <w:r>
        <w:t>”</w:t>
      </w:r>
      <w:r>
        <w:rPr/>
        <w:t xml:space="preserve"> and </w:t>
      </w:r>
      <w:r>
        <w:t>“</w:t>
      </w:r>
      <w:r>
        <w:rPr>
          <w:b/>
          <w:i/>
        </w:rPr>
        <w:t>Exclusive negotiations</w:t>
      </w:r>
      <w:r>
        <w:t>”</w:t>
      </w:r>
      <w:r>
        <w:rPr/>
      </w:r>
      <w:r>
        <w:t>, which are intended to be, and are, legally binding agreements among the parties hereto, this</w:t>
      </w:r>
      <w:r>
        <w:t xml:space="preserve"> Memorandum of Terms represents only the current thinking of the parties with respect to certain of the major issues relating to the proposed private offering and does not constitute a legally binding agreement. This Memorandum of Terms does not constitute an offer to sell or a solicitation of an offer to buy securities in any state where the offer or sale is not permitted.</w:t>
      </w:r>
    </w:p>
    <w:p>
      <w:pPr>
        <w:ind w:firstLine="0"/>
        <w:rPr>
          <w:rFonts w:ascii="Times New Roman Bold" w:hAnsi="Times New Roman Bold"/>
          <w:caps/>
        </w:rPr>
      </w:pPr>
      <w:r>
        <w:rPr>
          <w:rFonts w:ascii="Times New Roman Bold" w:hAnsi="Times New Roman Bold"/>
          <w:b/>
          <w:caps/>
        </w:rPr>
        <w:t>The Offering</w:t>
      </w:r>
    </w:p>
    <w:p>
      <w:pPr>
        <w:tabs>
          <w:tab w:val="left" w:pos="3600"/>
        </w:tabs>
        <w:ind w:left="3600" w:hanging="3240"/>
        <w:jc w:val="both"/>
        <w:rPr>
          <w:rFonts w:eastAsiaTheme="minorEastAsia"/>
        </w:rPr>
      </w:pPr>
      <w:r>
        <w:rPr>
          <w:rFonts w:eastAsiaTheme="minorEastAsia"/>
          <w:b/>
          <w:i/>
        </w:rPr>
        <w:t>Issuer:</w:t>
      </w:r>
      <w:r>
        <w:rPr>
          <w:rFonts w:eastAsiaTheme="minorEastAsia"/>
          <w:b/>
          <w:i/>
        </w:rPr>
        <w:tab/>
      </w:r>
      <w:r>
        <w:rPr>
          <w:rFonts w:eastAsiaTheme="minorEastAsia"/>
        </w:rPr>
        <w:t xml:space="preserve">FeedMyPockets</w:t>
      </w:r>
      <w:r>
        <w:rPr>
          <w:rFonts w:eastAsiaTheme="minorEastAsia"/>
        </w:rPr>
        <w:t xml:space="preserve">, a </w:t>
      </w:r>
      <w:r>
        <w:rPr>
          <w:rFonts w:eastAsiaTheme="minorEastAsia"/>
        </w:rPr>
        <w:t xml:space="preserve">India</w:t>
      </w:r>
      <w:r>
        <w:rPr>
          <w:rFonts w:eastAsiaTheme="minorEastAsia"/>
        </w:rPr>
        <w:t xml:space="preserve"> corporation (the “</w:t>
      </w:r>
      <w:r>
        <w:rPr>
          <w:rFonts w:eastAsiaTheme="minorEastAsia"/>
          <w:b/>
          <w:i/>
        </w:rPr>
        <w:t>Company</w:t>
      </w:r>
      <w:r>
        <w:rPr>
          <w:rFonts w:eastAsiaTheme="minorEastAsia"/>
        </w:rPr>
        <w:t>”)</w:t>
      </w:r>
    </w:p>
    <w:p>
      <w:pPr>
        <w:tabs>
          <w:tab w:val="left" w:pos="3600"/>
        </w:tabs>
        <w:ind w:left="3600" w:hanging="3240"/>
        <w:jc w:val="both"/>
        <w:rPr>
          <w:rFonts w:eastAsiaTheme="minorEastAsia"/>
        </w:rPr>
      </w:pPr>
      <w:r>
        <w:rPr>
          <w:rFonts w:eastAsiaTheme="minorEastAsia"/>
          <w:b/>
          <w:i/>
        </w:rPr>
        <w:t>Securities:</w:t>
      </w:r>
      <w:r>
        <w:rPr>
          <w:rFonts w:eastAsiaTheme="minorEastAsia"/>
        </w:rPr>
        <w:tab/>
        <w:t xml:space="preserve">Series </w:t>
      </w:r>
      <w:r>
        <w:rPr>
          <w:rFonts w:eastAsiaTheme="minorEastAsia"/>
        </w:rPr>
        <w:t xml:space="preserve">A</w:t>
      </w:r>
      <w:r>
        <w:rPr>
          <w:rFonts w:eastAsiaTheme="minorEastAsia"/>
        </w:rPr>
        <w:t xml:space="preserve"> Preferred Stock (the “</w:t>
      </w:r>
      <w:r>
        <w:rPr>
          <w:rFonts w:eastAsiaTheme="minorEastAsia"/>
          <w:b/>
          <w:i/>
        </w:rPr>
        <w:t>Series </w:t>
      </w:r>
      <w:r>
        <w:rPr>
          <w:rFonts w:eastAsiaTheme="minorEastAsia"/>
          <w:b/>
          <w:i/>
        </w:rPr>
        <w:t xml:space="preserve">A</w:t>
      </w:r>
      <w:r>
        <w:rPr>
          <w:rFonts w:eastAsiaTheme="minorEastAsia"/>
        </w:rPr>
        <w:t xml:space="preserve"> </w:t>
      </w:r>
      <w:r>
        <w:rPr>
          <w:rFonts w:eastAsiaTheme="minorEastAsia"/>
          <w:b/>
          <w:i/>
        </w:rPr>
        <w:t>Preferred</w:t>
      </w:r>
      <w:r>
        <w:rPr>
          <w:rFonts w:eastAsiaTheme="minorEastAsia"/>
        </w:rPr>
        <w:t>”)</w:t>
      </w:r>
    </w:p>
    <w:p>
      <w:pPr>
        <w:tabs>
          <w:tab w:val="left" w:pos="3600"/>
        </w:tabs>
        <w:ind w:left="3600" w:hanging="3240"/>
        <w:jc w:val="both"/>
        <w:rPr>
          <w:rFonts w:eastAsiaTheme="minorEastAsia"/>
        </w:rPr>
      </w:pPr>
      <w:r>
        <w:rPr>
          <w:rFonts w:eastAsiaTheme="minorEastAsia"/>
          <w:b/>
          <w:i/>
        </w:rPr>
        <w:t>Valuation of the Company:</w:t>
      </w:r>
      <w:r>
        <w:rPr>
          <w:rFonts w:eastAsiaTheme="minorEastAsia"/>
        </w:rPr>
        <w:tab/>
      </w:r>
      <w:r>
        <w:rPr>
          <w:rFonts w:eastAsiaTheme="minorEastAsia"/>
        </w:rPr>
        <w:t xml:space="preserve">$5,000,000</w:t>
      </w:r>
      <w:r>
        <w:rPr>
          <w:rFonts w:eastAsiaTheme="minorEastAsia"/>
        </w:rPr>
        <w:t xml:space="preserve"> pre-money</w:t>
      </w:r>
    </w:p>
    <w:p>
      <w:pPr>
        <w:tabs>
          <w:tab w:val="left" w:pos="3600"/>
        </w:tabs>
        <w:ind w:left="3600" w:hanging="3240"/>
        <w:jc w:val="both"/>
        <w:rPr>
          <w:rFonts w:eastAsiaTheme="minorEastAsia"/>
        </w:rPr>
      </w:pPr>
      <w:r>
        <w:rPr>
          <w:rFonts w:eastAsiaTheme="minorEastAsia"/>
          <w:b/>
          <w:i/>
        </w:rPr>
        <w:t>Amount of the offering:</w:t>
      </w:r>
      <w:r>
        <w:rPr>
          <w:rFonts w:eastAsiaTheme="minorEastAsia"/>
        </w:rPr>
        <w:tab/>
      </w:r>
      <w:r>
        <w:rPr>
          <w:rFonts w:eastAsiaTheme="minorEastAsia"/>
        </w:rPr>
        <w:t xml:space="preserve">Up to </w:t>
      </w:r>
      <w:r>
        <w:rPr>
          <w:rFonts w:eastAsiaTheme="minorEastAsia"/>
        </w:rPr>
        <w:t xml:space="preserve">$1,000,000</w:t>
      </w:r>
    </w:p>
    <w:p>
      <w:pPr>
        <w:tabs>
          <w:tab w:val="left" w:pos="3600"/>
        </w:tabs>
        <w:ind w:left="3600" w:hanging="3240"/>
        <w:jc w:val="both"/>
        <w:rPr>
          <w:rFonts w:eastAsiaTheme="minorEastAsia"/>
          <w:color w:val="000000"/>
        </w:rPr>
      </w:pPr>
      <w:r>
        <w:rPr>
          <w:rFonts w:eastAsiaTheme="minorEastAsia"/>
          <w:b/>
          <w:i/>
        </w:rPr>
        <w:t>Consideration:</w:t>
      </w:r>
      <w:r>
        <w:rPr>
          <w:rFonts w:eastAsiaTheme="minorEastAsia"/>
        </w:rPr>
        <w:tab/>
      </w:r>
      <w:r>
        <w:rPr>
          <w:rFonts w:eastAsiaTheme="minorEastAsia"/>
        </w:rPr>
        <w:t>Cash</w:t>
      </w:r>
    </w:p>
    <w:p>
      <w:pPr>
        <w:tabs>
          <w:tab w:val="left" w:pos="3600"/>
        </w:tabs>
        <w:ind w:left="3600" w:hanging="3240"/>
        <w:jc w:val="both"/>
        <w:rPr>
          <w:rFonts w:eastAsiaTheme="minorEastAsia"/>
        </w:rPr>
      </w:pPr>
      <w:r>
        <w:rPr>
          <w:rFonts w:eastAsiaTheme="minorEastAsia"/>
          <w:b/>
          <w:i/>
        </w:rPr>
        <w:t>Number of securities:</w:t>
      </w:r>
      <w:r>
        <w:rPr>
          <w:rFonts w:eastAsiaTheme="minorEastAsia"/>
        </w:rPr>
        <w:tab/>
      </w:r>
      <w:r>
        <w:rPr>
          <w:rFonts w:eastAsiaTheme="minorEastAsia"/>
        </w:rPr>
        <w:t xml:space="preserve">1,000,000</w:t>
      </w:r>
      <w:r>
        <w:rPr>
          <w:rFonts w:eastAsiaTheme="minorEastAsia"/>
        </w:rPr>
        <w:t xml:space="preserve"> shares</w:t>
      </w:r>
    </w:p>
    <w:p>
      <w:pPr>
        <w:tabs>
          <w:tab w:val="left" w:pos="3600"/>
        </w:tabs>
        <w:ind w:left="3600" w:hanging="3240"/>
        <w:jc w:val="both"/>
        <w:rPr>
          <w:rFonts w:eastAsiaTheme="minorEastAsia"/>
          <w:i/>
        </w:rPr>
      </w:pPr>
      <w:r>
        <w:rPr>
          <w:rFonts w:eastAsiaTheme="minorEastAsia"/>
          <w:b/>
          <w:i/>
        </w:rPr>
        <w:t>Price</w:t>
      </w:r>
      <w:r>
        <w:rPr>
          <w:rFonts w:eastAsiaTheme="minorEastAsia"/>
        </w:rPr>
        <w:t xml:space="preserve"> </w:t>
      </w:r>
      <w:r>
        <w:rPr>
          <w:rFonts w:eastAsiaTheme="minorEastAsia"/>
          <w:b/>
          <w:i/>
        </w:rPr>
        <w:t>per</w:t>
      </w:r>
      <w:r>
        <w:rPr>
          <w:rFonts w:eastAsiaTheme="minorEastAsia"/>
        </w:rPr>
        <w:t xml:space="preserve"> </w:t>
      </w:r>
      <w:r>
        <w:rPr>
          <w:rFonts w:eastAsiaTheme="minorEastAsia"/>
          <w:b/>
          <w:i/>
        </w:rPr>
        <w:t>share</w:t>
      </w:r>
      <w:r>
        <w:rPr>
          <w:rFonts w:eastAsiaTheme="minorEastAsia"/>
          <w:b/>
          <w:i/>
        </w:rPr>
        <w:t>:</w:t>
      </w:r>
      <w:r>
        <w:rPr>
          <w:rFonts w:eastAsiaTheme="minorEastAsia"/>
        </w:rPr>
        <w:tab/>
      </w:r>
      <w:r>
        <w:rPr>
          <w:rFonts w:eastAsiaTheme="minorEastAsia"/>
        </w:rPr>
        <w:t xml:space="preserve">$1.00</w:t>
      </w:r>
    </w:p>
    <w:p>
      <w:pPr>
        <w:pStyle w:val="Term1"/>
        <w:spacing w:before="240"/>
        <w:jc w:val="both"/>
        <w:rPr>
          <w:kern w:val="0"/>
        </w:rPr>
      </w:pPr>
      <w:r>
        <w:rPr>
          <w:b/>
          <w:i/>
          <w:kern w:val="0"/>
        </w:rPr>
        <w:t>Investors:</w:t>
      </w:r>
      <w:r>
        <w:rPr>
          <w:kern w:val="0"/>
        </w:rPr>
        <w:tab/>
      </w:r>
      <w:r>
        <w:rPr/>
        <w:t xml:space="preserve">Monk's Hill Ventures</w:t>
      </w:r>
      <w:r>
        <w:rPr/>
      </w:r>
      <w:r>
        <w:rPr>
          <w:kern w:val="0"/>
        </w:rPr>
        <w:t xml:space="preserve"> or affiliated entities, and other investors acceptable to the Company.</w:t>
      </w:r>
    </w:p>
    <w:p>
      <w:pPr>
        <w:tabs>
          <w:tab w:val="left" w:pos="3600"/>
        </w:tabs>
        <w:ind w:left="3600" w:hanging="3240"/>
        <w:jc w:val="both"/>
      </w:pPr>
      <w:r>
        <w:rPr>
          <w:color w:val="FF0000"/>
        </w:rPr>
        <w:lastRenderedPageBreak/>
      </w:r>
      <w:r>
        <w:rPr>
          <w:b/>
          <w:i/>
        </w:rPr>
        <w:t>Capitalization:</w:t>
      </w:r>
      <w:r>
        <w:tab/>
        <w:t xml:space="preserve">See </w:t>
      </w:r>
      <w:r>
        <w:fldChar w:fldCharType="begin"/>
      </w:r>
      <w:r>
        <w:instrText xml:space="preserve"> REF _Ref203226206 \r \h  \* MERGEFORMAT </w:instrText>
      </w:r>
      <w:r>
        <w:fldChar w:fldCharType="separate"/>
      </w:r>
      <w:r>
        <w:t>Exhibit A</w:t>
      </w:r>
      <w:r>
        <w:fldChar w:fldCharType="end"/>
      </w:r>
      <w:r>
        <w:rPr>
          <w:b/>
        </w:rPr>
        <w:t xml:space="preserve"> </w:t>
      </w:r>
      <w:r>
        <w:t>for the pre-financing capitalization of the Company</w:t>
      </w:r>
      <w:r>
        <w:t xml:space="preserve"> and the </w:t>
      </w:r>
      <w:r>
        <w:rPr>
          <w:i/>
        </w:rPr>
        <w:t>pro forma</w:t>
      </w:r>
      <w:r>
        <w:t xml:space="preserve"> capitalization following the proposed offering</w:t>
      </w:r>
      <w:r>
        <w:t>.</w:t>
      </w:r>
    </w:p>
    <w:p>
      <w:pPr>
        <w:tabs>
          <w:tab w:val="left" w:pos="3600"/>
        </w:tabs>
        <w:ind w:left="3600" w:hanging="3240"/>
        <w:jc w:val="both"/>
      </w:pPr>
      <w:r>
        <w:rPr>
          <w:b/>
          <w:i/>
        </w:rPr>
        <w:t>Anticipated closing date:</w:t>
      </w:r>
      <w:r>
        <w:tab/>
      </w:r>
      <w:r>
        <w:t>Initial closing on</w:t>
      </w:r>
      <w:r>
        <w:t xml:space="preserve"> or before </w:t>
      </w:r>
      <w:r>
        <w:rPr/>
        <w:t xml:space="preserve">May 31, 2019</w:t>
      </w:r>
      <w:r>
        <w:t xml:space="preserve">, with one or more additional closings within </w:t>
      </w:r>
      <w:r>
        <w:rPr/>
        <w:t xml:space="preserve">60</w:t>
      </w:r>
      <w:r>
        <w:t xml:space="preserve"> days thereafter</w:t>
      </w:r>
      <w:r>
        <w:t>.</w:t>
      </w:r>
    </w:p>
    <w:p>
      <w:pPr>
        <w:keepNext/>
        <w:ind w:firstLine="0"/>
        <w:rPr>
          <w:rFonts w:ascii="Times New Roman Bold" w:eastAsiaTheme="minorEastAsia" w:hAnsi="Times New Roman Bold"/>
          <w:caps/>
        </w:rPr>
      </w:pPr>
      <w:r>
        <w:rPr>
          <w:rFonts w:ascii="Times New Roman Bold" w:eastAsiaTheme="minorEastAsia" w:hAnsi="Times New Roman Bold"/>
          <w:b/>
          <w:caps/>
        </w:rPr>
        <w:t>TERMS OF THE PREFERRED</w:t>
      </w:r>
    </w:p>
    <w:p>
      <w:pPr>
        <w:tabs>
          <w:tab w:val="left" w:pos="3600"/>
        </w:tabs>
        <w:ind w:left="3600" w:hanging="3240"/>
        <w:jc w:val="both"/>
        <w:rPr>
          <w:rFonts w:eastAsiaTheme="minorEastAsia"/>
          <w:kern w:val="28"/>
        </w:rPr>
      </w:pPr>
      <w:r>
        <w:rPr>
          <w:rFonts w:eastAsiaTheme="minorEastAsia"/>
          <w:b/>
          <w:i/>
        </w:rPr>
        <w:t>Dividends:</w:t>
      </w:r>
      <w:r>
        <w:rPr>
          <w:rFonts w:eastAsiaTheme="minorEastAsia"/>
        </w:rPr>
        <w:tab/>
      </w:r>
      <w:r>
        <w:rPr>
          <w:rFonts w:eastAsiaTheme="minorEastAsia"/>
          <w:i/>
          <w:kern w:val="28"/>
        </w:rPr>
        <w:t>Dividend rate:</w:t>
      </w:r>
      <w:r>
        <w:rPr>
          <w:rFonts w:eastAsiaTheme="minorEastAsia"/>
          <w:kern w:val="28"/>
        </w:rPr>
        <w:t xml:space="preserve"> </w:t>
      </w:r>
      <w:r>
        <w:rPr>
          <w:rFonts w:eastAsiaTheme="minorEastAsia"/>
        </w:rPr>
        <w:t xml:space="preserve">5</w:t>
      </w:r>
      <w:r>
        <w:rPr>
          <w:rFonts w:eastAsiaTheme="minorEastAsia"/>
          <w:kern w:val="28"/>
        </w:rPr>
        <w:t>%</w:t>
      </w:r>
    </w:p>
    <w:p>
      <w:pPr>
        <w:ind w:left="3600" w:firstLine="0"/>
        <w:jc w:val="both"/>
        <w:rPr>
          <w:rFonts w:eastAsiaTheme="minorEastAsia"/>
          <w:kern w:val="28"/>
        </w:rPr>
      </w:pPr>
      <w:r>
        <w:rPr>
          <w:rFonts w:eastAsiaTheme="minorEastAsia"/>
          <w:i/>
          <w:kern w:val="28"/>
        </w:rPr>
        <w:t>Cumulation:</w:t>
      </w:r>
      <w:r>
        <w:rPr>
          <w:rFonts w:eastAsiaTheme="minorEastAsia"/>
          <w:kern w:val="28"/>
        </w:rPr>
        <w:t xml:space="preserve"> </w:t>
      </w:r>
      <w:r>
        <w:rPr>
          <w:rFonts w:eastAsiaTheme="minorEastAsia"/>
          <w:kern w:val="28"/>
        </w:rPr>
        <w:t>Noncumulative</w:t>
      </w:r>
    </w:p>
    <w:p>
      <w:pPr>
        <w:ind w:left="3600" w:firstLine="0"/>
        <w:jc w:val="both"/>
        <w:rPr>
          <w:rFonts w:eastAsiaTheme="minorEastAsia"/>
        </w:rPr>
      </w:pPr>
      <w:r>
        <w:rPr>
          <w:rFonts w:eastAsiaTheme="minorEastAsia"/>
          <w:i/>
          <w:kern w:val="28"/>
        </w:rPr>
        <w:t>Priority:</w:t>
      </w:r>
      <w:r>
        <w:rPr>
          <w:rFonts w:eastAsiaTheme="minorEastAsia"/>
          <w:kern w:val="28"/>
        </w:rPr>
        <w:t xml:space="preserve"> </w:t>
      </w:r>
      <w:r>
        <w:rPr>
          <w:rFonts w:eastAsiaTheme="minorEastAsia"/>
          <w:kern w:val="28"/>
        </w:rPr>
        <w:t>Senior to common</w:t>
      </w:r>
      <w:r>
        <w:rPr>
          <w:rFonts w:eastAsiaTheme="minorEastAsia"/>
          <w:kern w:val="28"/>
        </w:rPr>
        <w:t>.</w:t>
      </w:r>
    </w:p>
    <w:p>
      <w:pPr>
        <w:ind w:left="3600" w:firstLine="0"/>
        <w:jc w:val="both"/>
        <w:rPr>
          <w:rFonts w:eastAsiaTheme="minorEastAsia"/>
        </w:rPr>
      </w:pPr>
      <w:r>
        <w:rPr>
          <w:rFonts w:eastAsiaTheme="minorEastAsia"/>
          <w:i/>
        </w:rPr>
        <w:t>Participation:</w:t>
      </w:r>
      <w:r>
        <w:rPr>
          <w:rFonts w:eastAsiaTheme="minorEastAsia"/>
        </w:rPr>
        <w:t xml:space="preserve"> </w:t>
      </w:r>
      <w:r>
        <w:rPr>
          <w:rFonts w:eastAsiaTheme="minorEastAsia"/>
        </w:rPr>
        <w:t>After preferential dividends, Series </w:t>
      </w:r>
      <w:r>
        <w:rPr>
          <w:rFonts w:eastAsiaTheme="minorEastAsia"/>
        </w:rPr>
        <w:t xml:space="preserve">A</w:t>
      </w:r>
      <w:r>
        <w:rPr>
          <w:rFonts w:eastAsiaTheme="minorEastAsia"/>
        </w:rPr>
        <w:t xml:space="preserve"> Preferred does not participate in further dividends</w:t>
      </w:r>
      <w:r>
        <w:rPr>
          <w:rFonts w:eastAsiaTheme="minorEastAsia"/>
        </w:rPr>
        <w:t>.</w:t>
      </w:r>
    </w:p>
    <w:p>
      <w:pPr>
        <w:pStyle w:val="Term1"/>
        <w:spacing w:before="240"/>
        <w:jc w:val="both"/>
      </w:pPr>
      <w:r>
        <w:rPr>
          <w:b/>
          <w:i/>
        </w:rPr>
        <w:t>Liquidation preference:</w:t>
      </w:r>
      <w:r>
        <w:rPr>
          <w:b/>
          <w:i/>
        </w:rPr>
        <w:tab/>
      </w:r>
      <w:r>
        <w:rPr>
          <w:i/>
        </w:rPr>
        <w:t>Amount:</w:t>
      </w:r>
      <w:r>
        <w:t xml:space="preserve"> </w:t>
      </w:r>
      <w:r>
        <w:t>Original purchase price plus accrued dividends</w:t>
      </w:r>
      <w:r>
        <w:t>.</w:t>
      </w:r>
    </w:p>
    <w:p>
      <w:pPr>
        <w:pStyle w:val="Term1"/>
        <w:spacing w:before="240"/>
        <w:ind w:firstLine="0"/>
        <w:jc w:val="both"/>
        <w:rPr>
          <w:rFonts w:eastAsiaTheme="minorEastAsia"/>
        </w:rPr>
      </w:pPr>
      <w:r>
        <w:rPr>
          <w:rFonts w:eastAsiaTheme="minorEastAsia"/>
          <w:i/>
        </w:rPr>
        <w:t>Priority:</w:t>
      </w:r>
      <w:r>
        <w:rPr>
          <w:rFonts w:eastAsiaTheme="minorEastAsia"/>
        </w:rPr>
        <w:t xml:space="preserve"> </w:t>
      </w:r>
      <w:r>
        <w:rPr>
          <w:rFonts w:eastAsiaTheme="minorEastAsia"/>
        </w:rPr>
        <w:t>Senior to common</w:t>
      </w:r>
      <w:r>
        <w:rPr>
          <w:rFonts w:eastAsiaTheme="minorEastAsia"/>
        </w:rPr>
        <w:t>.</w:t>
      </w:r>
    </w:p>
    <w:p>
      <w:pPr>
        <w:ind w:left="3600" w:firstLine="0"/>
        <w:jc w:val="both"/>
        <w:rPr>
          <w:color w:val="000000"/>
        </w:rPr>
      </w:pPr>
      <w:r>
        <w:rPr>
          <w:i/>
        </w:rPr>
        <w:t>Participation:</w:t>
      </w:r>
      <w:r>
        <w:t xml:space="preserve"> After payment of preferential liquidation proceeds, </w:t>
      </w:r>
      <w:r>
        <w:t>the Series </w:t>
      </w:r>
      <w:r>
        <w:rPr/>
        <w:t xml:space="preserve">A</w:t>
      </w:r>
      <w:r>
        <w:t xml:space="preserve"> Preferred participates in liquidation </w:t>
      </w:r>
      <w:r>
        <w:lastRenderedPageBreak/>
        <w:t>proceeds to the common</w:t>
      </w:r>
      <w:r>
        <w:rPr>
          <w:color w:val="000000"/>
        </w:rPr>
        <w:t>.</w:t>
      </w:r>
    </w:p>
    <w:p>
      <w:pPr>
        <w:ind w:left="3600" w:firstLine="0"/>
        <w:jc w:val="both"/>
      </w:pPr>
      <w:r>
        <w:rPr>
          <w:i/>
        </w:rPr>
        <w:t>Limit on participation:</w:t>
      </w:r>
      <w:r>
        <w:t xml:space="preserve"> </w:t>
      </w:r>
      <w:r>
        <w:t>No cap on participation</w:t>
      </w:r>
      <w:r>
        <w:t>.</w:t>
      </w:r>
    </w:p>
    <w:p>
      <w:pPr>
        <w:ind w:left="3600" w:firstLine="0"/>
        <w:jc w:val="both"/>
      </w:pPr>
      <w:r>
        <w:rPr>
          <w:i/>
        </w:rPr>
        <w:t xml:space="preserve">Deemed liquidation: </w:t>
      </w:r>
      <w:r>
        <w:t xml:space="preserve">A sale of all or substantially all of the Company’s assets or a merger or consolidation of the Company with any other company will be treated as a liquidation of the Company. </w:t>
      </w:r>
    </w:p>
    <w:p>
      <w:pPr>
        <w:pStyle w:val="Term1"/>
        <w:spacing w:before="240"/>
        <w:jc w:val="both"/>
        <w:rPr>
          <w:b/>
          <w:i/>
        </w:rPr>
      </w:pPr>
      <w:r>
        <w:rPr>
          <w:b/>
          <w:i/>
        </w:rPr>
        <w:t>Redemption:</w:t>
      </w:r>
      <w:r>
        <w:rPr>
          <w:b/>
          <w:i/>
        </w:rPr>
        <w:tab/>
      </w:r>
      <w:r>
        <w:t>The Series </w:t>
      </w:r>
      <w:r>
        <w:rPr/>
        <w:t xml:space="preserve">A</w:t>
      </w:r>
      <w:r>
        <w:t xml:space="preserve"> Preferred will not have redemption rights.</w:t>
      </w:r>
    </w:p>
    <w:p>
      <w:pPr>
        <w:pStyle w:val="Term1"/>
        <w:spacing w:before="240"/>
        <w:jc w:val="both"/>
        <w:rPr>
          <w:b/>
          <w:i/>
        </w:rPr>
      </w:pPr>
      <w:r>
        <w:rPr>
          <w:b/>
          <w:i/>
        </w:rPr>
        <w:t>Conversion:</w:t>
      </w:r>
      <w:r>
        <w:rPr>
          <w:b/>
          <w:i/>
        </w:rPr>
        <w:tab/>
      </w:r>
      <w:r>
        <w:t>The Series </w:t>
      </w:r>
      <w:r>
        <w:rPr/>
        <w:t xml:space="preserve">A</w:t>
      </w:r>
      <w:r>
        <w:t xml:space="preserve"> Preferred may be converted at any time, at the option of the holder, into shares of common stock. The conversion rate will initially be </w:t>
      </w:r>
      <w:r>
        <w:rPr/>
        <w:t xml:space="preserve">1</w:t>
      </w:r>
      <w:r>
        <w:t>:1, subject to anti-dilution and other customary adjustments.</w:t>
      </w:r>
    </w:p>
    <w:p>
      <w:pPr>
        <w:pStyle w:val="Term1"/>
        <w:spacing w:before="240"/>
        <w:jc w:val="both"/>
      </w:pPr>
      <w:r>
        <w:rPr>
          <w:b/>
          <w:i/>
        </w:rPr>
        <w:t>Automatic conversion:</w:t>
      </w:r>
      <w:r>
        <w:rPr>
          <w:b/>
          <w:i/>
        </w:rPr>
        <w:tab/>
      </w:r>
      <w:r>
        <w:t xml:space="preserve">Each share of </w:t>
      </w:r>
      <w:r>
        <w:t>preferred stock</w:t>
      </w:r>
      <w:r>
        <w:t xml:space="preserve"> will automatically convert into common stock, at the then applicable conversion rate, upon (i) the closing of a firmly underwritten public offering of common stock</w:t>
      </w:r>
      <w:r>
        <w:t xml:space="preserve"> at a price per share that is at least </w:t>
      </w:r>
      <w:r>
        <w:rPr/>
        <w:t xml:space="preserve">$4.00</w:t>
      </w:r>
      <w:r>
        <w:t xml:space="preserve"> (a “</w:t>
      </w:r>
      <w:r>
        <w:rPr>
          <w:b/>
          <w:i/>
        </w:rPr>
        <w:t>Qualified Public Offering</w:t>
      </w:r>
      <w:r>
        <w:t xml:space="preserve">”), or (ii) the consent of the holders of </w:t>
      </w:r>
      <w:r>
        <w:rPr/>
        <w:t xml:space="preserve">80%</w:t>
      </w:r>
      <w:r>
        <w:t xml:space="preserve"> of the then outstanding shares of the </w:t>
      </w:r>
      <w:r>
        <w:t>preferred stock</w:t>
      </w:r>
      <w:r>
        <w:t>.</w:t>
      </w:r>
    </w:p>
    <w:p>
      <w:pPr>
        <w:pStyle w:val="Term1"/>
        <w:spacing w:before="240"/>
        <w:jc w:val="both"/>
        <w:rPr>
          <w:b/>
          <w:i/>
        </w:rPr>
      </w:pPr>
      <w:r>
        <w:rPr>
          <w:b/>
          <w:i/>
        </w:rPr>
        <w:t>Anti-dilution:</w:t>
      </w:r>
      <w:r>
        <w:rPr>
          <w:b/>
          <w:i/>
        </w:rPr>
        <w:tab/>
      </w:r>
      <w:r>
        <w:rPr>
          <w:i/>
        </w:rPr>
        <w:t>Adjustments.</w:t>
      </w:r>
      <w:r>
        <w:t xml:space="preserve"> The conversion price of the Series </w:t>
      </w:r>
      <w:r>
        <w:rPr/>
        <w:t xml:space="preserve">A</w:t>
      </w:r>
      <w:r>
        <w:t xml:space="preserve"> Preferred will be subject to adjustment, on a </w:t>
      </w:r>
      <w:r>
        <w:t>broad-based weighted-average</w:t>
      </w:r>
      <w:r>
        <w:t xml:space="preserve"> basis</w:t>
      </w:r>
      <w:r>
        <w:t>, if the Company issues additional securities at a price per share less than the then applicable conversion price.</w:t>
      </w:r>
    </w:p>
    <w:p>
      <w:pPr>
        <w:tabs>
          <w:tab w:val="left" w:pos="3600"/>
        </w:tabs>
        <w:ind w:left="3600" w:hanging="3240"/>
        <w:jc w:val="both"/>
      </w:pPr>
      <w:r>
        <w:tab/>
      </w:r>
      <w:r>
        <w:rPr>
          <w:i/>
        </w:rPr>
        <w:t>Exceptions.</w:t>
      </w:r>
      <w:r>
        <w:t xml:space="preserve"> There will be no adjustment to the conversion price for:</w:t>
      </w:r>
    </w:p>
    <w:p>
      <w:pPr>
        <w:numPr>
          <w:ilvl w:val="0"/>
          <w:numId w:val="9"/>
        </w:numPr>
        <w:tabs>
          <w:tab w:val="clear" w:pos="1080"/>
          <w:tab w:val="num" w:pos="4320"/>
        </w:tabs>
        <w:ind w:left="4320"/>
        <w:jc w:val="both"/>
        <w:rPr>
          <w:rFonts w:eastAsiaTheme="minorEastAsia"/>
        </w:rPr>
      </w:pPr>
      <w:bookmarkStart w:id="1" w:name="OLE_LINK19"/>
      <w:bookmarkStart w:id="2" w:name="OLE_LINK20"/>
      <w:r>
        <w:rPr>
          <w:rFonts w:eastAsiaTheme="minorEastAsia"/>
        </w:rPr>
        <w:t>shares issued upon conversion of the Series </w:t>
      </w:r>
      <w:r>
        <w:rPr>
          <w:rFonts w:eastAsiaTheme="minorEastAsia"/>
        </w:rPr>
        <w:t xml:space="preserve">A</w:t>
      </w:r>
      <w:r>
        <w:rPr>
          <w:rFonts w:eastAsiaTheme="minorEastAsia"/>
        </w:rPr>
        <w:t xml:space="preserve"> Preferred</w:t>
      </w:r>
      <w:r>
        <w:rPr>
          <w:rFonts w:eastAsiaTheme="minorEastAsia"/>
        </w:rPr>
        <w:t xml:space="preserve">;</w:t>
      </w:r>
    </w:p>
    <w:p>
      <w:pPr>
        <w:numPr>
          <w:ilvl w:val="0"/>
          <w:numId w:val="9"/>
        </w:numPr>
        <w:tabs>
          <w:tab w:val="clear" w:pos="1080"/>
          <w:tab w:val="num" w:pos="4320"/>
        </w:tabs>
        <w:ind w:left="4320"/>
        <w:jc w:val="both"/>
        <w:rPr>
          <w:rFonts w:eastAsiaTheme="minorEastAsia"/>
        </w:rPr>
      </w:pPr>
      <w:r>
        <w:rPr>
          <w:rFonts w:eastAsiaTheme="minorEastAsia"/>
        </w:rPr>
        <w:t>shares or options, warrants or other rights issued to employees, consultants or directors in accordance with plans, agreements or similar arrangements</w:t>
      </w:r>
      <w:r>
        <w:rPr>
          <w:rFonts w:eastAsiaTheme="minorEastAsia"/>
        </w:rPr>
        <w:t xml:space="preserve">;</w:t>
      </w:r>
    </w:p>
    <w:p>
      <w:pPr>
        <w:numPr>
          <w:ilvl w:val="0"/>
          <w:numId w:val="9"/>
        </w:numPr>
        <w:tabs>
          <w:tab w:val="clear" w:pos="1080"/>
          <w:tab w:val="num" w:pos="4320"/>
        </w:tabs>
        <w:ind w:left="4320"/>
        <w:jc w:val="both"/>
        <w:rPr>
          <w:rFonts w:eastAsiaTheme="minorEastAsia"/>
        </w:rPr>
      </w:pPr>
      <w:r>
        <w:rPr>
          <w:rFonts w:eastAsiaTheme="minorEastAsia"/>
        </w:rPr>
        <w:t>shares issued upon exercise of options, warrants or convertible securities</w:t>
      </w:r>
      <w:r>
        <w:rPr>
          <w:rFonts w:eastAsiaTheme="minorEastAsia"/>
        </w:rPr>
        <w:t xml:space="preserve">;</w:t>
      </w:r>
    </w:p>
    <w:p>
      <w:pPr>
        <w:numPr>
          <w:ilvl w:val="0"/>
          <w:numId w:val="9"/>
        </w:numPr>
        <w:tabs>
          <w:tab w:val="clear" w:pos="1080"/>
          <w:tab w:val="num" w:pos="4320"/>
        </w:tabs>
        <w:ind w:left="4320"/>
        <w:jc w:val="both"/>
        <w:rPr>
          <w:rFonts w:eastAsiaTheme="minorEastAsia"/>
        </w:rPr>
      </w:pPr>
      <w:r>
        <w:rPr>
          <w:rFonts w:eastAsiaTheme="minorEastAsia"/>
        </w:rPr>
        <w:t xml:space="preserve">shares issued as a dividend or distribution on the preferred stock or for which adjustment is otherwise made pursuant to the </w:t>
      </w:r>
      <w:r>
        <w:rPr>
          <w:rFonts w:eastAsiaTheme="minorEastAsia"/>
        </w:rPr>
        <w:t>articles</w:t>
      </w:r>
      <w:r>
        <w:rPr>
          <w:rFonts w:eastAsiaTheme="minorEastAsia"/>
        </w:rPr>
        <w:t xml:space="preserve"> of incorporation (</w:t>
      </w:r>
      <w:r>
        <w:rPr>
          <w:rFonts w:eastAsiaTheme="minorEastAsia"/>
          <w:i/>
        </w:rPr>
        <w:t>e.g.,</w:t>
      </w:r>
      <w:r>
        <w:rPr>
          <w:rFonts w:eastAsiaTheme="minorEastAsia"/>
        </w:rPr>
        <w:t xml:space="preserve"> stock splits)</w:t>
      </w:r>
      <w:r>
        <w:rPr>
          <w:rFonts w:eastAsiaTheme="minorEastAsia"/>
        </w:rPr>
        <w:t xml:space="preserve">;</w:t>
      </w:r>
    </w:p>
    <w:p>
      <w:pPr>
        <w:numPr>
          <w:ilvl w:val="0"/>
          <w:numId w:val="9"/>
        </w:numPr>
        <w:tabs>
          <w:tab w:val="clear" w:pos="1080"/>
          <w:tab w:val="num" w:pos="4320"/>
        </w:tabs>
        <w:ind w:left="4320"/>
        <w:jc w:val="both"/>
        <w:rPr>
          <w:rFonts w:eastAsiaTheme="minorEastAsia"/>
        </w:rPr>
      </w:pPr>
      <w:r>
        <w:rPr>
          <w:rFonts w:eastAsiaTheme="minorEastAsia"/>
        </w:rPr>
        <w:t xml:space="preserve">shares issued in connection with a </w:t>
      </w:r>
      <w:r>
        <w:rPr>
          <w:rFonts w:eastAsiaTheme="minorEastAsia"/>
        </w:rPr>
        <w:t>Qualified Public Offering</w:t>
      </w:r>
      <w:r>
        <w:rPr>
          <w:rFonts w:eastAsiaTheme="minorEastAsia"/>
        </w:rPr>
        <w:t xml:space="preserve">;</w:t>
      </w:r>
    </w:p>
    <w:p>
      <w:pPr>
        <w:numPr>
          <w:ilvl w:val="0"/>
          <w:numId w:val="9"/>
        </w:numPr>
        <w:tabs>
          <w:tab w:val="clear" w:pos="1080"/>
          <w:tab w:val="num" w:pos="4320"/>
        </w:tabs>
        <w:ind w:left="4320"/>
        <w:jc w:val="both"/>
        <w:rPr>
          <w:rFonts w:eastAsiaTheme="minorEastAsia"/>
        </w:rPr>
      </w:pPr>
      <w:r>
        <w:rPr>
          <w:rFonts w:eastAsiaTheme="minorEastAsia"/>
        </w:rPr>
        <w:t>shares issued or issuable pursuant to an acquisition of another corporation or a joint venture agreement approved by the board</w:t>
      </w:r>
      <w:r>
        <w:rPr>
          <w:rFonts w:eastAsiaTheme="minorEastAsia"/>
          <w:color w:val="000000"/>
        </w:rPr>
        <w:t xml:space="preserve"> </w:t>
      </w:r>
      <w:r>
        <w:rPr>
          <w:rFonts w:eastAsiaTheme="minorEastAsia"/>
        </w:rPr>
        <w:t>(</w:t>
      </w:r>
      <w:r>
        <w:rPr>
          <w:rFonts w:eastAsiaTheme="minorEastAsia"/>
        </w:rPr>
        <w:t xml:space="preserve">more than half of directors have to confirm.</w:t>
      </w:r>
      <w:r>
        <w:rPr>
          <w:rFonts w:eastAsiaTheme="minorEastAsia"/>
        </w:rPr>
        <w:t>)</w:t>
      </w:r>
      <w:r>
        <w:rPr>
          <w:rFonts w:eastAsiaTheme="minorEastAsia"/>
        </w:rPr>
        <w:t xml:space="preserve">;</w:t>
      </w:r>
    </w:p>
    <w:p>
      <w:pPr>
        <w:numPr>
          <w:ilvl w:val="0"/>
          <w:numId w:val="9"/>
        </w:numPr>
        <w:tabs>
          <w:tab w:val="clear" w:pos="1080"/>
          <w:tab w:val="num" w:pos="4320"/>
        </w:tabs>
        <w:ind w:left="4320"/>
        <w:jc w:val="both"/>
        <w:rPr>
          <w:rFonts w:eastAsiaTheme="minorEastAsia"/>
        </w:rPr>
      </w:pPr>
      <w:r>
        <w:rPr>
          <w:rFonts w:eastAsiaTheme="minorEastAsia"/>
        </w:rPr>
        <w:t>shares issued or issuable to banks, equipment lessors or other financial institutions pursuant to debt financing or commercial transactions approved by the board</w:t>
      </w:r>
      <w:r>
        <w:rPr>
          <w:rFonts w:eastAsiaTheme="minorEastAsia"/>
        </w:rPr>
        <w:t xml:space="preserve"> (</w:t>
      </w:r>
      <w:r>
        <w:rPr>
          <w:rFonts w:eastAsiaTheme="minorEastAsia"/>
        </w:rPr>
        <w:t xml:space="preserve">more than half of directors have to confirm.</w:t>
      </w:r>
      <w:r>
        <w:rPr>
          <w:rFonts w:eastAsiaTheme="minorEastAsia"/>
        </w:rPr>
        <w:t>)</w:t>
      </w:r>
      <w:r>
        <w:rPr>
          <w:rFonts w:eastAsiaTheme="minorEastAsia"/>
        </w:rPr>
        <w:t xml:space="preserve">;</w:t>
      </w:r>
    </w:p>
    <w:p>
      <w:pPr>
        <w:numPr>
          <w:ilvl w:val="0"/>
          <w:numId w:val="9"/>
        </w:numPr>
        <w:tabs>
          <w:tab w:val="clear" w:pos="1080"/>
          <w:tab w:val="num" w:pos="4320"/>
        </w:tabs>
        <w:ind w:left="4320"/>
        <w:jc w:val="both"/>
        <w:rPr>
          <w:rFonts w:eastAsiaTheme="minorEastAsia"/>
        </w:rPr>
      </w:pPr>
      <w:r>
        <w:rPr>
          <w:rFonts w:eastAsiaTheme="minorEastAsia"/>
        </w:rPr>
        <w:t>shares issued or issuable in connection with any settlement approved by the board</w:t>
      </w:r>
      <w:r>
        <w:rPr>
          <w:rFonts w:eastAsiaTheme="minorEastAsia"/>
        </w:rPr>
        <w:t xml:space="preserve"> (</w:t>
      </w:r>
      <w:r>
        <w:rPr>
          <w:rFonts w:eastAsiaTheme="minorEastAsia"/>
        </w:rPr>
        <w:t xml:space="preserve">more than half of directors have to confirm.</w:t>
      </w:r>
      <w:r>
        <w:rPr>
          <w:rFonts w:eastAsiaTheme="minorEastAsia"/>
        </w:rPr>
        <w:t>)</w:t>
      </w:r>
      <w:r>
        <w:rPr>
          <w:rFonts w:eastAsiaTheme="minorEastAsia"/>
        </w:rPr>
        <w:t xml:space="preserve">;</w:t>
      </w:r>
    </w:p>
    <w:p>
      <w:pPr>
        <w:numPr>
          <w:ilvl w:val="0"/>
          <w:numId w:val="9"/>
        </w:numPr>
        <w:tabs>
          <w:tab w:val="clear" w:pos="1080"/>
          <w:tab w:val="num" w:pos="4320"/>
        </w:tabs>
        <w:ind w:left="4320"/>
        <w:jc w:val="both"/>
        <w:rPr>
          <w:rFonts w:eastAsiaTheme="minorEastAsia"/>
        </w:rPr>
      </w:pPr>
      <w:r>
        <w:rPr>
          <w:rFonts w:eastAsiaTheme="minorEastAsia"/>
        </w:rPr>
        <w:t>shares issued or issuable in connection with sponsored research, collaboration, technology license, development, OEM, marketing or other similar arrangements or strategic partnerships approved by the board</w:t>
      </w:r>
      <w:r>
        <w:rPr>
          <w:rFonts w:eastAsiaTheme="minorEastAsia"/>
        </w:rPr>
        <w:t xml:space="preserve"> (</w:t>
      </w:r>
      <w:r>
        <w:rPr>
          <w:rFonts w:eastAsiaTheme="minorEastAsia"/>
        </w:rPr>
        <w:t xml:space="preserve">more than half of directors have to confirm.</w:t>
      </w:r>
      <w:r>
        <w:rPr>
          <w:rFonts w:eastAsiaTheme="minorEastAsia"/>
        </w:rPr>
        <w:t>)</w:t>
      </w:r>
      <w:r>
        <w:rPr>
          <w:rFonts w:eastAsiaTheme="minorEastAsia"/>
        </w:rPr>
        <w:t xml:space="preserve">;</w:t>
      </w:r>
    </w:p>
    <w:p>
      <w:pPr>
        <w:numPr>
          <w:ilvl w:val="0"/>
          <w:numId w:val="9"/>
        </w:numPr>
        <w:tabs>
          <w:tab w:val="clear" w:pos="1080"/>
          <w:tab w:val="num" w:pos="4320"/>
        </w:tabs>
        <w:ind w:left="4320"/>
        <w:jc w:val="both"/>
        <w:rPr>
          <w:rFonts w:eastAsiaTheme="minorEastAsia"/>
        </w:rPr>
      </w:pPr>
      <w:r>
        <w:rPr>
          <w:rFonts w:eastAsiaTheme="minorEastAsia"/>
        </w:rPr>
        <w:t>shares issued to suppliers of goods or services in connection with the provision of goods or services pursuant to transactions approved by the board</w:t>
      </w:r>
      <w:r>
        <w:rPr>
          <w:rFonts w:eastAsiaTheme="minorEastAsia"/>
        </w:rPr>
        <w:t xml:space="preserve"> (</w:t>
      </w:r>
      <w:r>
        <w:rPr>
          <w:rFonts w:eastAsiaTheme="minorEastAsia"/>
        </w:rPr>
        <w:t xml:space="preserve">more than half of directors have to confirm.</w:t>
      </w:r>
      <w:r>
        <w:rPr>
          <w:rFonts w:eastAsiaTheme="minorEastAsia"/>
        </w:rPr>
        <w:t>)</w:t>
      </w:r>
      <w:r>
        <w:rPr>
          <w:rFonts w:eastAsiaTheme="minorEastAsia"/>
        </w:rPr>
        <w:t xml:space="preserve">;</w:t>
      </w:r>
    </w:p>
    <w:p>
      <w:pPr>
        <w:numPr>
          <w:ilvl w:val="0"/>
          <w:numId w:val="9"/>
        </w:numPr>
        <w:tabs>
          <w:tab w:val="clear" w:pos="1080"/>
          <w:tab w:val="num" w:pos="4320"/>
        </w:tabs>
        <w:ind w:left="4320"/>
        <w:jc w:val="both"/>
        <w:rPr>
          <w:rFonts w:eastAsiaTheme="minorEastAsia"/>
          <w:color w:val="000000"/>
        </w:rPr>
      </w:pPr>
      <w:r>
        <w:rPr>
          <w:rFonts w:eastAsiaTheme="minorEastAsia"/>
          <w:color w:val="000000"/>
        </w:rPr>
        <w:t xml:space="preserve">shares issued pursuant to </w:t>
      </w:r>
      <w:r>
        <w:rPr>
          <w:rFonts w:eastAsiaTheme="minorEastAsia"/>
          <w:color w:val="000000"/>
        </w:rPr>
        <w:t xml:space="preserve">other </w:t>
      </w:r>
      <w:r>
        <w:rPr>
          <w:rFonts w:eastAsiaTheme="minorEastAsia"/>
          <w:color w:val="000000"/>
        </w:rPr>
        <w:t>transactions approved by the board</w:t>
      </w:r>
      <w:r>
        <w:rPr>
          <w:rFonts w:eastAsiaTheme="minorEastAsia"/>
        </w:rPr>
        <w:t xml:space="preserve"> (</w:t>
      </w:r>
      <w:r>
        <w:rPr>
          <w:rFonts w:eastAsiaTheme="minorEastAsia"/>
        </w:rPr>
        <w:t xml:space="preserve">more than half of directors have to confirm.</w:t>
      </w:r>
      <w:r>
        <w:rPr>
          <w:rFonts w:eastAsiaTheme="minorEastAsia"/>
        </w:rPr>
        <w:t>)</w:t>
      </w:r>
      <w:r>
        <w:rPr>
          <w:rFonts w:eastAsiaTheme="minorEastAsia"/>
        </w:rPr>
        <w:t xml:space="preserve">; and </w:t>
      </w:r>
    </w:p>
    <w:p>
      <w:pPr>
        <w:numPr>
          <w:ilvl w:val="0"/>
          <w:numId w:val="9"/>
        </w:numPr>
        <w:tabs>
          <w:tab w:val="clear" w:pos="1080"/>
          <w:tab w:val="num" w:pos="4320"/>
        </w:tabs>
        <w:ind w:left="4320"/>
        <w:jc w:val="both"/>
        <w:rPr>
          <w:rFonts w:eastAsiaTheme="minorEastAsia"/>
        </w:rPr>
      </w:pPr>
      <w:r>
        <w:rPr>
          <w:rFonts w:eastAsiaTheme="minorEastAsia"/>
        </w:rPr>
        <w:t xml:space="preserve">shares that are otherwise excluded by consent of holders of </w:t>
      </w:r>
      <w:r>
        <w:rPr>
          <w:rFonts w:eastAsiaTheme="minorEastAsia"/>
        </w:rPr>
        <w:t xml:space="preserve">a majority</w:t>
      </w:r>
      <w:r>
        <w:rPr>
          <w:rFonts w:eastAsiaTheme="minorEastAsia"/>
        </w:rPr>
        <w:t xml:space="preserve"> of the Series </w:t>
      </w:r>
      <w:r>
        <w:rPr>
          <w:rFonts w:eastAsiaTheme="minorEastAsia"/>
        </w:rPr>
        <w:t xml:space="preserve">A</w:t>
      </w:r>
      <w:r>
        <w:rPr>
          <w:rFonts w:eastAsiaTheme="minorEastAsia"/>
        </w:rPr>
        <w:t xml:space="preserve"> Preferred</w:t>
      </w:r>
      <w:r>
        <w:rPr>
          <w:rFonts w:eastAsiaTheme="minorEastAsia"/>
        </w:rPr>
        <w:t xml:space="preserve">.</w:t>
      </w:r>
    </w:p>
    <w:bookmarkEnd w:id="1"/>
    <w:bookmarkEnd w:id="2"/>
    <w:p>
      <w:pPr>
        <w:tabs>
          <w:tab w:val="left" w:pos="3600"/>
        </w:tabs>
        <w:ind w:left="3600" w:hanging="3240"/>
        <w:jc w:val="both"/>
        <w:rPr>
          <w:b/>
          <w:i/>
        </w:rPr>
      </w:pPr>
      <w:r>
        <w:rPr>
          <w:b/>
          <w:i/>
        </w:rPr>
        <w:t>General voting rights:</w:t>
      </w:r>
      <w:r>
        <w:rPr>
          <w:b/>
          <w:i/>
        </w:rPr>
        <w:tab/>
      </w:r>
      <w:r>
        <w:t xml:space="preserve">Each share of preferred stock will have the right to a number of votes equal to the number of shares of common stock issuable upon conversion of each such share of preferred stock. </w:t>
      </w:r>
      <w:r>
        <w:t xml:space="preserve">The preferred stock will vote with the common stock on all matters except as specifically provided in the </w:t>
      </w:r>
      <w:r>
        <w:t>articles</w:t>
      </w:r>
      <w:r>
        <w:t xml:space="preserve"> of incorporation or as otherwise required by law.</w:t>
      </w:r>
    </w:p>
    <w:p>
      <w:pPr>
        <w:tabs>
          <w:tab w:val="left" w:pos="3600"/>
        </w:tabs>
        <w:ind w:left="3600" w:hanging="3240"/>
        <w:jc w:val="both"/>
        <w:rPr>
          <w:color w:val="000000"/>
        </w:rPr>
      </w:pPr>
      <w:r>
        <w:rPr>
          <w:b/>
          <w:i/>
        </w:rPr>
        <w:t>Voting for directors:</w:t>
      </w:r>
      <w:r>
        <w:tab/>
      </w:r>
      <w:r>
        <w:t xml:space="preserve">The holders of common stock will be entitled to elect </w:t>
      </w:r>
      <w:r>
        <w:rPr/>
        <w:t xml:space="preserve">three</w:t>
      </w:r>
      <w:r>
        <w:t xml:space="preserve"> director</w:t>
      </w:r>
      <w:r>
        <w:t>s</w:t>
      </w:r>
      <w:r>
        <w:t xml:space="preserve">. </w:t>
      </w:r>
      <w:r>
        <w:t>Any additional directors</w:t>
      </w:r>
      <w:r>
        <w:t xml:space="preserve"> will be elected by the holders of preferred stock and common stock voting together.</w:t>
      </w:r>
    </w:p>
    <w:p>
      <w:pPr>
        <w:pStyle w:val="Term1"/>
        <w:spacing w:before="240"/>
        <w:jc w:val="both"/>
        <w:rPr>
          <w:color w:val="000000"/>
        </w:rPr>
      </w:pPr>
      <w:r>
        <w:rPr>
          <w:b/>
          <w:i/>
        </w:rPr>
        <w:t>Protective provisions:</w:t>
      </w:r>
      <w:r>
        <w:rPr>
          <w:b/>
          <w:i/>
        </w:rPr>
        <w:tab/>
      </w:r>
      <w:r>
        <w:t>Consent</w:t>
      </w:r>
      <w:r>
        <w:t xml:space="preserve"> of the holders of at least </w:t>
      </w:r>
      <w:r>
        <w:rPr/>
        <w:t xml:space="preserve">50</w:t>
      </w:r>
      <w:r>
        <w:t>% of the Series </w:t>
      </w:r>
      <w:r>
        <w:rPr/>
        <w:t xml:space="preserve">A</w:t>
      </w:r>
      <w:r>
        <w:t xml:space="preserve"> Preferred will be required to:</w:t>
      </w:r>
    </w:p>
    <w:p>
      <w:pPr>
        <w:pStyle w:val="Heading3"/>
        <w:numPr>
          <w:ilvl w:val="2"/>
          <w:numId w:val="7"/>
        </w:numPr>
        <w:tabs>
          <w:tab w:val="clear" w:pos="2520"/>
          <w:tab w:val="num" w:pos="4320"/>
        </w:tabs>
        <w:ind w:left="4320"/>
        <w:jc w:val="both"/>
      </w:pPr>
      <w:r>
        <w:t xml:space="preserve">alter any provision of the </w:t>
      </w:r>
      <w:r>
        <w:t>articles</w:t>
      </w:r>
      <w:r>
        <w:t xml:space="preserve"> of incorporation or the bylaws if it would</w:t>
      </w:r>
      <w:r>
        <w:t xml:space="preserve"> alter the rights, preferences, privileges or powers of or restrictions on the preferred stock or any series of preferred</w:t>
      </w:r>
      <w:r>
        <w:rPr/>
        <w:t xml:space="preserve">;</w:t>
      </w:r>
    </w:p>
    <w:p>
      <w:pPr>
        <w:pStyle w:val="Heading3"/>
        <w:numPr>
          <w:ilvl w:val="2"/>
          <w:numId w:val="7"/>
        </w:numPr>
        <w:tabs>
          <w:tab w:val="clear" w:pos="2520"/>
          <w:tab w:val="num" w:pos="4320"/>
        </w:tabs>
        <w:ind w:left="4320"/>
        <w:jc w:val="both"/>
      </w:pPr>
      <w:r>
        <w:t xml:space="preserve">authorize or create (by reclassification or otherwise) any new class or series of shares having rights, preferences or privileges with respect to dividends or liquidation senior to or on a parity with </w:t>
      </w:r>
      <w:r>
        <w:t>the Series </w:t>
      </w:r>
      <w:r>
        <w:rPr/>
        <w:t xml:space="preserve">A</w:t>
      </w:r>
      <w:r>
        <w:t xml:space="preserve"> Preferred</w:t>
      </w:r>
      <w:r>
        <w:rPr>
          <w:color w:val="000000"/>
        </w:rPr>
        <w:t xml:space="preserve"> </w:t>
      </w:r>
      <w:r>
        <w:t>or having voting rights other than those granted to the preferred stock generally</w:t>
      </w:r>
      <w:r>
        <w:rPr/>
        <w:t xml:space="preserve">;</w:t>
      </w:r>
    </w:p>
    <w:p>
      <w:pPr>
        <w:pStyle w:val="Heading3"/>
        <w:numPr>
          <w:ilvl w:val="2"/>
          <w:numId w:val="7"/>
        </w:numPr>
        <w:tabs>
          <w:tab w:val="clear" w:pos="2520"/>
          <w:tab w:val="num" w:pos="4320"/>
        </w:tabs>
        <w:ind w:left="4320"/>
        <w:jc w:val="both"/>
      </w:pPr>
      <w:r>
        <w:t>approve any transaction or series of transactions deemed to be a liquidation of the company</w:t>
      </w:r>
      <w:r>
        <w:rPr/>
        <w:t xml:space="preserve">;</w:t>
      </w:r>
    </w:p>
    <w:p>
      <w:pPr>
        <w:pStyle w:val="Heading3"/>
        <w:numPr>
          <w:ilvl w:val="2"/>
          <w:numId w:val="7"/>
        </w:numPr>
        <w:tabs>
          <w:tab w:val="clear" w:pos="2520"/>
          <w:tab w:val="num" w:pos="4320"/>
        </w:tabs>
        <w:ind w:left="4320"/>
        <w:jc w:val="both"/>
        <w:rPr>
          <w:color w:val="000000"/>
        </w:rPr>
      </w:pPr>
      <w:r>
        <w:t>approve the voluntary liquidation or dissolution of the Company</w:t>
      </w:r>
      <w:r>
        <w:rPr/>
        <w:t xml:space="preserve">; or</w:t>
      </w:r>
    </w:p>
    <w:p>
      <w:pPr>
        <w:pStyle w:val="Heading3"/>
        <w:numPr>
          <w:ilvl w:val="2"/>
          <w:numId w:val="7"/>
        </w:numPr>
        <w:tabs>
          <w:tab w:val="clear" w:pos="2520"/>
          <w:tab w:val="num" w:pos="4320"/>
        </w:tabs>
        <w:ind w:left="4320"/>
        <w:jc w:val="both"/>
      </w:pPr>
      <w:r>
        <w:t xml:space="preserve">declare or pay any dividend or distribution or approve any repurchase with respect to the preferred stock (except as otherwise provided in the </w:t>
      </w:r>
      <w:r>
        <w:t>articles</w:t>
      </w:r>
      <w:r>
        <w:t xml:space="preserve"> of incorporation) or the common stock (subject to customary exceptions)</w:t>
      </w:r>
      <w:r>
        <w:rPr/>
        <w:t xml:space="preserve">.</w:t>
      </w:r>
    </w:p>
    <w:p>
      <w:pPr>
        <w:keepNext/>
        <w:ind w:firstLine="0"/>
        <w:rPr>
          <w:rFonts w:ascii="Times New Roman Bold" w:hAnsi="Times New Roman Bold"/>
          <w:caps/>
        </w:rPr>
      </w:pPr>
      <w:r>
        <w:rPr>
          <w:rFonts w:ascii="Times New Roman Bold" w:hAnsi="Times New Roman Bold"/>
          <w:b/>
          <w:caps/>
        </w:rPr>
        <w:t>INVESTOR RIGHTS</w:t>
      </w:r>
    </w:p>
    <w:p>
      <w:pPr>
        <w:keepNext/>
        <w:tabs>
          <w:tab w:val="left" w:pos="3600"/>
        </w:tabs>
        <w:ind w:left="3600" w:hanging="3240"/>
        <w:jc w:val="both"/>
        <w:rPr>
          <w:rFonts w:eastAsiaTheme="minorEastAsia"/>
        </w:rPr>
      </w:pPr>
      <w:r>
        <w:rPr>
          <w:rFonts w:eastAsiaTheme="minorEastAsia"/>
          <w:b/>
          <w:i/>
        </w:rPr>
        <w:t>Right</w:t>
      </w:r>
      <w:r>
        <w:rPr>
          <w:rFonts w:eastAsiaTheme="minorEastAsia"/>
        </w:rPr>
        <w:t xml:space="preserve"> </w:t>
      </w:r>
      <w:r>
        <w:rPr>
          <w:rFonts w:eastAsiaTheme="minorEastAsia"/>
          <w:b/>
          <w:i/>
        </w:rPr>
        <w:t>to</w:t>
      </w:r>
      <w:r>
        <w:rPr>
          <w:rFonts w:eastAsiaTheme="minorEastAsia"/>
        </w:rPr>
        <w:t xml:space="preserve"> </w:t>
      </w:r>
      <w:r>
        <w:rPr>
          <w:rFonts w:eastAsiaTheme="minorEastAsia"/>
          <w:b/>
          <w:i/>
        </w:rPr>
        <w:t>maintain</w:t>
      </w:r>
    </w:p>
    <w:p>
      <w:pPr>
        <w:tabs>
          <w:tab w:val="left" w:pos="3600"/>
        </w:tabs>
        <w:spacing w:before="0"/>
        <w:ind w:left="3600" w:hanging="3240"/>
        <w:jc w:val="both"/>
        <w:rPr>
          <w:rFonts w:eastAsiaTheme="minorEastAsia"/>
        </w:rPr>
      </w:pPr>
      <w:r>
        <w:rPr>
          <w:rFonts w:eastAsiaTheme="minorEastAsia"/>
          <w:b/>
          <w:i/>
        </w:rPr>
        <w:t xml:space="preserve">   proportionate</w:t>
      </w:r>
      <w:r>
        <w:rPr>
          <w:rFonts w:eastAsiaTheme="minorEastAsia"/>
        </w:rPr>
        <w:t xml:space="preserve"> </w:t>
      </w:r>
      <w:r>
        <w:rPr>
          <w:rFonts w:eastAsiaTheme="minorEastAsia"/>
          <w:b/>
          <w:i/>
        </w:rPr>
        <w:t>ownership:</w:t>
      </w:r>
      <w:r>
        <w:rPr>
          <w:rFonts w:eastAsiaTheme="minorEastAsia"/>
        </w:rPr>
        <w:tab/>
        <w:t>Each holder of</w:t>
      </w:r>
      <w:r>
        <w:rPr>
          <w:rFonts w:eastAsiaTheme="minorEastAsia"/>
        </w:rPr>
        <w:t xml:space="preserve"> at least </w:t>
      </w:r>
      <w:r>
        <w:rPr>
          <w:rFonts w:eastAsiaTheme="minorEastAsia"/>
        </w:rPr>
        <w:t xml:space="preserve">300,000</w:t>
      </w:r>
      <w:r>
        <w:rPr>
          <w:rFonts w:eastAsiaTheme="minorEastAsia"/>
        </w:rPr>
        <w:t xml:space="preserve"> shares of</w:t>
      </w:r>
      <w:r>
        <w:rPr>
          <w:rFonts w:eastAsiaTheme="minorEastAsia"/>
        </w:rPr>
        <w:t xml:space="preserve"> </w:t>
      </w:r>
      <w:r>
        <w:rPr>
          <w:rFonts w:eastAsiaTheme="minorEastAsia"/>
        </w:rPr>
        <w:t>Series </w:t>
      </w:r>
      <w:r>
        <w:rPr>
          <w:rFonts w:eastAsiaTheme="minorEastAsia"/>
        </w:rPr>
        <w:t xml:space="preserve">A</w:t>
      </w:r>
      <w:r>
        <w:rPr>
          <w:rFonts w:eastAsiaTheme="minorEastAsia"/>
        </w:rPr>
        <w:t xml:space="preserve"> Preferred</w:t>
      </w:r>
      <w:r>
        <w:rPr>
          <w:rFonts w:eastAsiaTheme="minorEastAsia"/>
        </w:rPr>
        <w:t xml:space="preserve"> will have a right to purchase its </w:t>
      </w:r>
      <w:r>
        <w:rPr>
          <w:rFonts w:eastAsiaTheme="minorEastAsia"/>
          <w:i/>
        </w:rPr>
        <w:t>pro rata</w:t>
      </w:r>
      <w:r>
        <w:rPr>
          <w:rFonts w:eastAsiaTheme="minorEastAsia"/>
        </w:rPr>
        <w:t xml:space="preserve"> share of</w:t>
      </w:r>
      <w:r>
        <w:rPr>
          <w:rFonts w:eastAsiaTheme="minorEastAsia"/>
        </w:rPr>
        <w:t xml:space="preserve"> up to </w:t>
      </w:r>
      <w:r>
        <w:rPr>
          <w:rFonts w:eastAsiaTheme="minorEastAsia"/>
        </w:rPr>
        <w:t xml:space="preserve">20</w:t>
      </w:r>
      <w:r>
        <w:rPr>
          <w:rFonts w:eastAsiaTheme="minorEastAsia"/>
        </w:rPr>
        <w:t>% of</w:t>
      </w:r>
      <w:r>
        <w:rPr>
          <w:rFonts w:eastAsiaTheme="minorEastAsia"/>
        </w:rPr>
        <w:t xml:space="preserve"> any offering of new securities by the Company, subject to customary exceptions. The </w:t>
      </w:r>
      <w:r>
        <w:rPr>
          <w:rFonts w:eastAsiaTheme="minorEastAsia"/>
          <w:i/>
        </w:rPr>
        <w:t>pro rata</w:t>
      </w:r>
      <w:r>
        <w:rPr>
          <w:rFonts w:eastAsiaTheme="minorEastAsia"/>
        </w:rPr>
        <w:t xml:space="preserve"> share will be based on the ratio of (x) the number of shares of </w:t>
      </w:r>
      <w:r>
        <w:rPr>
          <w:rFonts w:eastAsiaTheme="minorEastAsia"/>
        </w:rPr>
        <w:t>Series </w:t>
      </w:r>
      <w:r>
        <w:rPr>
          <w:rFonts w:eastAsiaTheme="minorEastAsia"/>
        </w:rPr>
        <w:t xml:space="preserve">A</w:t>
      </w:r>
      <w:r>
        <w:rPr>
          <w:rFonts w:eastAsiaTheme="minorEastAsia"/>
        </w:rPr>
        <w:t xml:space="preserve"> Preferred</w:t>
      </w:r>
      <w:r>
        <w:rPr>
          <w:rFonts w:eastAsiaTheme="minorEastAsia"/>
        </w:rPr>
        <w:t xml:space="preserve"> held by such holder (on an as</w:t>
      </w:r>
      <w:r>
        <w:rPr>
          <w:rFonts w:eastAsiaTheme="minorEastAsia"/>
        </w:rPr>
        <w:noBreakHyphen/>
        <w:t>converted basis) to (y) </w:t>
      </w:r>
      <w:r>
        <w:rPr>
          <w:rFonts w:eastAsiaTheme="minorEastAsia"/>
        </w:rPr>
        <w:t>the Company’s outstanding securities (on an as</w:t>
      </w:r>
      <w:r>
        <w:rPr>
          <w:rFonts w:eastAsiaTheme="minorEastAsia"/>
        </w:rPr>
        <w:noBreakHyphen/>
        <w:t>converted and as-exercised basis)</w:t>
      </w:r>
      <w:r>
        <w:rPr>
          <w:rFonts w:eastAsiaTheme="minorEastAsia"/>
        </w:rPr>
        <w:t xml:space="preserve">. </w:t>
      </w:r>
      <w:r>
        <w:rPr>
          <w:rFonts w:eastAsiaTheme="minorEastAsia"/>
        </w:rPr>
        <w:t xml:space="preserve">This right will terminate immediately prior to </w:t>
      </w:r>
      <w:r>
        <w:rPr>
          <w:rFonts w:eastAsiaTheme="minorEastAsia"/>
        </w:rPr>
        <w:t>a Qualified Public Offering</w:t>
      </w:r>
      <w:r>
        <w:rPr>
          <w:rFonts w:eastAsiaTheme="minorEastAsia"/>
        </w:rPr>
        <w:t>.</w:t>
      </w:r>
    </w:p>
    <w:p>
      <w:pPr>
        <w:tabs>
          <w:tab w:val="left" w:pos="3600"/>
        </w:tabs>
        <w:ind w:left="3600" w:hanging="3240"/>
        <w:jc w:val="both"/>
        <w:rPr>
          <w:rFonts w:eastAsiaTheme="minorEastAsia"/>
        </w:rPr>
      </w:pPr>
      <w:r>
        <w:rPr>
          <w:rFonts w:eastAsiaTheme="minorEastAsia"/>
          <w:b/>
          <w:i/>
        </w:rPr>
        <w:t>Right of first refusal:</w:t>
      </w:r>
      <w:r>
        <w:rPr>
          <w:rFonts w:eastAsiaTheme="minorEastAsia"/>
        </w:rPr>
        <w:tab/>
        <w:t xml:space="preserve">In the event </w:t>
      </w:r>
      <w:r>
        <w:rPr>
          <w:rFonts w:eastAsiaTheme="minorEastAsia"/>
        </w:rPr>
        <w:t xml:space="preserve">Mojtaba Peyrovi</w:t>
      </w:r>
      <w:r>
        <w:rPr>
          <w:rFonts w:eastAsiaTheme="minorEastAsia"/>
        </w:rPr>
      </w:r>
      <w:r>
        <w:rPr>
          <w:rFonts w:eastAsiaTheme="minorEastAsia"/>
        </w:rPr>
        <w:t xml:space="preserve"> proposes to transfer any common stock</w:t>
      </w:r>
      <w:r>
        <w:rPr>
          <w:rFonts w:eastAsiaTheme="minorEastAsia"/>
          <w:color w:val="000000"/>
        </w:rPr>
        <w:t xml:space="preserve"> or other securities convertible into or exercisable for common stock</w:t>
      </w:r>
      <w:r>
        <w:rPr>
          <w:rFonts w:eastAsiaTheme="minorEastAsia"/>
        </w:rPr>
        <w:t xml:space="preserve">, </w:t>
      </w:r>
      <w:r>
        <w:rPr>
          <w:rFonts w:eastAsiaTheme="minorEastAsia"/>
        </w:rPr>
        <w:t>the Company will have a right of first refusal to purchase</w:t>
      </w:r>
      <w:r>
        <w:rPr>
          <w:rFonts w:eastAsiaTheme="minorEastAsia"/>
        </w:rPr>
        <w:t xml:space="preserve"> any or all</w:t>
      </w:r>
      <w:r>
        <w:rPr>
          <w:rFonts w:eastAsiaTheme="minorEastAsia"/>
        </w:rPr>
        <w:t xml:space="preserve"> the shares on the same terms as the proposed transfer.</w:t>
      </w:r>
    </w:p>
    <w:p>
      <w:pPr>
        <w:pStyle w:val="Term1"/>
        <w:spacing w:before="240"/>
        <w:jc w:val="both"/>
        <w:rPr>
          <w:kern w:val="0"/>
        </w:rPr>
      </w:pPr>
      <w:r>
        <w:tab/>
        <w:t xml:space="preserve">The rights of first refusal will be subject to customary exceptions and will terminate on </w:t>
      </w:r>
      <w:r>
        <w:t>an initial public offering</w:t>
      </w:r>
      <w:r>
        <w:rPr>
          <w:color w:val="000000"/>
        </w:rPr>
        <w:t>.</w:t>
      </w:r>
    </w:p>
    <w:p>
      <w:pPr>
        <w:tabs>
          <w:tab w:val="left" w:pos="3600"/>
        </w:tabs>
        <w:ind w:left="3600" w:hanging="3240"/>
        <w:jc w:val="both"/>
        <w:rPr>
          <w:rFonts w:eastAsiaTheme="minorEastAsia"/>
        </w:rPr>
      </w:pPr>
      <w:r>
        <w:rPr>
          <w:rFonts w:eastAsiaTheme="minorEastAsia"/>
          <w:b/>
          <w:i/>
          <w:color w:val="000000"/>
        </w:rPr>
        <w:t>Voting agreement:</w:t>
      </w:r>
      <w:r>
        <w:rPr>
          <w:rFonts w:eastAsiaTheme="minorEastAsia"/>
          <w:b/>
          <w:i/>
          <w:color w:val="000000"/>
        </w:rPr>
        <w:tab/>
      </w:r>
      <w:r>
        <w:rPr>
          <w:rFonts w:eastAsiaTheme="minorEastAsia"/>
        </w:rPr>
        <w:t>The principal stockholders of the Company will agree to elect to the board:</w:t>
      </w:r>
    </w:p>
    <w:p>
      <w:pPr>
        <w:numPr>
          <w:ilvl w:val="0"/>
          <w:numId w:val="5"/>
        </w:numPr>
        <w:tabs>
          <w:tab w:val="left" w:pos="3600"/>
        </w:tabs>
        <w:jc w:val="both"/>
        <w:rPr>
          <w:rFonts w:eastAsiaTheme="minorEastAsia"/>
          <w:color w:val="000000"/>
        </w:rPr>
      </w:pPr>
      <w:r>
        <w:rPr>
          <w:rFonts w:eastAsiaTheme="minorEastAsia"/>
        </w:rPr>
        <w:t xml:space="preserve">One</w:t>
      </w:r>
      <w:r>
        <w:rPr>
          <w:rFonts w:eastAsiaTheme="minorEastAsia"/>
        </w:rPr>
        <w:t xml:space="preserve"> Series A designee</w:t>
      </w:r>
      <w:r>
        <w:rPr>
          <w:rFonts w:eastAsiaTheme="minorEastAsia"/>
        </w:rPr>
        <w:t>.</w:t>
      </w:r>
      <w:r>
        <w:rPr>
          <w:rFonts w:eastAsiaTheme="minorEastAsia"/>
          <w:color w:val="000000"/>
        </w:rPr>
        <w:t xml:space="preserve"> </w:t>
      </w:r>
      <w:r>
        <w:rPr>
          <w:rFonts w:eastAsiaTheme="minorEastAsia"/>
        </w:rPr>
        <w:t xml:space="preserve">The </w:t>
      </w:r>
      <w:r>
        <w:rPr>
          <w:rFonts w:eastAsiaTheme="minorEastAsia"/>
          <w:bCs/>
        </w:rPr>
        <w:t>Series A designee</w:t>
      </w:r>
      <w:r>
        <w:rPr>
          <w:rFonts w:eastAsiaTheme="minorEastAsia"/>
        </w:rPr>
        <w:t xml:space="preserve"> will be chosen by </w:t>
      </w:r>
      <w:r>
        <w:rPr>
          <w:rFonts w:eastAsiaTheme="minorEastAsia"/>
        </w:rPr>
        <w:t xml:space="preserve">investors holding </w:t>
      </w:r>
      <w:r>
        <w:rPr>
          <w:rFonts w:eastAsiaTheme="minorEastAsia"/>
        </w:rPr>
        <w:t xml:space="preserve">at least 66 2/3%</w:t>
      </w:r>
      <w:r>
        <w:rPr>
          <w:rFonts w:eastAsiaTheme="minorEastAsia"/>
        </w:rPr>
        <w:t xml:space="preserve"> of the Series A Preferred held by all investors</w:t>
      </w:r>
      <w:r>
        <w:rPr>
          <w:rFonts w:eastAsiaTheme="minorEastAsia"/>
          <w:color w:val="000000"/>
        </w:rPr>
        <w:t>.</w:t>
      </w:r>
      <w:r>
        <w:rPr>
          <w:rFonts w:eastAsiaTheme="minorEastAsia"/>
          <w:color w:val="000000"/>
        </w:rPr>
        <w:t xml:space="preserve"> </w:t>
      </w:r>
      <w:r>
        <w:rPr>
          <w:rFonts w:eastAsiaTheme="minorEastAsia"/>
        </w:rPr>
        <w:t>The Series A designee</w:t>
      </w:r>
      <w:r>
        <w:rPr>
          <w:rFonts w:eastAsiaTheme="minorEastAsia"/>
        </w:rPr>
        <w:t xml:space="preserve"> will initially be </w:t>
      </w:r>
      <w:r>
        <w:rPr>
          <w:rFonts w:eastAsiaTheme="minorEastAsia"/>
        </w:rPr>
        <w:t xml:space="preserve">Elaina R. Jones</w:t>
      </w:r>
      <w:r>
        <w:rPr>
          <w:rFonts w:eastAsiaTheme="minorEastAsia"/>
        </w:rPr>
        <w:t xml:space="preserve">.</w:t>
      </w:r>
    </w:p>
    <w:p>
      <w:pPr>
        <w:numPr>
          <w:ilvl w:val="0"/>
          <w:numId w:val="5"/>
        </w:numPr>
        <w:tabs>
          <w:tab w:val="left" w:pos="3600"/>
        </w:tabs>
        <w:jc w:val="both"/>
        <w:rPr>
          <w:rFonts w:eastAsiaTheme="minorEastAsia"/>
          <w:color w:val="000000"/>
        </w:rPr>
      </w:pPr>
      <w:r>
        <w:rPr>
          <w:rFonts w:eastAsiaTheme="minorEastAsia"/>
        </w:rPr>
        <w:t xml:space="preserve">Three</w:t>
      </w:r>
      <w:r>
        <w:rPr>
          <w:rFonts w:eastAsiaTheme="minorEastAsia"/>
        </w:rPr>
        <w:t xml:space="preserve"> common stock designee</w:t>
      </w:r>
      <w:r>
        <w:rPr>
          <w:rFonts w:eastAsiaTheme="minorEastAsia"/>
        </w:rPr>
        <w:t>s</w:t>
      </w:r>
      <w:r>
        <w:rPr>
          <w:rFonts w:eastAsiaTheme="minorEastAsia"/>
        </w:rPr>
        <w:t xml:space="preserve"> as the common stock director</w:t>
      </w:r>
      <w:r>
        <w:rPr>
          <w:rFonts w:eastAsiaTheme="minorEastAsia"/>
        </w:rPr>
        <w:t>s</w:t>
      </w:r>
      <w:r>
        <w:rPr>
          <w:rFonts w:eastAsiaTheme="minorEastAsia"/>
        </w:rPr>
        <w:t>.</w:t>
      </w:r>
      <w:r>
        <w:rPr>
          <w:rFonts w:eastAsiaTheme="minorEastAsia"/>
          <w:color w:val="000000"/>
        </w:rPr>
        <w:t xml:space="preserve"> </w:t>
      </w:r>
      <w:r>
        <w:rPr>
          <w:rFonts w:eastAsiaTheme="minorEastAsia"/>
        </w:rPr>
        <w:t xml:space="preserve">The </w:t>
      </w:r>
      <w:r>
        <w:rPr>
          <w:rFonts w:eastAsiaTheme="minorEastAsia"/>
        </w:rPr>
        <w:t xml:space="preserve">first</w:t>
      </w:r>
      <w:r>
        <w:rPr>
          <w:rFonts w:eastAsiaTheme="minorEastAsia"/>
        </w:rPr>
        <w:t xml:space="preserve"> </w:t>
      </w:r>
      <w:r>
        <w:rPr>
          <w:rFonts w:eastAsiaTheme="minorEastAsia"/>
          <w:bCs/>
        </w:rPr>
        <w:t>common stock designee</w:t>
      </w:r>
      <w:r>
        <w:rPr>
          <w:rFonts w:eastAsiaTheme="minorEastAsia"/>
        </w:rPr>
        <w:t xml:space="preserve"> will be chosen by </w:t>
      </w:r>
      <w:r>
        <w:rPr>
          <w:rFonts w:eastAsiaTheme="minorEastAsia"/>
        </w:rPr>
        <w:t xml:space="preserve">founders holding </w:t>
      </w:r>
      <w:r>
        <w:rPr>
          <w:rFonts w:eastAsiaTheme="minorEastAsia"/>
        </w:rPr>
        <w:t xml:space="preserve">a majority</w:t>
      </w:r>
      <w:r>
        <w:rPr>
          <w:rFonts w:eastAsiaTheme="minorEastAsia"/>
        </w:rPr>
        <w:t xml:space="preserve"> of the common stock held by all founders</w:t>
      </w:r>
      <w:r>
        <w:rPr>
          <w:rFonts w:eastAsiaTheme="minorEastAsia"/>
          <w:color w:val="000000"/>
        </w:rPr>
        <w:t>.</w:t>
      </w:r>
      <w:r>
        <w:rPr>
          <w:rFonts w:eastAsiaTheme="minorEastAsia"/>
          <w:color w:val="000000"/>
        </w:rPr>
        <w:t xml:space="preserve"> </w:t>
      </w:r>
      <w:r>
        <w:rPr>
          <w:rFonts w:eastAsiaTheme="minorEastAsia"/>
        </w:rPr>
        <w:t xml:space="preserve">The </w:t>
      </w:r>
      <w:r>
        <w:rPr>
          <w:rFonts w:eastAsiaTheme="minorEastAsia"/>
        </w:rPr>
        <w:t xml:space="preserve">second</w:t>
      </w:r>
      <w:r>
        <w:rPr>
          <w:rFonts w:eastAsiaTheme="minorEastAsia"/>
        </w:rPr>
        <w:t xml:space="preserve"> </w:t>
      </w:r>
      <w:r>
        <w:rPr>
          <w:rFonts w:eastAsiaTheme="minorEastAsia"/>
          <w:bCs/>
        </w:rPr>
        <w:t>common stock designee</w:t>
      </w:r>
      <w:r>
        <w:rPr>
          <w:rFonts w:eastAsiaTheme="minorEastAsia"/>
        </w:rPr>
        <w:t xml:space="preserve"> will be chosen by </w:t>
      </w:r>
      <w:r>
        <w:rPr>
          <w:rFonts w:eastAsiaTheme="minorEastAsia"/>
        </w:rPr>
        <w:t xml:space="preserve">Mojtaba Peyrovi</w:t>
      </w:r>
      <w:r>
        <w:rPr>
          <w:rFonts w:eastAsiaTheme="minorEastAsia"/>
          <w:color w:val="000000"/>
        </w:rPr>
        <w:t>.</w:t>
      </w:r>
      <w:r>
        <w:rPr>
          <w:rFonts w:eastAsiaTheme="minorEastAsia"/>
          <w:color w:val="000000"/>
        </w:rPr>
        <w:t xml:space="preserve"> </w:t>
      </w:r>
      <w:r>
        <w:rPr>
          <w:rFonts w:eastAsiaTheme="minorEastAsia"/>
        </w:rPr>
        <w:t xml:space="preserve">The </w:t>
      </w:r>
      <w:r>
        <w:rPr>
          <w:rFonts w:eastAsiaTheme="minorEastAsia"/>
        </w:rPr>
        <w:t xml:space="preserve">third</w:t>
      </w:r>
      <w:r>
        <w:rPr>
          <w:rFonts w:eastAsiaTheme="minorEastAsia"/>
        </w:rPr>
        <w:t xml:space="preserve"> </w:t>
      </w:r>
      <w:r>
        <w:rPr>
          <w:rFonts w:eastAsiaTheme="minorEastAsia"/>
          <w:bCs/>
        </w:rPr>
        <w:t>common stock designee</w:t>
      </w:r>
      <w:r>
        <w:rPr>
          <w:rFonts w:eastAsiaTheme="minorEastAsia"/>
        </w:rPr>
        <w:t xml:space="preserve"> will be chosen by </w:t>
      </w:r>
      <w:r>
        <w:rPr>
          <w:rFonts w:eastAsiaTheme="minorEastAsia"/>
        </w:rPr>
        <w:t xml:space="preserve">Mojtaba Peyrovi</w:t>
      </w:r>
      <w:r>
        <w:rPr>
          <w:rFonts w:eastAsiaTheme="minorEastAsia"/>
          <w:color w:val="000000"/>
        </w:rPr>
        <w:t>.</w:t>
      </w:r>
      <w:r>
        <w:rPr>
          <w:rFonts w:eastAsiaTheme="minorEastAsia"/>
        </w:rPr>
        <w:t xml:space="preserve"> </w:t>
      </w:r>
      <w:r>
        <w:rPr>
          <w:rFonts w:eastAsiaTheme="minorEastAsia"/>
        </w:rPr>
        <w:t>One of the</w:t>
      </w:r>
      <w:r>
        <w:rPr>
          <w:rFonts w:eastAsiaTheme="minorEastAsia"/>
        </w:rPr>
        <w:t xml:space="preserve"> common stock designee</w:t>
      </w:r>
      <w:r>
        <w:rPr>
          <w:rFonts w:eastAsiaTheme="minorEastAsia"/>
        </w:rPr>
        <w:t>s</w:t>
      </w:r>
      <w:r>
        <w:rPr>
          <w:rFonts w:eastAsiaTheme="minorEastAsia"/>
        </w:rPr>
        <w:t xml:space="preserve"> will be the Company’s </w:t>
      </w:r>
      <w:r>
        <w:rPr>
          <w:rFonts w:eastAsiaTheme="minorEastAsia"/>
        </w:rPr>
        <w:t xml:space="preserve">Chief Executive Officer</w:t>
      </w:r>
      <w:r>
        <w:rPr>
          <w:rFonts w:eastAsiaTheme="minorEastAsia"/>
        </w:rPr>
        <w:t>.</w:t>
      </w:r>
      <w:r>
        <w:rPr>
          <w:rFonts w:eastAsiaTheme="minorEastAsia"/>
          <w:color w:val="000000"/>
        </w:rPr>
        <w:t xml:space="preserve"> </w:t>
      </w:r>
      <w:r>
        <w:rPr>
          <w:rFonts w:eastAsiaTheme="minorEastAsia"/>
        </w:rPr>
        <w:t xml:space="preserve">The common stock </w:t>
      </w:r>
      <w:r>
        <w:rPr>
          <w:rFonts w:eastAsiaTheme="minorEastAsia"/>
          <w:color w:val="000000"/>
        </w:rPr>
        <w:t>designee</w:t>
      </w:r>
      <w:r>
        <w:rPr>
          <w:rFonts w:eastAsiaTheme="minorEastAsia"/>
        </w:rPr>
        <w:t>s</w:t>
      </w:r>
      <w:r>
        <w:rPr>
          <w:rFonts w:eastAsiaTheme="minorEastAsia"/>
          <w:color w:val="000000"/>
        </w:rPr>
        <w:t xml:space="preserve"> will initially be </w:t>
      </w:r>
      <w:r>
        <w:rPr>
          <w:rFonts w:eastAsiaTheme="minorEastAsia"/>
        </w:rPr>
        <w:t xml:space="preserve">Mojtaba Peyrovi</w:t>
      </w:r>
      <w:r>
        <w:rPr>
          <w:rFonts w:eastAsiaTheme="minorEastAsia"/>
        </w:rPr>
        <w:t xml:space="preserve">, </w:t>
      </w:r>
      <w:r>
        <w:rPr>
          <w:rFonts w:eastAsiaTheme="minorEastAsia"/>
        </w:rPr>
        <w:t xml:space="preserve">Lakshmi Prasanna</w:t>
      </w:r>
      <w:r>
        <w:rPr>
          <w:rFonts w:eastAsiaTheme="minorEastAsia"/>
        </w:rPr>
        <w:t xml:space="preserve"> and </w:t>
      </w:r>
      <w:r>
        <w:rPr>
          <w:rFonts w:eastAsiaTheme="minorEastAsia"/>
        </w:rPr>
        <w:t xml:space="preserve">Larry M. Williams</w:t>
      </w:r>
      <w:r>
        <w:rPr>
          <w:rFonts w:eastAsiaTheme="minorEastAsia"/>
        </w:rPr>
        <w:t xml:space="preserve">.</w:t>
      </w:r>
    </w:p>
    <w:p>
      <w:pPr>
        <w:numPr>
          <w:ilvl w:val="0"/>
          <w:numId w:val="5"/>
        </w:numPr>
        <w:tabs>
          <w:tab w:val="left" w:pos="3600"/>
        </w:tabs>
        <w:jc w:val="both"/>
        <w:rPr>
          <w:rFonts w:eastAsiaTheme="minorEastAsia"/>
          <w:color w:val="000000"/>
        </w:rPr>
      </w:pPr>
      <w:r>
        <w:rPr>
          <w:rFonts w:eastAsiaTheme="minorEastAsia"/>
        </w:rPr>
        <w:t xml:space="preserve">Two</w:t>
      </w:r>
      <w:r>
        <w:rPr>
          <w:rFonts w:eastAsiaTheme="minorEastAsia"/>
        </w:rPr>
        <w:t xml:space="preserve"> mutual designee</w:t>
      </w:r>
      <w:r>
        <w:rPr>
          <w:rFonts w:eastAsiaTheme="minorEastAsia"/>
        </w:rPr>
        <w:t>s</w:t>
      </w:r>
      <w:r>
        <w:rPr>
          <w:rFonts w:eastAsiaTheme="minorEastAsia"/>
        </w:rPr>
        <w:t xml:space="preserve">, as approved by (i) founders holding </w:t>
      </w:r>
      <w:r>
        <w:rPr>
          <w:rFonts w:eastAsiaTheme="minorEastAsia"/>
        </w:rPr>
        <w:t xml:space="preserve">a majority</w:t>
      </w:r>
      <w:r>
        <w:rPr>
          <w:rFonts w:eastAsiaTheme="minorEastAsia"/>
        </w:rPr>
        <w:t xml:space="preserve"> of the common stock held by all founders and (ii) investors holding </w:t>
      </w:r>
      <w:r>
        <w:rPr>
          <w:rFonts w:eastAsiaTheme="minorEastAsia"/>
        </w:rPr>
        <w:t xml:space="preserve">a majority</w:t>
      </w:r>
      <w:r>
        <w:rPr>
          <w:rFonts w:eastAsiaTheme="minorEastAsia"/>
        </w:rPr>
        <w:t xml:space="preserve"> of the shares held by all investors. The mutual designee</w:t>
      </w:r>
      <w:r>
        <w:rPr>
          <w:rFonts w:eastAsiaTheme="minorEastAsia"/>
        </w:rPr>
        <w:t>s</w:t>
      </w:r>
      <w:r>
        <w:rPr>
          <w:rFonts w:eastAsiaTheme="minorEastAsia"/>
        </w:rPr>
        <w:t xml:space="preserve"> will initially be </w:t>
      </w:r>
      <w:r>
        <w:rPr>
          <w:rFonts w:eastAsiaTheme="minorEastAsia"/>
        </w:rPr>
        <w:t xml:space="preserve">Dorothy M. Montague</w:t>
      </w:r>
      <w:r>
        <w:rPr>
          <w:rFonts w:eastAsiaTheme="minorEastAsia"/>
        </w:rPr>
        <w:t xml:space="preserve"> and </w:t>
      </w:r>
      <w:r>
        <w:rPr>
          <w:rFonts w:eastAsiaTheme="minorEastAsia"/>
        </w:rPr>
        <w:t xml:space="preserve">James A. Stephens</w:t>
      </w:r>
      <w:r>
        <w:rPr>
          <w:rFonts w:eastAsiaTheme="minorEastAsia"/>
        </w:rPr>
        <w:t xml:space="preserve">.</w:t>
      </w:r>
    </w:p>
    <w:p>
      <w:pPr>
        <w:tabs>
          <w:tab w:val="left" w:pos="3600"/>
        </w:tabs>
        <w:ind w:left="3600" w:hanging="3240"/>
        <w:jc w:val="both"/>
        <w:rPr>
          <w:rFonts w:eastAsiaTheme="minorEastAsia"/>
          <w:color w:val="000000"/>
        </w:rPr>
      </w:pPr>
      <w:r>
        <w:rPr>
          <w:rFonts w:eastAsiaTheme="minorEastAsia"/>
          <w:b/>
          <w:i/>
        </w:rPr>
        <w:t>Director liability:</w:t>
      </w:r>
      <w:r>
        <w:rPr>
          <w:rFonts w:eastAsiaTheme="minorEastAsia"/>
        </w:rPr>
        <w:tab/>
        <w:t xml:space="preserve">The directors will be entitled to customary indemnification from the Company and reimbursement of reasonable costs of attendance at board meetings. </w:t>
      </w:r>
      <w:r>
        <w:rPr>
          <w:rFonts w:eastAsiaTheme="minorEastAsia"/>
        </w:rPr>
        <w:t>The Company will also obtain D&amp;O insurance reasonably satisfactory to the Company and its directors.</w:t>
      </w:r>
    </w:p>
    <w:p>
      <w:pPr>
        <w:tabs>
          <w:tab w:val="left" w:pos="3600"/>
        </w:tabs>
        <w:ind w:left="3600" w:hanging="3240"/>
        <w:jc w:val="both"/>
        <w:rPr>
          <w:rFonts w:eastAsiaTheme="minorEastAsia"/>
        </w:rPr>
      </w:pPr>
      <w:r>
        <w:rPr>
          <w:rFonts w:eastAsiaTheme="minorEastAsia"/>
          <w:b/>
          <w:i/>
        </w:rPr>
        <w:t>Board observer rights:</w:t>
      </w:r>
      <w:r>
        <w:rPr>
          <w:rFonts w:eastAsiaTheme="minorEastAsia"/>
        </w:rPr>
        <w:tab/>
        <w:t xml:space="preserve">Subject to customary exceptions, </w:t>
      </w:r>
      <w:r>
        <w:rPr>
          <w:rFonts w:eastAsiaTheme="minorEastAsia"/>
        </w:rPr>
        <w:t xml:space="preserve">Hugh J. Odonoghue</w:t>
      </w:r>
      <w:r>
        <w:rPr>
          <w:rFonts w:eastAsiaTheme="minorEastAsia"/>
        </w:rPr>
      </w:r>
      <w:r>
        <w:rPr>
          <w:rFonts w:eastAsiaTheme="minorEastAsia"/>
        </w:rPr>
        <w:t xml:space="preserve"> will be entitled to board observer rights and will be entitled to participate as an observer at all board meetings and to receive copies of all materials distributed to the board.</w:t>
      </w:r>
    </w:p>
    <w:p>
      <w:pPr>
        <w:tabs>
          <w:tab w:val="left" w:pos="3600"/>
        </w:tabs>
        <w:ind w:left="3600" w:hanging="3240"/>
        <w:jc w:val="both"/>
        <w:rPr>
          <w:rFonts w:eastAsiaTheme="minorEastAsia"/>
        </w:rPr>
      </w:pPr>
      <w:r>
        <w:rPr>
          <w:rFonts w:eastAsiaTheme="minorEastAsia"/>
          <w:b/>
          <w:i/>
        </w:rPr>
        <w:t>Information rights:</w:t>
      </w:r>
      <w:r>
        <w:rPr>
          <w:rFonts w:eastAsiaTheme="minorEastAsia"/>
        </w:rPr>
        <w:tab/>
        <w:t xml:space="preserve">The Company will deliver to each holder of at least </w:t>
      </w:r>
      <w:r>
        <w:rPr>
          <w:rFonts w:eastAsiaTheme="minorEastAsia"/>
        </w:rPr>
        <w:t xml:space="preserve">300,000</w:t>
      </w:r>
      <w:r>
        <w:rPr>
          <w:rFonts w:eastAsiaTheme="minorEastAsia"/>
        </w:rPr>
        <w:t xml:space="preserve"> shares of Series </w:t>
      </w:r>
      <w:r>
        <w:rPr>
          <w:rFonts w:eastAsiaTheme="minorEastAsia"/>
        </w:rPr>
        <w:t xml:space="preserve">A</w:t>
      </w:r>
      <w:r>
        <w:rPr>
          <w:rFonts w:eastAsiaTheme="minorEastAsia"/>
        </w:rPr>
        <w:t xml:space="preserve"> Preferred:</w:t>
      </w:r>
    </w:p>
    <w:p>
      <w:pPr>
        <w:pStyle w:val="Heading3"/>
        <w:numPr>
          <w:ilvl w:val="2"/>
          <w:numId w:val="8"/>
        </w:numPr>
        <w:tabs>
          <w:tab w:val="clear" w:pos="2520"/>
          <w:tab w:val="num" w:pos="4320"/>
        </w:tabs>
        <w:ind w:left="4320"/>
        <w:jc w:val="both"/>
      </w:pPr>
      <w:r>
        <w:t>un</w:t>
      </w:r>
      <w:r>
        <w:t xml:space="preserve">audited annual financial statements within </w:t>
      </w:r>
      <w:r>
        <w:rPr/>
        <w:t xml:space="preserve">120</w:t>
      </w:r>
      <w:r>
        <w:t xml:space="preserve"> days following year-end</w:t>
      </w:r>
      <w:r>
        <w:rPr/>
        <w:t xml:space="preserve">;</w:t>
      </w:r>
    </w:p>
    <w:p>
      <w:pPr>
        <w:pStyle w:val="Heading3"/>
        <w:numPr>
          <w:ilvl w:val="2"/>
          <w:numId w:val="8"/>
        </w:numPr>
        <w:tabs>
          <w:tab w:val="clear" w:pos="2520"/>
          <w:tab w:val="num" w:pos="4320"/>
        </w:tabs>
        <w:ind w:left="4320"/>
        <w:jc w:val="both"/>
      </w:pPr>
      <w:r>
        <w:t xml:space="preserve">unaudited quarterly financial statements within </w:t>
      </w:r>
      <w:r>
        <w:rPr/>
        <w:t xml:space="preserve">45</w:t>
      </w:r>
      <w:r>
        <w:t xml:space="preserve"> days following quarter-end</w:t>
      </w:r>
      <w:r>
        <w:rPr/>
        <w:t xml:space="preserve">;</w:t>
      </w:r>
    </w:p>
    <w:p>
      <w:pPr>
        <w:pStyle w:val="Heading3"/>
        <w:numPr>
          <w:ilvl w:val="2"/>
          <w:numId w:val="8"/>
        </w:numPr>
        <w:tabs>
          <w:tab w:val="clear" w:pos="2520"/>
          <w:tab w:val="num" w:pos="4320"/>
        </w:tabs>
        <w:ind w:left="4320"/>
        <w:jc w:val="both"/>
      </w:pPr>
      <w:r>
        <w:t xml:space="preserve">unaudited monthly financial statements within </w:t>
      </w:r>
      <w:r>
        <w:rPr/>
        <w:t xml:space="preserve">30</w:t>
      </w:r>
      <w:r>
        <w:t xml:space="preserve"> days of month-end</w:t>
      </w:r>
      <w:r>
        <w:rPr/>
        <w:t xml:space="preserve">;</w:t>
      </w:r>
    </w:p>
    <w:p>
      <w:pPr>
        <w:pStyle w:val="Heading3"/>
        <w:numPr>
          <w:ilvl w:val="2"/>
          <w:numId w:val="8"/>
        </w:numPr>
        <w:tabs>
          <w:tab w:val="clear" w:pos="2520"/>
          <w:tab w:val="num" w:pos="4320"/>
        </w:tabs>
        <w:ind w:left="4320"/>
        <w:jc w:val="both"/>
      </w:pPr>
      <w:r>
        <w:t xml:space="preserve">annual operating plans </w:t>
      </w:r>
      <w:r>
        <w:rPr/>
        <w:t xml:space="preserve">30</w:t>
      </w:r>
      <w:r>
        <w:t xml:space="preserve"> days before each fiscal year</w:t>
      </w:r>
      <w:r>
        <w:rPr/>
        <w:t xml:space="preserve">; and</w:t>
      </w:r>
    </w:p>
    <w:p>
      <w:pPr>
        <w:pStyle w:val="Heading3"/>
        <w:numPr>
          <w:ilvl w:val="2"/>
          <w:numId w:val="8"/>
        </w:numPr>
        <w:tabs>
          <w:tab w:val="clear" w:pos="2520"/>
          <w:tab w:val="num" w:pos="4320"/>
        </w:tabs>
        <w:ind w:left="4320"/>
        <w:jc w:val="both"/>
      </w:pPr>
      <w:r>
        <w:rPr>
          <w:iCs/>
        </w:rPr>
        <w:t xml:space="preserve">unaudited monthly financial statements showing variances from plan within </w:t>
      </w:r>
      <w:r>
        <w:rPr/>
        <w:t xml:space="preserve">30</w:t>
      </w:r>
      <w:r>
        <w:t xml:space="preserve"> </w:t>
      </w:r>
      <w:r>
        <w:rPr>
          <w:iCs/>
        </w:rPr>
        <w:t>days after the end of each month</w:t>
      </w:r>
      <w:r>
        <w:rPr/>
        <w:t xml:space="preserve">.</w:t>
      </w:r>
    </w:p>
    <w:p>
      <w:pPr>
        <w:pStyle w:val="Heading3"/>
        <w:numPr>
          <w:ilvl w:val="2"/>
          <w:numId w:val="0"/>
        </w:numPr>
        <w:ind w:left="3600"/>
        <w:jc w:val="both"/>
        <w:rPr>
          <w:rFonts w:eastAsiaTheme="minorEastAsia"/>
        </w:rPr>
      </w:pPr>
      <w:r>
        <w:rPr>
          <w:rFonts w:eastAsiaTheme="minorEastAsia"/>
        </w:rPr>
        <w:t xml:space="preserve">The information rights will terminate upon </w:t>
      </w:r>
      <w:r>
        <w:rPr>
          <w:rFonts w:eastAsiaTheme="minorEastAsia"/>
        </w:rPr>
        <w:t>a Qualified Public Offering</w:t>
      </w:r>
      <w:r>
        <w:rPr>
          <w:rFonts w:eastAsiaTheme="minorEastAsia"/>
        </w:rPr>
        <w:t>.</w:t>
      </w:r>
    </w:p>
    <w:p>
      <w:pPr>
        <w:keepNext/>
        <w:ind w:left="3240" w:hanging="3240"/>
        <w:jc w:val="both"/>
      </w:pPr>
      <w:r>
        <w:rPr>
          <w:b/>
        </w:rPr>
        <w:t>EMPLOYEE MATTERS</w:t>
      </w:r>
    </w:p>
    <w:p>
      <w:pPr>
        <w:tabs>
          <w:tab w:val="num" w:pos="3600"/>
        </w:tabs>
        <w:ind w:left="3600" w:hanging="3240"/>
        <w:jc w:val="both"/>
        <w:rPr>
          <w:rFonts w:eastAsiaTheme="minorEastAsia"/>
        </w:rPr>
      </w:pPr>
      <w:r>
        <w:rPr>
          <w:rFonts w:eastAsiaTheme="minorEastAsia"/>
          <w:b/>
          <w:i/>
        </w:rPr>
        <w:t>Vesting of founder shares:</w:t>
      </w:r>
      <w:r>
        <w:rPr>
          <w:rFonts w:eastAsiaTheme="minorEastAsia"/>
        </w:rPr>
        <w:tab/>
        <w:t xml:space="preserve">Shares and options held by </w:t>
      </w:r>
      <w:r>
        <w:rPr>
          <w:rFonts w:eastAsiaTheme="minorEastAsia"/>
        </w:rPr>
        <w:t xml:space="preserve">all founders</w:t>
      </w:r>
      <w:r>
        <w:rPr>
          <w:rFonts w:eastAsiaTheme="minorEastAsia"/>
        </w:rPr>
        <w:t xml:space="preserve"> will be subject to </w:t>
      </w:r>
      <w:r>
        <w:rPr>
          <w:rFonts w:eastAsiaTheme="minorEastAsia"/>
        </w:rPr>
        <w:t>a vesting schedule to be mutually agreed upon with the investors</w:t>
      </w:r>
      <w:r>
        <w:rPr>
          <w:rFonts w:eastAsiaTheme="minorEastAsia"/>
        </w:rPr>
        <w:t>. The Company will have the right, upon termination of services, to repurchase any unvested shares.</w:t>
      </w:r>
    </w:p>
    <w:p>
      <w:pPr>
        <w:pStyle w:val="BodyTextIndent"/>
        <w:ind w:left="3600" w:hanging="3240"/>
        <w:jc w:val="both"/>
        <w:rPr>
          <w:iCs/>
        </w:rPr>
      </w:pPr>
      <w:r>
        <w:rPr>
          <w:b/>
          <w:i/>
        </w:rPr>
        <w:t>Vesting of employee shares:</w:t>
      </w:r>
      <w:r>
        <w:tab/>
      </w:r>
      <w:r>
        <w:t>Subject to the discretion of the board, shares and options issued to employees, directors and consultants will be subject to four-year vesting, with 25% vesting on the first anniversary of the commencement of services and the remainder vesting monthly thereafter.</w:t>
      </w:r>
      <w:r>
        <w:t xml:space="preserve"> The Company will have the right, upon termination of services, to repurchase any unvested shares.</w:t>
      </w:r>
    </w:p>
    <w:p>
      <w:pPr>
        <w:keepNext/>
        <w:tabs>
          <w:tab w:val="left" w:pos="3600"/>
        </w:tabs>
        <w:ind w:left="3600" w:hanging="3240"/>
        <w:jc w:val="both"/>
        <w:rPr>
          <w:b/>
          <w:i/>
        </w:rPr>
      </w:pPr>
      <w:r>
        <w:rPr>
          <w:b/>
          <w:i/>
        </w:rPr>
        <w:t>Proprietary information</w:t>
      </w:r>
    </w:p>
    <w:p>
      <w:pPr>
        <w:pStyle w:val="Term1"/>
        <w:jc w:val="both"/>
        <w:rPr>
          <w:i/>
        </w:rPr>
      </w:pPr>
      <w:r>
        <w:rPr>
          <w:b/>
          <w:i/>
          <w:kern w:val="0"/>
        </w:rPr>
        <w:t xml:space="preserve">   agreements:</w:t>
      </w:r>
      <w:r>
        <w:rPr>
          <w:kern w:val="0"/>
        </w:rPr>
        <w:tab/>
        <w:t>The Company will have all employees and consultants enter into proprietary information and inventions agreements.</w:t>
      </w:r>
    </w:p>
    <w:p>
      <w:pPr>
        <w:pStyle w:val="Term1"/>
        <w:keepNext/>
        <w:tabs>
          <w:tab w:val="clear" w:pos="3600"/>
        </w:tabs>
        <w:spacing w:before="240"/>
        <w:ind w:left="0" w:firstLine="0"/>
        <w:jc w:val="both"/>
        <w:rPr>
          <w:b/>
          <w:kern w:val="0"/>
        </w:rPr>
      </w:pPr>
      <w:r>
        <w:rPr>
          <w:b/>
          <w:kern w:val="0"/>
        </w:rPr>
        <w:t>OTHER MATTERS</w:t>
      </w:r>
    </w:p>
    <w:p>
      <w:pPr>
        <w:pStyle w:val="Term1"/>
        <w:spacing w:before="240"/>
        <w:jc w:val="both"/>
        <w:rPr>
          <w:rFonts w:eastAsiaTheme="minorEastAsia"/>
          <w:kern w:val="0"/>
        </w:rPr>
      </w:pPr>
      <w:r>
        <w:rPr>
          <w:rFonts w:eastAsiaTheme="minorEastAsia"/>
          <w:b/>
          <w:i/>
          <w:kern w:val="0"/>
        </w:rPr>
        <w:t>Purchase agreement:</w:t>
      </w:r>
      <w:r>
        <w:rPr>
          <w:rFonts w:eastAsiaTheme="minorEastAsia"/>
          <w:kern w:val="0"/>
        </w:rPr>
        <w:tab/>
        <w:t>The investment will be made pursuant to a stock purchase agreement which will contain, among other things, appropriate representations and warranties of the Company and the investors and appropriate conditions of closing.</w:t>
      </w:r>
    </w:p>
    <w:p>
      <w:pPr>
        <w:tabs>
          <w:tab w:val="left" w:pos="3600"/>
        </w:tabs>
        <w:ind w:left="3600" w:hanging="3240"/>
        <w:jc w:val="both"/>
      </w:pPr>
      <w:r>
        <w:rPr>
          <w:b/>
          <w:i/>
        </w:rPr>
        <w:t>Finders:</w:t>
      </w:r>
      <w:r>
        <w:tab/>
        <w:t>The Company and the investors will each indemnify the other for any finder’s fees for which they are respectively responsible.</w:t>
      </w:r>
    </w:p>
    <w:p>
      <w:pPr>
        <w:pStyle w:val="Term1"/>
        <w:spacing w:before="240"/>
        <w:jc w:val="both"/>
        <w:rPr>
          <w:color w:val="000000"/>
          <w:kern w:val="0"/>
        </w:rPr>
      </w:pPr>
      <w:r>
        <w:rPr>
          <w:b/>
          <w:i/>
          <w:kern w:val="0"/>
        </w:rPr>
        <w:t>Exclusive negotiations:</w:t>
      </w:r>
      <w:r>
        <w:rPr>
          <w:kern w:val="0"/>
        </w:rPr>
        <w:tab/>
        <w:t>From the date of the execution of this Memorandum of Terms until the earlier of (i) </w:t>
      </w:r>
      <w:r>
        <w:rPr/>
        <w:t xml:space="preserve">May 31, 2019</w:t>
      </w:r>
      <w:r>
        <w:rPr>
          <w:kern w:val="0"/>
        </w:rPr>
        <w:t>, (ii) notice of termination of negotiations by the lead investor(s) and (iii) the initial closing of the financing contemplated by this Memorandum of Terms</w:t>
      </w:r>
      <w:r>
        <w:rPr>
          <w:kern w:val="0"/>
        </w:rPr>
        <w:t xml:space="preserve"> (the “</w:t>
      </w:r>
      <w:r>
        <w:rPr>
          <w:b/>
          <w:i/>
          <w:kern w:val="0"/>
        </w:rPr>
        <w:t>Exclusivity Period</w:t>
      </w:r>
      <w:r>
        <w:rPr>
          <w:kern w:val="0"/>
        </w:rPr>
        <w:t>”)</w:t>
      </w:r>
      <w:r>
        <w:rPr>
          <w:kern w:val="0"/>
        </w:rPr>
        <w:t xml:space="preserve">, neither the Company nor any of its directors, officers, employees or agents will </w:t>
      </w:r>
      <w:r>
        <w:rPr>
          <w:kern w:val="0"/>
        </w:rPr>
        <w:t>solicit</w:t>
      </w:r>
      <w:r>
        <w:rPr/>
        <w:t xml:space="preserve"> or </w:t>
      </w:r>
      <w:r>
        <w:rPr>
          <w:kern w:val="0"/>
        </w:rPr>
        <w:t>participate in negotiations or discussions</w:t>
      </w:r>
      <w:r>
        <w:rPr/>
      </w:r>
      <w:r>
        <w:rPr>
          <w:kern w:val="0"/>
        </w:rPr>
        <w:t xml:space="preserve"> with respect to </w:t>
      </w:r>
      <w:r>
        <w:rPr>
          <w:kern w:val="0"/>
        </w:rPr>
        <w:t>any other investment in the Company</w:t>
      </w:r>
      <w:r>
        <w:rPr/>
        <w:t xml:space="preserve"> or </w:t>
      </w:r>
      <w:r>
        <w:rPr>
          <w:kern w:val="0"/>
        </w:rPr>
        <w:t>an acquisition of the Company</w:t>
      </w:r>
      <w:r>
        <w:rPr/>
      </w:r>
      <w:r>
        <w:rPr>
          <w:kern w:val="0"/>
        </w:rPr>
        <w:t xml:space="preserve"> without the prior</w:t>
      </w:r>
      <w:r>
        <w:rPr>
          <w:kern w:val="0"/>
        </w:rPr>
        <w:t xml:space="preserve"> written</w:t>
      </w:r>
      <w:r>
        <w:rPr>
          <w:kern w:val="0"/>
        </w:rPr>
        <w:t xml:space="preserve"> consent of the lead investor(s). </w:t>
      </w:r>
      <w:r>
        <w:rPr>
          <w:kern w:val="0"/>
        </w:rPr>
        <w:t>During the Exclusivity Period, the Company agrees to promptly notify the lead investor(s) if it receives an offer or proposal with respect to any other investment in, or an acquisition of, the Company.</w:t>
      </w:r>
    </w:p>
    <w:p>
      <w:pPr>
        <w:pStyle w:val="Term1"/>
        <w:spacing w:before="240"/>
        <w:jc w:val="both"/>
        <w:rPr>
          <w:kern w:val="0"/>
        </w:rPr>
      </w:pPr>
      <w:r>
        <w:rPr>
          <w:b/>
          <w:i/>
          <w:kern w:val="0"/>
        </w:rPr>
        <w:t>Confidentiality:</w:t>
      </w:r>
      <w:r>
        <w:rPr>
          <w:kern w:val="0"/>
        </w:rPr>
        <w:tab/>
        <w:t xml:space="preserve">Until the initial closing of the financing contemplated by this Memorandum of Terms, </w:t>
      </w:r>
      <w:r>
        <w:rPr>
          <w:kern w:val="0"/>
        </w:rPr>
        <w:t>the existence and terms of this Memorandum of Terms</w:t>
      </w:r>
      <w:r>
        <w:rPr/>
      </w:r>
      <w:r>
        <w:rPr>
          <w:kern w:val="0"/>
        </w:rPr>
        <w:t xml:space="preserve"> shall not be disclosed to any third party without the consent of the Company and the lead investor(s)</w:t>
      </w:r>
      <w:r>
        <w:rPr>
          <w:kern w:val="0"/>
        </w:rPr>
        <w:t>, except as may be (i) reasonably required to consummate the transactions contemplated hereby</w:t>
      </w:r>
      <w:r>
        <w:rPr>
          <w:kern w:val="0"/>
        </w:rPr>
        <w:t xml:space="preserve"> or (ii) required by law</w:t>
      </w:r>
      <w:r>
        <w:rPr>
          <w:kern w:val="0"/>
        </w:rPr>
        <w:t>.</w:t>
      </w:r>
    </w:p>
    <w:p>
      <w:pPr>
        <w:pStyle w:val="Term1"/>
        <w:spacing w:before="240"/>
        <w:jc w:val="both"/>
        <w:rPr>
          <w:kern w:val="0"/>
        </w:rPr>
      </w:pPr>
      <w:r>
        <w:rPr>
          <w:b/>
          <w:i/>
          <w:kern w:val="0"/>
        </w:rPr>
        <w:t>Conditions precedent:</w:t>
      </w:r>
      <w:r>
        <w:rPr>
          <w:kern w:val="0"/>
        </w:rPr>
        <w:tab/>
        <w:t>The investment will be subject to customary conditions, including but not limited to:</w:t>
      </w:r>
    </w:p>
    <w:p>
      <w:pPr>
        <w:numPr>
          <w:ilvl w:val="0"/>
          <w:numId w:val="6"/>
        </w:numPr>
        <w:tabs>
          <w:tab w:val="left" w:pos="3600"/>
        </w:tabs>
        <w:jc w:val="both"/>
      </w:pPr>
      <w:r>
        <w:t>completion of due diligence to the satisfaction of the investors</w:t>
      </w:r>
      <w:r>
        <w:rPr/>
        <w:t xml:space="preserve">;</w:t>
      </w:r>
    </w:p>
    <w:p>
      <w:pPr>
        <w:pStyle w:val="Term1"/>
        <w:numPr>
          <w:ilvl w:val="0"/>
          <w:numId w:val="6"/>
        </w:numPr>
        <w:spacing w:before="240"/>
        <w:jc w:val="both"/>
        <w:rPr>
          <w:kern w:val="0"/>
        </w:rPr>
      </w:pPr>
      <w:r>
        <w:rPr>
          <w:kern w:val="0"/>
        </w:rPr>
        <w:t>negotiation and execution of definitive agreements customary in transactions of this nature</w:t>
      </w:r>
      <w:r>
        <w:rPr/>
        <w:t xml:space="preserve">;</w:t>
      </w:r>
    </w:p>
    <w:p>
      <w:pPr>
        <w:pStyle w:val="Term1"/>
        <w:numPr>
          <w:ilvl w:val="0"/>
          <w:numId w:val="6"/>
        </w:numPr>
        <w:spacing w:before="240"/>
        <w:jc w:val="both"/>
        <w:rPr>
          <w:kern w:val="0"/>
        </w:rPr>
      </w:pPr>
      <w:r>
        <w:rPr>
          <w:kern w:val="0"/>
        </w:rPr>
        <w:t>receipt of all required authorizations, approvals and consents</w:t>
      </w:r>
      <w:r>
        <w:rPr/>
        <w:t xml:space="preserve">;</w:t>
      </w:r>
    </w:p>
    <w:p>
      <w:pPr>
        <w:pStyle w:val="Term1"/>
        <w:numPr>
          <w:ilvl w:val="0"/>
          <w:numId w:val="6"/>
        </w:numPr>
        <w:spacing w:before="240"/>
        <w:jc w:val="both"/>
        <w:rPr>
          <w:kern w:val="0"/>
        </w:rPr>
      </w:pPr>
      <w:r>
        <w:rPr>
          <w:kern w:val="0"/>
        </w:rPr>
        <w:t>delivery of customary closing certificates</w:t>
      </w:r>
      <w:r>
        <w:rPr/>
        <w:t xml:space="preserve">; and </w:t>
      </w:r>
    </w:p>
    <w:p>
      <w:pPr>
        <w:pStyle w:val="Term1"/>
        <w:numPr>
          <w:ilvl w:val="0"/>
          <w:numId w:val="6"/>
        </w:numPr>
        <w:spacing w:before="240"/>
        <w:jc w:val="both"/>
        <w:rPr>
          <w:kern w:val="0"/>
        </w:rPr>
      </w:pPr>
      <w:r>
        <w:rPr>
          <w:kern w:val="0"/>
        </w:rPr>
        <w:t>the absence of material adverse changes with respect to the Company</w:t>
      </w:r>
      <w:r>
        <w:rPr/>
        <w:t xml:space="preserve">.</w:t>
      </w:r>
    </w:p>
    <w:p>
      <w:pPr>
        <w:pStyle w:val="Term1"/>
        <w:tabs>
          <w:tab w:val="clear" w:pos="3600"/>
        </w:tabs>
        <w:spacing w:before="240"/>
        <w:ind w:left="0" w:firstLine="0"/>
        <w:jc w:val="center"/>
        <w:rPr>
          <w:rFonts w:eastAsiaTheme="minorEastAsia"/>
          <w:kern w:val="0"/>
        </w:rPr>
        <w:sectPr>
          <w:footerReference w:type="even" r:id="rId9"/>
          <w:footerReference w:type="default" r:id="rId10"/>
          <w:headerReference w:type="first" r:id="rId11"/>
          <w:footerReference w:type="first" r:id="rId12"/>
          <w:pgSz w:w="12240" w:h="15840" w:code="1"/>
          <w:pgMar w:top="1440" w:right="1440" w:bottom="1440" w:left="1440" w:header="1440" w:footer="936" w:gutter="0"/>
          <w:pgNumType w:start="1"/>
          <w:cols w:space="720"/>
          <w:titlePg/>
        </w:sectPr>
      </w:pPr>
      <w:r>
        <w:rPr>
          <w:rFonts w:eastAsiaTheme="minorEastAsia"/>
          <w:kern w:val="0"/>
        </w:rPr>
        <w:t>(</w:t>
      </w:r>
      <w:r>
        <w:rPr>
          <w:rFonts w:eastAsiaTheme="minorEastAsia"/>
          <w:i/>
          <w:kern w:val="0"/>
        </w:rPr>
        <w:t>Signature page follows</w:t>
      </w:r>
      <w:r>
        <w:rPr>
          <w:rFonts w:eastAsiaTheme="minorEastAsia"/>
          <w:kern w:val="0"/>
        </w:rPr>
        <w:t>)</w:t>
      </w:r>
    </w:p>
    <w:p>
      <w:pPr>
        <w:pStyle w:val="Term1"/>
        <w:tabs>
          <w:tab w:val="clear" w:pos="3600"/>
        </w:tabs>
        <w:spacing w:before="240"/>
        <w:ind w:left="0" w:firstLine="0"/>
        <w:jc w:val="center"/>
        <w:rPr>
          <w:rFonts w:eastAsiaTheme="minorEastAsia"/>
        </w:rPr>
      </w:pPr>
    </w:p>
    <w:p>
      <w:pPr>
        <w:pStyle w:val="Footer"/>
        <w:rPr>
          <w:rFonts w:eastAsiaTheme="minorEastAsia"/>
          <w:kern w:val="28"/>
        </w:rPr>
      </w:pPr>
    </w:p>
    <w:p>
      <w:pPr>
        <w:pStyle w:val="Term1"/>
        <w:tabs>
          <w:tab w:val="clear" w:pos="3600"/>
        </w:tabs>
        <w:spacing w:before="240"/>
        <w:ind w:left="0" w:firstLine="360"/>
        <w:jc w:val="both"/>
        <w:rPr>
          <w:iCs/>
        </w:rPr>
      </w:pPr>
      <w:r>
        <w:t>This Memorandum of Terms may be executed in counterparts, which together will constitute one document. Facsimile signatures shall have the same legal effect as original signatures.</w:t>
      </w:r>
      <w:r>
        <w:rPr>
          <w:iCs/>
        </w:rPr>
        <w:t xml:space="preserve"> The legally binding portions of this Memorandum of Terms will be governed by </w:t>
      </w:r>
      <w:r>
        <w:rPr/>
        <w:t xml:space="preserve">California</w:t>
      </w:r>
      <w:r>
        <w:rPr>
          <w:iCs/>
        </w:rPr>
        <w:t xml:space="preserve"> law, without regard to conflicts-of-law principles.</w:t>
      </w:r>
    </w:p>
    <w:p>
      <w:pPr>
        <w:keepLines/>
        <w:tabs>
          <w:tab w:val="left" w:pos="5040"/>
        </w:tabs>
        <w:spacing w:before="480"/>
        <w:ind w:left="5040" w:hanging="5040"/>
      </w:pPr>
      <w:r>
        <w:rPr>
          <w:b/>
        </w:rPr>
        <w:t xml:space="preserve">FEEDMYPOCKETS</w:t>
      </w:r>
      <w:r>
        <w:rPr>
          <w:b/>
        </w:rPr>
        <w:tab/>
      </w:r>
      <w:r>
        <w:rPr>
          <w:b/>
        </w:rPr>
        <w:t xml:space="preserve">MONK'S HILL VENTURES</w:t>
      </w:r>
    </w:p>
    <w:p>
      <w:pPr>
        <w:keepLines/>
        <w:tabs>
          <w:tab w:val="left" w:pos="4320"/>
          <w:tab w:val="left" w:pos="5040"/>
          <w:tab w:val="left" w:pos="9630"/>
        </w:tabs>
        <w:spacing w:before="560"/>
        <w:ind w:firstLine="0"/>
        <w:rPr>
          <w:rFonts w:eastAsiaTheme="minorEastAsia"/>
          <w:i/>
          <w:kern w:val="28"/>
          <w:u w:val="single"/>
        </w:rPr>
      </w:pPr>
      <w:r>
        <w:rPr>
          <w:rFonts w:eastAsiaTheme="minorEastAsia"/>
          <w:i/>
          <w:kern w:val="28"/>
          <w:u w:val="single"/>
        </w:rPr>
        <w:tab/>
      </w:r>
      <w:r>
        <w:rPr>
          <w:rFonts w:eastAsiaTheme="minorEastAsia"/>
          <w:i/>
          <w:kern w:val="28"/>
        </w:rPr>
        <w:tab/>
      </w:r>
      <w:r>
        <w:rPr>
          <w:rFonts w:eastAsiaTheme="minorEastAsia"/>
          <w:i/>
          <w:kern w:val="28"/>
          <w:u w:val="single"/>
        </w:rPr>
        <w:tab/>
      </w:r>
    </w:p>
    <w:p>
      <w:pPr>
        <w:keepLines/>
        <w:tabs>
          <w:tab w:val="left" w:pos="5040"/>
        </w:tabs>
        <w:spacing w:before="20"/>
        <w:ind w:firstLine="0"/>
        <w:rPr>
          <w:rFonts w:eastAsiaTheme="minorEastAsia"/>
          <w:i/>
          <w:kern w:val="28"/>
          <w:sz w:val="18"/>
          <w:szCs w:val="18"/>
        </w:rPr>
      </w:pPr>
      <w:r>
        <w:rPr>
          <w:rFonts w:eastAsiaTheme="minorEastAsia"/>
          <w:i/>
          <w:kern w:val="28"/>
          <w:sz w:val="18"/>
          <w:szCs w:val="18"/>
        </w:rPr>
        <w:t>Signature</w:t>
      </w:r>
      <w:r>
        <w:rPr>
          <w:rFonts w:eastAsiaTheme="minorEastAsia"/>
          <w:i/>
          <w:kern w:val="28"/>
          <w:sz w:val="18"/>
          <w:szCs w:val="18"/>
        </w:rPr>
        <w:tab/>
        <w:t xml:space="preserve">Signature </w:t>
      </w:r>
    </w:p>
    <w:p>
      <w:pPr>
        <w:keepLines/>
        <w:tabs>
          <w:tab w:val="left" w:pos="4320"/>
          <w:tab w:val="left" w:pos="5040"/>
          <w:tab w:val="left" w:pos="9630"/>
        </w:tabs>
        <w:spacing w:before="360"/>
        <w:ind w:firstLine="0"/>
        <w:rPr>
          <w:rFonts w:eastAsiaTheme="minorEastAsia"/>
          <w:i/>
          <w:kern w:val="28"/>
          <w:u w:val="single"/>
        </w:rPr>
      </w:pPr>
      <w:r>
        <w:rPr>
          <w:rFonts w:eastAsiaTheme="minorEastAsia"/>
          <w:i/>
          <w:kern w:val="28"/>
          <w:u w:val="single"/>
        </w:rPr>
        <w:tab/>
      </w:r>
      <w:r>
        <w:rPr>
          <w:rFonts w:eastAsiaTheme="minorEastAsia"/>
          <w:i/>
          <w:kern w:val="28"/>
        </w:rPr>
        <w:tab/>
      </w:r>
      <w:r>
        <w:rPr>
          <w:rFonts w:eastAsiaTheme="minorEastAsia"/>
          <w:i/>
          <w:kern w:val="28"/>
          <w:u w:val="single"/>
        </w:rPr>
        <w:tab/>
      </w:r>
    </w:p>
    <w:p>
      <w:pPr>
        <w:keepLines/>
        <w:tabs>
          <w:tab w:val="left" w:pos="5040"/>
        </w:tabs>
        <w:spacing w:before="20"/>
        <w:ind w:firstLine="0"/>
        <w:rPr>
          <w:rFonts w:eastAsiaTheme="minorEastAsia"/>
          <w:i/>
          <w:kern w:val="28"/>
          <w:sz w:val="18"/>
          <w:szCs w:val="18"/>
        </w:rPr>
      </w:pPr>
      <w:r>
        <w:rPr>
          <w:rFonts w:eastAsiaTheme="minorEastAsia"/>
          <w:i/>
          <w:kern w:val="28"/>
          <w:sz w:val="18"/>
          <w:szCs w:val="18"/>
        </w:rPr>
        <w:t>Print name</w:t>
      </w:r>
      <w:r>
        <w:rPr>
          <w:rFonts w:eastAsiaTheme="minorEastAsia"/>
          <w:i/>
          <w:kern w:val="28"/>
          <w:sz w:val="18"/>
          <w:szCs w:val="18"/>
        </w:rPr>
        <w:tab/>
        <w:t>Print name</w:t>
      </w:r>
    </w:p>
    <w:p>
      <w:pPr>
        <w:keepLines/>
        <w:tabs>
          <w:tab w:val="left" w:pos="4320"/>
          <w:tab w:val="left" w:pos="5040"/>
          <w:tab w:val="left" w:pos="9630"/>
        </w:tabs>
        <w:spacing w:before="360"/>
        <w:ind w:firstLine="0"/>
        <w:rPr>
          <w:rFonts w:eastAsiaTheme="minorEastAsia"/>
          <w:i/>
          <w:kern w:val="28"/>
          <w:u w:val="single"/>
        </w:rPr>
      </w:pPr>
      <w:r>
        <w:rPr>
          <w:rFonts w:eastAsiaTheme="minorEastAsia"/>
          <w:i/>
          <w:kern w:val="28"/>
          <w:u w:val="single"/>
        </w:rPr>
        <w:tab/>
      </w:r>
      <w:r>
        <w:rPr>
          <w:rFonts w:eastAsiaTheme="minorEastAsia"/>
          <w:i/>
          <w:kern w:val="28"/>
        </w:rPr>
        <w:tab/>
      </w:r>
      <w:r>
        <w:rPr>
          <w:rFonts w:eastAsiaTheme="minorEastAsia"/>
          <w:i/>
          <w:kern w:val="28"/>
          <w:u w:val="single"/>
        </w:rPr>
        <w:tab/>
      </w:r>
    </w:p>
    <w:p>
      <w:pPr>
        <w:keepLines/>
        <w:tabs>
          <w:tab w:val="left" w:pos="5040"/>
        </w:tabs>
        <w:spacing w:before="20"/>
        <w:ind w:firstLine="0"/>
        <w:rPr>
          <w:rFonts w:eastAsiaTheme="minorEastAsia"/>
          <w:i/>
          <w:kern w:val="28"/>
          <w:sz w:val="18"/>
          <w:szCs w:val="18"/>
        </w:rPr>
      </w:pPr>
      <w:r>
        <w:rPr>
          <w:rFonts w:eastAsiaTheme="minorEastAsia"/>
          <w:i/>
          <w:kern w:val="28"/>
          <w:sz w:val="18"/>
          <w:szCs w:val="18"/>
        </w:rPr>
        <w:t>Print title</w:t>
      </w:r>
      <w:r>
        <w:rPr>
          <w:rFonts w:eastAsiaTheme="minorEastAsia"/>
          <w:i/>
          <w:kern w:val="28"/>
          <w:sz w:val="18"/>
          <w:szCs w:val="18"/>
        </w:rPr>
        <w:tab/>
        <w:t>Print title</w:t>
      </w:r>
    </w:p>
    <w:p>
      <w:pPr>
        <w:keepLines/>
        <w:tabs>
          <w:tab w:val="left" w:pos="4320"/>
          <w:tab w:val="left" w:pos="5040"/>
          <w:tab w:val="left" w:pos="9630"/>
        </w:tabs>
        <w:spacing w:before="360"/>
        <w:ind w:firstLine="0"/>
        <w:rPr>
          <w:rFonts w:eastAsiaTheme="minorEastAsia"/>
          <w:i/>
          <w:kern w:val="28"/>
          <w:u w:val="single"/>
        </w:rPr>
      </w:pPr>
      <w:r>
        <w:rPr>
          <w:rFonts w:eastAsiaTheme="minorEastAsia"/>
          <w:i/>
          <w:kern w:val="28"/>
          <w:u w:val="single"/>
        </w:rPr>
        <w:tab/>
      </w:r>
      <w:r>
        <w:rPr>
          <w:rFonts w:eastAsiaTheme="minorEastAsia"/>
          <w:i/>
          <w:kern w:val="28"/>
        </w:rPr>
        <w:tab/>
      </w:r>
      <w:r>
        <w:rPr>
          <w:rFonts w:eastAsiaTheme="minorEastAsia"/>
          <w:i/>
          <w:kern w:val="28"/>
          <w:u w:val="single"/>
        </w:rPr>
        <w:tab/>
      </w:r>
    </w:p>
    <w:p>
      <w:pPr>
        <w:keepLines/>
        <w:tabs>
          <w:tab w:val="left" w:pos="5040"/>
        </w:tabs>
        <w:spacing w:before="20"/>
        <w:ind w:firstLine="0"/>
        <w:rPr>
          <w:rFonts w:eastAsiaTheme="minorEastAsia"/>
          <w:color w:val="000000"/>
          <w:kern w:val="28"/>
        </w:rPr>
      </w:pPr>
      <w:r>
        <w:rPr>
          <w:rFonts w:eastAsiaTheme="minorEastAsia"/>
          <w:i/>
          <w:kern w:val="28"/>
          <w:sz w:val="18"/>
          <w:szCs w:val="18"/>
        </w:rPr>
        <w:t>Date</w:t>
      </w:r>
      <w:r>
        <w:rPr>
          <w:rFonts w:eastAsiaTheme="minorEastAsia"/>
          <w:i/>
          <w:kern w:val="28"/>
          <w:sz w:val="18"/>
          <w:szCs w:val="18"/>
        </w:rPr>
        <w:tab/>
        <w:t>Date</w:t>
      </w:r>
    </w:p>
    <w:p>
      <w:pPr>
        <w:widowControl w:val="0"/>
        <w:tabs>
          <w:tab w:val="left" w:pos="5040"/>
        </w:tabs>
        <w:spacing w:before="20"/>
        <w:ind w:firstLine="0"/>
        <w:rPr>
          <w:rFonts w:eastAsiaTheme="minorEastAsia"/>
          <w:iCs/>
          <w:color w:val="000000"/>
          <w:kern w:val="28"/>
        </w:rPr>
      </w:pPr>
    </w:p>
    <w:p>
      <w:pPr>
        <w:keepLines/>
        <w:pageBreakBefore/>
        <w:tabs>
          <w:tab w:val="left" w:pos="5040"/>
        </w:tabs>
        <w:spacing w:before="20"/>
        <w:ind w:firstLine="0"/>
        <w:rPr>
          <w:rFonts w:eastAsiaTheme="minorEastAsia"/>
          <w:iCs/>
          <w:color w:val="000000"/>
          <w:kern w:val="28"/>
        </w:rPr>
      </w:pPr>
    </w:p>
    <w:p>
      <w:pPr>
        <w:pStyle w:val="ExAHeading1"/>
        <w:jc w:val="center"/>
      </w:pPr>
      <w:bookmarkStart w:id="5" w:name="_Ref203226206"/>
    </w:p>
    <w:bookmarkEnd w:id="5"/>
    <w:p>
      <w:pPr>
        <w:ind w:firstLine="0"/>
        <w:jc w:val="center"/>
        <w:rPr>
          <w:b/>
        </w:rPr>
      </w:pPr>
      <w:r>
        <w:rPr>
          <w:b/>
        </w:rPr>
        <w:t>Capitalization</w:t>
      </w:r>
    </w:p>
    <w:sectPr>
      <w:footerReference w:type="default" r:id="rId13"/>
      <w:headerReference w:type="first" r:id="rId14"/>
      <w:footerReference w:type="first" r:id="rId15"/>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240" w:lineRule="atLeast"/>
      <w:jc w:val="both"/>
    </w:pPr>
  </w:p>
  <w:p>
    <w:pPr>
      <w:tabs>
        <w:tab w:val="center" w:pos="4860"/>
      </w:tabs>
      <w:spacing w:line="240" w:lineRule="atLeast"/>
      <w:jc w:val="both"/>
    </w:pPr>
    <w:r>
      <w:tab/>
      <w:t>-</w:t>
    </w:r>
    <w:r>
      <w:fldChar w:fldCharType="begin"/>
    </w:r>
    <w:r>
      <w:instrText xml:space="preserve">page </w:instrText>
    </w:r>
    <w:r>
      <w:fldChar w:fldCharType="separate"/>
    </w:r>
    <w:r>
      <w:rPr>
        <w:noProof/>
      </w:rPr>
      <w:t>17</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t xml:space="preserve">- </w:t>
    </w:r>
    <w:r>
      <w:fldChar w:fldCharType="begin"/>
    </w:r>
    <w:r>
      <w:instrText xml:space="preserve"> PAGE </w:instrText>
    </w:r>
    <w:r>
      <w:fldChar w:fldCharType="separate"/>
    </w:r>
    <w:r>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rPr>
        <w:sz w:val="15"/>
      </w:rPr>
    </w:pPr>
    <w:r>
      <w:rPr>
        <w:sz w:val="15"/>
      </w:rPr>
      <w:tab/>
    </w:r>
    <w:bookmarkStart w:id="4" w:name="_This_doc_was_converted_using_ConvUtilit"/>
    <w:bookmarkEnd w:id="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rPr>
        <w:rStyle w:val="PageNumber"/>
        <w:sz w:val="22"/>
        <w:szCs w:val="22"/>
        <w:lang w:eastAsia="en-US"/>
      </w:rPr>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rPr>
        <w:sz w:val="15"/>
        <w:szCs w:val="15"/>
      </w:rPr>
    </w:pPr>
    <w:r>
      <w:rPr>
        <w:snapToGrid w:val="0"/>
        <w:sz w:val="15"/>
        <w:szCs w:val="15"/>
      </w:rPr>
      <w:fldChar w:fldCharType="begin"/>
    </w:r>
    <w:r>
      <w:rPr>
        <w:snapToGrid w:val="0"/>
        <w:sz w:val="15"/>
        <w:szCs w:val="15"/>
      </w:rPr>
      <w:instrText xml:space="preserve"> FILENAME \p </w:instrText>
    </w:r>
    <w:r>
      <w:rPr>
        <w:snapToGrid w:val="0"/>
        <w:sz w:val="15"/>
        <w:szCs w:val="15"/>
      </w:rPr>
      <w:fldChar w:fldCharType="separate"/>
    </w:r>
    <w:r>
      <w:rPr>
        <w:noProof/>
        <w:snapToGrid w:val="0"/>
        <w:sz w:val="15"/>
        <w:szCs w:val="15"/>
      </w:rPr>
      <w:t>C:\Users\atk\Documents\My Box Files\WSGR Work\FAST - Term Sheet External (master) v4.docx</w:t>
    </w:r>
    <w:r>
      <w:rPr>
        <w:snapToGrid w:val="0"/>
        <w:sz w:val="15"/>
        <w:szCs w:val="15"/>
      </w:rPr>
      <w:fldChar w:fldCharType="end"/>
    </w:r>
    <w:r>
      <w:rPr>
        <w:snapToGrid w:val="0"/>
        <w:sz w:val="15"/>
        <w:szCs w:val="15"/>
      </w:rPr>
      <w:t xml:space="preserve"> (</w:t>
    </w:r>
    <w:r>
      <w:rPr>
        <w:snapToGrid w:val="0"/>
        <w:sz w:val="15"/>
        <w:szCs w:val="15"/>
      </w:rPr>
      <w:fldChar w:fldCharType="begin"/>
    </w:r>
    <w:r>
      <w:rPr>
        <w:snapToGrid w:val="0"/>
        <w:sz w:val="15"/>
        <w:szCs w:val="15"/>
      </w:rPr>
      <w:instrText xml:space="preserve"> NUMCHARS  \* MERGEFORMAT </w:instrText>
    </w:r>
    <w:r>
      <w:rPr>
        <w:snapToGrid w:val="0"/>
        <w:sz w:val="15"/>
        <w:szCs w:val="15"/>
      </w:rPr>
      <w:fldChar w:fldCharType="separate"/>
    </w:r>
    <w:r>
      <w:rPr>
        <w:noProof/>
        <w:snapToGrid w:val="0"/>
        <w:sz w:val="15"/>
        <w:szCs w:val="15"/>
      </w:rPr>
      <w:t>58407</w:t>
    </w:r>
    <w:r>
      <w:rPr>
        <w:snapToGrid w:val="0"/>
        <w:sz w:val="15"/>
        <w:szCs w:val="15"/>
      </w:rPr>
      <w:fldChar w:fldCharType="end"/>
    </w:r>
    <w:r>
      <w:rPr>
        <w:snapToGrid w:val="0"/>
        <w:sz w:val="15"/>
        <w:szCs w:val="15"/>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both"/>
      <w:rPr>
        <w:b/>
      </w:rPr>
    </w:pPr>
    <w:r>
      <w:rPr>
        <w:rFonts w:ascii="Times New Roman Bold" w:hAnsi="Times New Roman Bold"/>
        <w:b/>
        <w:caps/>
        <w:highlight w:val="yellow"/>
      </w:rPr>
      <w:t>Terms and Conditions Apply. This document is not legal advice and no attorney-client relationship with Wilson Sonsini Goodrich &amp; Rosati is intended or created. Please consult an attorney before using or relying on this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both"/>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34F57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ABBA8E1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C1B23B3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1E921D3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3ECC70C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58297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BB60CE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866B4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73CB1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CA43F92"/>
    <w:lvl w:ilvl="0">
      <w:start w:val="1"/>
      <w:numFmt w:val="bullet"/>
      <w:lvlText w:val=""/>
      <w:lvlJc w:val="left"/>
      <w:pPr>
        <w:tabs>
          <w:tab w:val="num" w:pos="360"/>
        </w:tabs>
        <w:ind w:left="360" w:hanging="360"/>
      </w:pPr>
      <w:rPr>
        <w:rFonts w:ascii="Symbol" w:hAnsi="Symbol" w:hint="default"/>
      </w:rPr>
    </w:lvl>
  </w:abstractNum>
  <w:abstractNum w:abstractNumId="10">
    <w:nsid w:val="132C3341"/>
    <w:multiLevelType w:val="multilevel"/>
    <w:tmpl w:val="92AC6DD2"/>
    <w:lvl w:ilvl="0">
      <w:start w:val="1"/>
      <w:numFmt w:val="decimal"/>
      <w:pStyle w:val="Def2Heading1"/>
      <w:lvlText w:val="%1."/>
      <w:lvlJc w:val="left"/>
      <w:pPr>
        <w:tabs>
          <w:tab w:val="num" w:pos="1080"/>
        </w:tabs>
        <w:ind w:firstLine="720"/>
      </w:pPr>
      <w:rPr>
        <w:rFonts w:cs="Times New Roman"/>
        <w:u w:val="none"/>
      </w:rPr>
    </w:lvl>
    <w:lvl w:ilvl="1">
      <w:start w:val="1"/>
      <w:numFmt w:val="lowerLetter"/>
      <w:pStyle w:val="Def2Heading2"/>
      <w:lvlText w:val="(%2)"/>
      <w:lvlJc w:val="left"/>
      <w:pPr>
        <w:tabs>
          <w:tab w:val="num" w:pos="1800"/>
        </w:tabs>
        <w:ind w:firstLine="1440"/>
      </w:pPr>
      <w:rPr>
        <w:rFonts w:cs="Times New Roman"/>
        <w:u w:val="none"/>
      </w:rPr>
    </w:lvl>
    <w:lvl w:ilvl="2">
      <w:start w:val="1"/>
      <w:numFmt w:val="lowerRoman"/>
      <w:pStyle w:val="Def2Heading3"/>
      <w:lvlText w:val="(%3)"/>
      <w:lvlJc w:val="right"/>
      <w:pPr>
        <w:tabs>
          <w:tab w:val="num" w:pos="2880"/>
        </w:tabs>
        <w:ind w:firstLine="2520"/>
      </w:pPr>
      <w:rPr>
        <w:rFonts w:cs="Times New Roman"/>
        <w:u w:val="none"/>
      </w:rPr>
    </w:lvl>
    <w:lvl w:ilvl="3">
      <w:start w:val="1"/>
      <w:numFmt w:val="decimal"/>
      <w:pStyle w:val="Def2Heading4"/>
      <w:lvlText w:val="(%4)"/>
      <w:lvlJc w:val="left"/>
      <w:pPr>
        <w:tabs>
          <w:tab w:val="num" w:pos="3240"/>
        </w:tabs>
        <w:ind w:firstLine="2880"/>
      </w:pPr>
      <w:rPr>
        <w:rFonts w:cs="Times New Roman"/>
        <w:u w:val="none"/>
      </w:rPr>
    </w:lvl>
    <w:lvl w:ilvl="4">
      <w:start w:val="1"/>
      <w:numFmt w:val="lowerLetter"/>
      <w:pStyle w:val="Def2Heading5"/>
      <w:lvlText w:val="%5)"/>
      <w:lvlJc w:val="left"/>
      <w:pPr>
        <w:tabs>
          <w:tab w:val="num" w:pos="3960"/>
        </w:tabs>
        <w:ind w:firstLine="3600"/>
      </w:pPr>
      <w:rPr>
        <w:rFonts w:cs="Times New Roman"/>
        <w:u w:val="none"/>
      </w:rPr>
    </w:lvl>
    <w:lvl w:ilvl="5">
      <w:start w:val="1"/>
      <w:numFmt w:val="lowerRoman"/>
      <w:lvlText w:val="%6)"/>
      <w:lvlJc w:val="right"/>
      <w:pPr>
        <w:tabs>
          <w:tab w:val="num" w:pos="5040"/>
        </w:tabs>
        <w:ind w:firstLine="4680"/>
      </w:pPr>
      <w:rPr>
        <w:rFonts w:cs="Times New Roman"/>
        <w:u w:val="none"/>
      </w:rPr>
    </w:lvl>
    <w:lvl w:ilvl="6">
      <w:start w:val="1"/>
      <w:numFmt w:val="decimal"/>
      <w:lvlText w:val="%7)"/>
      <w:lvlJc w:val="left"/>
      <w:pPr>
        <w:tabs>
          <w:tab w:val="num" w:pos="5400"/>
        </w:tabs>
        <w:ind w:firstLine="5040"/>
      </w:pPr>
      <w:rPr>
        <w:rFonts w:cs="Times New Roman"/>
        <w:u w:val="none"/>
      </w:rPr>
    </w:lvl>
    <w:lvl w:ilvl="7">
      <w:start w:val="1"/>
      <w:numFmt w:val="lowerLetter"/>
      <w:lvlText w:val="%8."/>
      <w:lvlJc w:val="left"/>
      <w:pPr>
        <w:tabs>
          <w:tab w:val="num" w:pos="6120"/>
        </w:tabs>
        <w:ind w:firstLine="57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nsid w:val="2BF92201"/>
    <w:multiLevelType w:val="multilevel"/>
    <w:tmpl w:val="520AB7B6"/>
    <w:lvl w:ilvl="0">
      <w:start w:val="1"/>
      <w:numFmt w:val="decimal"/>
      <w:pStyle w:val="Heading1"/>
      <w:lvlText w:val="%1."/>
      <w:lvlJc w:val="left"/>
      <w:pPr>
        <w:tabs>
          <w:tab w:val="num" w:pos="1080"/>
        </w:tabs>
        <w:ind w:firstLine="720"/>
      </w:pPr>
      <w:rPr>
        <w:rFonts w:cs="Times New Roman"/>
        <w:u w:val="none"/>
      </w:rPr>
    </w:lvl>
    <w:lvl w:ilvl="1">
      <w:start w:val="1"/>
      <w:numFmt w:val="lowerLetter"/>
      <w:pStyle w:val="Heading2"/>
      <w:lvlText w:val="(%2)"/>
      <w:lvlJc w:val="left"/>
      <w:pPr>
        <w:tabs>
          <w:tab w:val="num" w:pos="1800"/>
        </w:tabs>
        <w:ind w:firstLine="1440"/>
      </w:pPr>
      <w:rPr>
        <w:rFonts w:cs="Times New Roman"/>
        <w:u w:val="none"/>
      </w:rPr>
    </w:lvl>
    <w:lvl w:ilvl="2">
      <w:start w:val="1"/>
      <w:numFmt w:val="lowerRoman"/>
      <w:pStyle w:val="Heading3"/>
      <w:lvlText w:val="(%3)"/>
      <w:lvlJc w:val="right"/>
      <w:pPr>
        <w:tabs>
          <w:tab w:val="num" w:pos="2880"/>
        </w:tabs>
        <w:ind w:firstLine="2520"/>
      </w:pPr>
      <w:rPr>
        <w:rFonts w:cs="Times New Roman"/>
        <w:u w:val="none"/>
      </w:rPr>
    </w:lvl>
    <w:lvl w:ilvl="3">
      <w:start w:val="1"/>
      <w:numFmt w:val="decimal"/>
      <w:pStyle w:val="Heading4"/>
      <w:lvlText w:val="(%4)"/>
      <w:lvlJc w:val="left"/>
      <w:pPr>
        <w:tabs>
          <w:tab w:val="num" w:pos="3240"/>
        </w:tabs>
        <w:ind w:firstLine="2880"/>
      </w:pPr>
      <w:rPr>
        <w:rFonts w:cs="Times New Roman"/>
        <w:u w:val="none"/>
      </w:rPr>
    </w:lvl>
    <w:lvl w:ilvl="4">
      <w:start w:val="1"/>
      <w:numFmt w:val="lowerLetter"/>
      <w:pStyle w:val="Heading5"/>
      <w:lvlText w:val="%5)"/>
      <w:lvlJc w:val="left"/>
      <w:pPr>
        <w:tabs>
          <w:tab w:val="num" w:pos="3960"/>
        </w:tabs>
        <w:ind w:firstLine="3600"/>
      </w:pPr>
      <w:rPr>
        <w:rFonts w:cs="Times New Roman"/>
      </w:rPr>
    </w:lvl>
    <w:lvl w:ilvl="5">
      <w:start w:val="1"/>
      <w:numFmt w:val="lowerRoman"/>
      <w:pStyle w:val="Heading6"/>
      <w:lvlText w:val="%6)"/>
      <w:lvlJc w:val="right"/>
      <w:pPr>
        <w:tabs>
          <w:tab w:val="num" w:pos="5040"/>
        </w:tabs>
        <w:ind w:firstLine="4680"/>
      </w:pPr>
      <w:rPr>
        <w:rFonts w:cs="Times New Roman"/>
        <w:u w:val="none"/>
      </w:rPr>
    </w:lvl>
    <w:lvl w:ilvl="6">
      <w:start w:val="1"/>
      <w:numFmt w:val="decimal"/>
      <w:pStyle w:val="Heading7"/>
      <w:lvlText w:val="%7)"/>
      <w:lvlJc w:val="left"/>
      <w:pPr>
        <w:tabs>
          <w:tab w:val="num" w:pos="5400"/>
        </w:tabs>
        <w:ind w:firstLine="5040"/>
      </w:pPr>
      <w:rPr>
        <w:rFonts w:cs="Times New Roman"/>
        <w:u w:val="none"/>
      </w:rPr>
    </w:lvl>
    <w:lvl w:ilvl="7">
      <w:start w:val="1"/>
      <w:numFmt w:val="lowerLetter"/>
      <w:pStyle w:val="Heading8"/>
      <w:lvlText w:val="%8."/>
      <w:lvlJc w:val="left"/>
      <w:pPr>
        <w:tabs>
          <w:tab w:val="num" w:pos="6120"/>
        </w:tabs>
        <w:ind w:firstLine="5760"/>
      </w:pPr>
      <w:rPr>
        <w:rFonts w:cs="Times New Roman"/>
        <w:u w:val="none"/>
      </w:rPr>
    </w:lvl>
    <w:lvl w:ilvl="8">
      <w:start w:val="1"/>
      <w:numFmt w:val="lowerRoman"/>
      <w:lvlText w:val="%9."/>
      <w:lvlJc w:val="left"/>
      <w:pPr>
        <w:tabs>
          <w:tab w:val="num" w:pos="3600"/>
        </w:tabs>
        <w:ind w:left="3240" w:hanging="360"/>
      </w:pPr>
      <w:rPr>
        <w:rFonts w:cs="Times New Roman"/>
        <w:u w:val="none"/>
      </w:rPr>
    </w:lvl>
  </w:abstractNum>
  <w:abstractNum w:abstractNumId="12">
    <w:nsid w:val="359C4D38"/>
    <w:multiLevelType w:val="multilevel"/>
    <w:tmpl w:val="6B2E5D4E"/>
    <w:lvl w:ilvl="0">
      <w:start w:val="1"/>
      <w:numFmt w:val="upperLetter"/>
      <w:pStyle w:val="ExAHeading1"/>
      <w:suff w:val="nothing"/>
      <w:lvlText w:val="Exhibit %1"/>
      <w:lvlJc w:val="left"/>
      <w:rPr>
        <w:rFonts w:cs="Times New Roman" w:hint="default"/>
        <w:b/>
        <w:sz w:val="22"/>
        <w:szCs w:val="22"/>
        <w:u w:val="none"/>
      </w:rPr>
    </w:lvl>
    <w:lvl w:ilvl="1">
      <w:start w:val="1"/>
      <w:numFmt w:val="lowerLetter"/>
      <w:pStyle w:val="ExAHeading2"/>
      <w:lvlText w:val="(%2)"/>
      <w:lvlJc w:val="left"/>
      <w:pPr>
        <w:tabs>
          <w:tab w:val="num" w:pos="1800"/>
        </w:tabs>
        <w:ind w:firstLine="1440"/>
      </w:pPr>
      <w:rPr>
        <w:rFonts w:cs="Times New Roman" w:hint="default"/>
        <w:u w:val="none"/>
      </w:rPr>
    </w:lvl>
    <w:lvl w:ilvl="2">
      <w:start w:val="1"/>
      <w:numFmt w:val="lowerRoman"/>
      <w:pStyle w:val="ExAHeading3"/>
      <w:lvlText w:val="(%3)"/>
      <w:lvlJc w:val="right"/>
      <w:pPr>
        <w:tabs>
          <w:tab w:val="num" w:pos="2880"/>
        </w:tabs>
        <w:ind w:firstLine="2520"/>
      </w:pPr>
      <w:rPr>
        <w:rFonts w:cs="Times New Roman" w:hint="default"/>
        <w:u w:val="none"/>
      </w:rPr>
    </w:lvl>
    <w:lvl w:ilvl="3">
      <w:start w:val="1"/>
      <w:numFmt w:val="decimal"/>
      <w:pStyle w:val="ExAHeading4"/>
      <w:lvlText w:val="(%4)"/>
      <w:lvlJc w:val="left"/>
      <w:pPr>
        <w:tabs>
          <w:tab w:val="num" w:pos="3240"/>
        </w:tabs>
        <w:ind w:firstLine="2880"/>
      </w:pPr>
      <w:rPr>
        <w:rFonts w:cs="Times New Roman" w:hint="default"/>
        <w:u w:val="none"/>
      </w:rPr>
    </w:lvl>
    <w:lvl w:ilvl="4">
      <w:start w:val="1"/>
      <w:numFmt w:val="none"/>
      <w:pStyle w:val="ExAHeading5"/>
      <w:lvlText w:val="a)"/>
      <w:lvlJc w:val="left"/>
      <w:pPr>
        <w:tabs>
          <w:tab w:val="num" w:pos="3960"/>
        </w:tabs>
        <w:ind w:firstLine="3600"/>
      </w:pPr>
      <w:rPr>
        <w:rFonts w:cs="Times New Roman" w:hint="default"/>
        <w:u w:val="none"/>
      </w:rPr>
    </w:lvl>
    <w:lvl w:ilvl="5">
      <w:start w:val="1"/>
      <w:numFmt w:val="lowerRoman"/>
      <w:lvlText w:val="(%6)"/>
      <w:lvlJc w:val="right"/>
      <w:pPr>
        <w:tabs>
          <w:tab w:val="num" w:pos="4320"/>
        </w:tabs>
        <w:ind w:firstLine="3960"/>
      </w:pPr>
      <w:rPr>
        <w:rFonts w:cs="Times New Roman" w:hint="default"/>
      </w:rPr>
    </w:lvl>
    <w:lvl w:ilvl="6">
      <w:start w:val="1"/>
      <w:numFmt w:val="lowerRoman"/>
      <w:lvlText w:val="%7)"/>
      <w:lvlJc w:val="right"/>
      <w:pPr>
        <w:tabs>
          <w:tab w:val="num" w:pos="5040"/>
        </w:tabs>
        <w:ind w:firstLine="4680"/>
      </w:pPr>
      <w:rPr>
        <w:rFonts w:cs="Times New Roman" w:hint="default"/>
      </w:rPr>
    </w:lvl>
    <w:lvl w:ilvl="7">
      <w:start w:val="1"/>
      <w:numFmt w:val="decimal"/>
      <w:lvlText w:val="%8)"/>
      <w:lvlJc w:val="left"/>
      <w:pPr>
        <w:tabs>
          <w:tab w:val="num" w:pos="5400"/>
        </w:tabs>
        <w:ind w:firstLine="5040"/>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3">
    <w:nsid w:val="39F10507"/>
    <w:multiLevelType w:val="hybridMultilevel"/>
    <w:tmpl w:val="863658DC"/>
    <w:lvl w:ilvl="0" w:tplc="FFFFFFFF">
      <w:start w:val="1"/>
      <w:numFmt w:val="bullet"/>
      <w:lvlText w:val=""/>
      <w:lvlJc w:val="left"/>
      <w:pPr>
        <w:tabs>
          <w:tab w:val="num" w:pos="4320"/>
        </w:tabs>
        <w:ind w:left="4320" w:hanging="360"/>
      </w:pPr>
      <w:rPr>
        <w:rFonts w:ascii="Symbol" w:hAnsi="Symbol" w:hint="default"/>
      </w:rPr>
    </w:lvl>
    <w:lvl w:ilvl="1" w:tplc="FFFFFFFF" w:tentative="1">
      <w:start w:val="1"/>
      <w:numFmt w:val="bullet"/>
      <w:lvlText w:val="o"/>
      <w:lvlJc w:val="left"/>
      <w:pPr>
        <w:tabs>
          <w:tab w:val="num" w:pos="5040"/>
        </w:tabs>
        <w:ind w:left="5040" w:hanging="360"/>
      </w:pPr>
      <w:rPr>
        <w:rFonts w:ascii="Courier New" w:hAnsi="Courier New" w:hint="default"/>
      </w:rPr>
    </w:lvl>
    <w:lvl w:ilvl="2" w:tplc="FFFFFFFF" w:tentative="1">
      <w:start w:val="1"/>
      <w:numFmt w:val="bullet"/>
      <w:lvlText w:val=""/>
      <w:lvlJc w:val="left"/>
      <w:pPr>
        <w:tabs>
          <w:tab w:val="num" w:pos="5760"/>
        </w:tabs>
        <w:ind w:left="5760" w:hanging="360"/>
      </w:pPr>
      <w:rPr>
        <w:rFonts w:ascii="Wingdings" w:hAnsi="Wingdings" w:hint="default"/>
      </w:rPr>
    </w:lvl>
    <w:lvl w:ilvl="3" w:tplc="FFFFFFFF" w:tentative="1">
      <w:start w:val="1"/>
      <w:numFmt w:val="bullet"/>
      <w:lvlText w:val=""/>
      <w:lvlJc w:val="left"/>
      <w:pPr>
        <w:tabs>
          <w:tab w:val="num" w:pos="6480"/>
        </w:tabs>
        <w:ind w:left="6480" w:hanging="360"/>
      </w:pPr>
      <w:rPr>
        <w:rFonts w:ascii="Symbol" w:hAnsi="Symbol" w:hint="default"/>
      </w:rPr>
    </w:lvl>
    <w:lvl w:ilvl="4" w:tplc="FFFFFFFF" w:tentative="1">
      <w:start w:val="1"/>
      <w:numFmt w:val="bullet"/>
      <w:lvlText w:val="o"/>
      <w:lvlJc w:val="left"/>
      <w:pPr>
        <w:tabs>
          <w:tab w:val="num" w:pos="7200"/>
        </w:tabs>
        <w:ind w:left="7200" w:hanging="360"/>
      </w:pPr>
      <w:rPr>
        <w:rFonts w:ascii="Courier New" w:hAnsi="Courier New" w:hint="default"/>
      </w:rPr>
    </w:lvl>
    <w:lvl w:ilvl="5" w:tplc="FFFFFFFF" w:tentative="1">
      <w:start w:val="1"/>
      <w:numFmt w:val="bullet"/>
      <w:lvlText w:val=""/>
      <w:lvlJc w:val="left"/>
      <w:pPr>
        <w:tabs>
          <w:tab w:val="num" w:pos="7920"/>
        </w:tabs>
        <w:ind w:left="7920" w:hanging="360"/>
      </w:pPr>
      <w:rPr>
        <w:rFonts w:ascii="Wingdings" w:hAnsi="Wingdings" w:hint="default"/>
      </w:rPr>
    </w:lvl>
    <w:lvl w:ilvl="6" w:tplc="FFFFFFFF" w:tentative="1">
      <w:start w:val="1"/>
      <w:numFmt w:val="bullet"/>
      <w:lvlText w:val=""/>
      <w:lvlJc w:val="left"/>
      <w:pPr>
        <w:tabs>
          <w:tab w:val="num" w:pos="8640"/>
        </w:tabs>
        <w:ind w:left="8640" w:hanging="360"/>
      </w:pPr>
      <w:rPr>
        <w:rFonts w:ascii="Symbol" w:hAnsi="Symbol" w:hint="default"/>
      </w:rPr>
    </w:lvl>
    <w:lvl w:ilvl="7" w:tplc="FFFFFFFF" w:tentative="1">
      <w:start w:val="1"/>
      <w:numFmt w:val="bullet"/>
      <w:lvlText w:val="o"/>
      <w:lvlJc w:val="left"/>
      <w:pPr>
        <w:tabs>
          <w:tab w:val="num" w:pos="9360"/>
        </w:tabs>
        <w:ind w:left="9360" w:hanging="360"/>
      </w:pPr>
      <w:rPr>
        <w:rFonts w:ascii="Courier New" w:hAnsi="Courier New" w:hint="default"/>
      </w:rPr>
    </w:lvl>
    <w:lvl w:ilvl="8" w:tplc="FFFFFFFF" w:tentative="1">
      <w:start w:val="1"/>
      <w:numFmt w:val="bullet"/>
      <w:lvlText w:val=""/>
      <w:lvlJc w:val="left"/>
      <w:pPr>
        <w:tabs>
          <w:tab w:val="num" w:pos="10080"/>
        </w:tabs>
        <w:ind w:left="10080" w:hanging="360"/>
      </w:pPr>
      <w:rPr>
        <w:rFonts w:ascii="Wingdings" w:hAnsi="Wingdings" w:hint="default"/>
      </w:rPr>
    </w:lvl>
  </w:abstractNum>
  <w:abstractNum w:abstractNumId="14">
    <w:nsid w:val="464B5C55"/>
    <w:multiLevelType w:val="hybridMultilevel"/>
    <w:tmpl w:val="99C2396C"/>
    <w:lvl w:ilvl="0" w:tplc="54629086">
      <w:start w:val="1"/>
      <w:numFmt w:val="bullet"/>
      <w:pStyle w:val="TSBulletLis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nsid w:val="509D6612"/>
    <w:multiLevelType w:val="hybridMultilevel"/>
    <w:tmpl w:val="3078E208"/>
    <w:lvl w:ilvl="0" w:tplc="FFFFFFFF">
      <w:start w:val="1"/>
      <w:numFmt w:val="bullet"/>
      <w:lvlText w:val=""/>
      <w:lvlJc w:val="left"/>
      <w:pPr>
        <w:tabs>
          <w:tab w:val="num" w:pos="4680"/>
        </w:tabs>
        <w:ind w:left="46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Symbol" w:hAnsi="Symbol"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nsid w:val="63DB0E82"/>
    <w:multiLevelType w:val="hybridMultilevel"/>
    <w:tmpl w:val="7F742CF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Symbol" w:hAnsi="Symbol"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nsid w:val="69537546"/>
    <w:multiLevelType w:val="hybridMultilevel"/>
    <w:tmpl w:val="9F342D06"/>
    <w:lvl w:ilvl="0" w:tplc="04090001">
      <w:start w:val="1"/>
      <w:numFmt w:val="bullet"/>
      <w:lvlText w:val=""/>
      <w:lvlJc w:val="left"/>
      <w:pPr>
        <w:tabs>
          <w:tab w:val="num" w:pos="4320"/>
        </w:tabs>
        <w:ind w:left="4320" w:hanging="360"/>
      </w:pPr>
      <w:rPr>
        <w:rFonts w:ascii="Symbol" w:hAnsi="Symbol" w:hint="default"/>
      </w:rPr>
    </w:lvl>
    <w:lvl w:ilvl="1" w:tplc="04090003">
      <w:start w:val="1"/>
      <w:numFmt w:val="decimal"/>
      <w:lvlText w:val="%2."/>
      <w:lvlJc w:val="left"/>
      <w:pPr>
        <w:tabs>
          <w:tab w:val="num" w:pos="5040"/>
        </w:tabs>
        <w:ind w:left="5040" w:hanging="360"/>
      </w:pPr>
      <w:rPr>
        <w:rFonts w:cs="Times New Roman"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8">
    <w:nsid w:val="7252109F"/>
    <w:multiLevelType w:val="hybridMultilevel"/>
    <w:tmpl w:val="9872F67A"/>
    <w:lvl w:ilvl="0" w:tplc="2258D6A4">
      <w:start w:val="1"/>
      <w:numFmt w:val="bullet"/>
      <w:lvlText w:val=""/>
      <w:lvlJc w:val="left"/>
      <w:pPr>
        <w:tabs>
          <w:tab w:val="num" w:pos="4320"/>
        </w:tabs>
        <w:ind w:left="4320" w:hanging="360"/>
      </w:pPr>
      <w:rPr>
        <w:rFonts w:ascii="Symbol" w:hAnsi="Symbol" w:hint="default"/>
      </w:rPr>
    </w:lvl>
    <w:lvl w:ilvl="1" w:tplc="04090019" w:tentative="1">
      <w:start w:val="1"/>
      <w:numFmt w:val="bullet"/>
      <w:lvlText w:val="o"/>
      <w:lvlJc w:val="left"/>
      <w:pPr>
        <w:tabs>
          <w:tab w:val="num" w:pos="5040"/>
        </w:tabs>
        <w:ind w:left="5040" w:hanging="360"/>
      </w:pPr>
      <w:rPr>
        <w:rFonts w:ascii="Courier New" w:hAnsi="Courier New" w:hint="default"/>
      </w:rPr>
    </w:lvl>
    <w:lvl w:ilvl="2" w:tplc="0409001B">
      <w:start w:val="1"/>
      <w:numFmt w:val="bullet"/>
      <w:lvlText w:val=""/>
      <w:lvlJc w:val="left"/>
      <w:pPr>
        <w:tabs>
          <w:tab w:val="num" w:pos="5760"/>
        </w:tabs>
        <w:ind w:left="5760" w:hanging="360"/>
      </w:pPr>
      <w:rPr>
        <w:rFonts w:ascii="Wingdings" w:hAnsi="Wingdings" w:hint="default"/>
      </w:rPr>
    </w:lvl>
    <w:lvl w:ilvl="3" w:tplc="0409000F" w:tentative="1">
      <w:start w:val="1"/>
      <w:numFmt w:val="bullet"/>
      <w:lvlText w:val=""/>
      <w:lvlJc w:val="left"/>
      <w:pPr>
        <w:tabs>
          <w:tab w:val="num" w:pos="6480"/>
        </w:tabs>
        <w:ind w:left="6480" w:hanging="360"/>
      </w:pPr>
      <w:rPr>
        <w:rFonts w:ascii="Symbol" w:hAnsi="Symbol" w:hint="default"/>
      </w:rPr>
    </w:lvl>
    <w:lvl w:ilvl="4" w:tplc="04090019" w:tentative="1">
      <w:start w:val="1"/>
      <w:numFmt w:val="bullet"/>
      <w:lvlText w:val="o"/>
      <w:lvlJc w:val="left"/>
      <w:pPr>
        <w:tabs>
          <w:tab w:val="num" w:pos="7200"/>
        </w:tabs>
        <w:ind w:left="7200" w:hanging="360"/>
      </w:pPr>
      <w:rPr>
        <w:rFonts w:ascii="Courier New" w:hAnsi="Courier New" w:hint="default"/>
      </w:rPr>
    </w:lvl>
    <w:lvl w:ilvl="5" w:tplc="0409001B" w:tentative="1">
      <w:start w:val="1"/>
      <w:numFmt w:val="bullet"/>
      <w:lvlText w:val=""/>
      <w:lvlJc w:val="left"/>
      <w:pPr>
        <w:tabs>
          <w:tab w:val="num" w:pos="7920"/>
        </w:tabs>
        <w:ind w:left="7920" w:hanging="360"/>
      </w:pPr>
      <w:rPr>
        <w:rFonts w:ascii="Wingdings" w:hAnsi="Wingdings" w:hint="default"/>
      </w:rPr>
    </w:lvl>
    <w:lvl w:ilvl="6" w:tplc="0409000F" w:tentative="1">
      <w:start w:val="1"/>
      <w:numFmt w:val="bullet"/>
      <w:lvlText w:val=""/>
      <w:lvlJc w:val="left"/>
      <w:pPr>
        <w:tabs>
          <w:tab w:val="num" w:pos="8640"/>
        </w:tabs>
        <w:ind w:left="8640" w:hanging="360"/>
      </w:pPr>
      <w:rPr>
        <w:rFonts w:ascii="Symbol" w:hAnsi="Symbol" w:hint="default"/>
      </w:rPr>
    </w:lvl>
    <w:lvl w:ilvl="7" w:tplc="04090019" w:tentative="1">
      <w:start w:val="1"/>
      <w:numFmt w:val="bullet"/>
      <w:lvlText w:val="o"/>
      <w:lvlJc w:val="left"/>
      <w:pPr>
        <w:tabs>
          <w:tab w:val="num" w:pos="9360"/>
        </w:tabs>
        <w:ind w:left="9360" w:hanging="360"/>
      </w:pPr>
      <w:rPr>
        <w:rFonts w:ascii="Courier New" w:hAnsi="Courier New" w:hint="default"/>
      </w:rPr>
    </w:lvl>
    <w:lvl w:ilvl="8" w:tplc="0409001B" w:tentative="1">
      <w:start w:val="1"/>
      <w:numFmt w:val="bullet"/>
      <w:lvlText w:val=""/>
      <w:lvlJc w:val="left"/>
      <w:pPr>
        <w:tabs>
          <w:tab w:val="num" w:pos="10080"/>
        </w:tabs>
        <w:ind w:left="10080" w:hanging="360"/>
      </w:pPr>
      <w:rPr>
        <w:rFonts w:ascii="Wingdings" w:hAnsi="Wingdings" w:hint="default"/>
      </w:rPr>
    </w:lvl>
  </w:abstractNum>
  <w:num w:numId="1">
    <w:abstractNumId w:val="10"/>
  </w:num>
  <w:num w:numId="2">
    <w:abstractNumId w:val="12"/>
  </w:num>
  <w:num w:numId="3">
    <w:abstractNumId w:val="11"/>
  </w:num>
  <w:num w:numId="4">
    <w:abstractNumId w:val="13"/>
  </w:num>
  <w:num w:numId="5">
    <w:abstractNumId w:val="18"/>
  </w:num>
  <w:num w:numId="6">
    <w:abstractNumId w:val="17"/>
  </w:num>
  <w:num w:numId="7">
    <w:abstractNumId w:val="15"/>
  </w:num>
  <w:num w:numId="8">
    <w:abstractNumId w:val="16"/>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after="0" w:line="240" w:lineRule="auto"/>
      <w:ind w:firstLine="720"/>
    </w:pPr>
    <w:rPr>
      <w:lang w:val="en-US" w:eastAsia="en-US"/>
    </w:rPr>
  </w:style>
  <w:style w:type="paragraph" w:styleId="Heading1">
    <w:name w:val="heading 1"/>
    <w:basedOn w:val="Normal"/>
    <w:next w:val="Normal"/>
    <w:link w:val="Heading1Char"/>
    <w:uiPriority w:val="99"/>
    <w:qFormat/>
    <w:pPr>
      <w:numPr>
        <w:numId w:val="3"/>
      </w:numPr>
      <w:ind w:firstLine="0"/>
      <w:outlineLvl w:val="0"/>
    </w:pPr>
    <w:rPr>
      <w:kern w:val="28"/>
    </w:rPr>
  </w:style>
  <w:style w:type="paragraph" w:styleId="Heading2">
    <w:name w:val="heading 2"/>
    <w:basedOn w:val="Normal"/>
    <w:next w:val="Normal"/>
    <w:link w:val="Heading2Char"/>
    <w:uiPriority w:val="99"/>
    <w:qFormat/>
    <w:pPr>
      <w:numPr>
        <w:ilvl w:val="1"/>
        <w:numId w:val="3"/>
      </w:numPr>
      <w:ind w:firstLine="0"/>
      <w:outlineLvl w:val="1"/>
    </w:pPr>
  </w:style>
  <w:style w:type="paragraph" w:styleId="Heading3">
    <w:name w:val="heading 3"/>
    <w:basedOn w:val="Normal"/>
    <w:next w:val="Normal"/>
    <w:link w:val="Heading3Char"/>
    <w:uiPriority w:val="99"/>
    <w:qFormat/>
    <w:pPr>
      <w:numPr>
        <w:ilvl w:val="2"/>
        <w:numId w:val="3"/>
      </w:numPr>
      <w:ind w:firstLine="0"/>
      <w:outlineLvl w:val="2"/>
    </w:pPr>
  </w:style>
  <w:style w:type="paragraph" w:styleId="Heading4">
    <w:name w:val="heading 4"/>
    <w:basedOn w:val="Normal"/>
    <w:next w:val="Normal"/>
    <w:link w:val="Heading4Char"/>
    <w:uiPriority w:val="99"/>
    <w:qFormat/>
    <w:pPr>
      <w:numPr>
        <w:ilvl w:val="3"/>
        <w:numId w:val="3"/>
      </w:numPr>
      <w:ind w:firstLine="0"/>
      <w:outlineLvl w:val="3"/>
    </w:pPr>
  </w:style>
  <w:style w:type="paragraph" w:styleId="Heading5">
    <w:name w:val="heading 5"/>
    <w:basedOn w:val="Normal"/>
    <w:next w:val="Normal"/>
    <w:link w:val="Heading5Char"/>
    <w:uiPriority w:val="99"/>
    <w:qFormat/>
    <w:pPr>
      <w:numPr>
        <w:ilvl w:val="4"/>
        <w:numId w:val="3"/>
      </w:numPr>
      <w:ind w:firstLine="0"/>
      <w:outlineLvl w:val="4"/>
    </w:pPr>
  </w:style>
  <w:style w:type="paragraph" w:styleId="Heading6">
    <w:name w:val="heading 6"/>
    <w:basedOn w:val="Normal"/>
    <w:next w:val="Normal"/>
    <w:link w:val="Heading6Char"/>
    <w:uiPriority w:val="99"/>
    <w:qFormat/>
    <w:pPr>
      <w:numPr>
        <w:ilvl w:val="5"/>
        <w:numId w:val="3"/>
      </w:numPr>
      <w:ind w:firstLine="0"/>
      <w:outlineLvl w:val="5"/>
    </w:pPr>
  </w:style>
  <w:style w:type="paragraph" w:styleId="Heading7">
    <w:name w:val="heading 7"/>
    <w:basedOn w:val="Normal"/>
    <w:next w:val="Normal"/>
    <w:link w:val="Heading7Char"/>
    <w:uiPriority w:val="99"/>
    <w:qFormat/>
    <w:pPr>
      <w:numPr>
        <w:ilvl w:val="6"/>
        <w:numId w:val="3"/>
      </w:numPr>
      <w:ind w:firstLine="0"/>
      <w:outlineLvl w:val="6"/>
    </w:pPr>
  </w:style>
  <w:style w:type="paragraph" w:styleId="Heading8">
    <w:name w:val="heading 8"/>
    <w:basedOn w:val="Normal"/>
    <w:next w:val="Normal"/>
    <w:link w:val="Heading8Char"/>
    <w:uiPriority w:val="99"/>
    <w:qFormat/>
    <w:pPr>
      <w:numPr>
        <w:ilvl w:val="7"/>
        <w:numId w:val="3"/>
      </w:numPr>
      <w:ind w:firstLine="0"/>
      <w:outlineLvl w:val="7"/>
    </w:pPr>
  </w:style>
  <w:style w:type="paragraph" w:styleId="Heading9">
    <w:name w:val="heading 9"/>
    <w:basedOn w:val="Normal"/>
    <w:next w:val="Normal"/>
    <w:link w:val="Heading9Char"/>
    <w:uiPriority w:val="99"/>
    <w:qFormat/>
    <w:pPr>
      <w:spacing w:after="60"/>
      <w:ind w:firstLine="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lang w:val="en-US" w:eastAsia="en-U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lang w:val="en-US" w:eastAsia="en-US"/>
    </w:rPr>
  </w:style>
  <w:style w:type="paragraph" w:styleId="Caption">
    <w:name w:val="caption"/>
    <w:basedOn w:val="Normal"/>
    <w:next w:val="Normal"/>
    <w:uiPriority w:val="99"/>
    <w:qFormat/>
    <w:rPr>
      <w:b/>
      <w:bCs/>
      <w:sz w:val="20"/>
      <w:szCs w:val="20"/>
    </w:rPr>
  </w:style>
  <w:style w:type="character" w:styleId="CommentReference">
    <w:name w:val="annotation reference"/>
    <w:basedOn w:val="DefaultParagraphFont"/>
    <w:uiPriority w:val="99"/>
    <w:semiHidden/>
    <w:rPr>
      <w:rFonts w:cs="Times New Roman"/>
      <w:sz w:val="16"/>
      <w:szCs w:val="16"/>
      <w:lang w:val="en-US" w:eastAsia="x-none"/>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Pr>
      <w:rFonts w:ascii="Tahoma" w:hAnsi="Tahoma" w:cs="Tahoma"/>
      <w:sz w:val="16"/>
      <w:szCs w:val="16"/>
      <w:lang w:val="en-US" w:eastAsia="en-US"/>
    </w:rPr>
  </w:style>
  <w:style w:type="character" w:styleId="EndnoteReference">
    <w:name w:val="end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pPr>
      <w:tabs>
        <w:tab w:val="left" w:pos="360"/>
      </w:tabs>
      <w:spacing w:before="120" w:after="120"/>
      <w:ind w:firstLine="360"/>
    </w:pPr>
    <w:rPr>
      <w:sz w:val="20"/>
      <w:szCs w:val="20"/>
    </w:rPr>
  </w:style>
  <w:style w:type="character" w:customStyle="1" w:styleId="EndnoteTextChar">
    <w:name w:val="Endnote Text Char"/>
    <w:basedOn w:val="DefaultParagraphFont"/>
    <w:link w:val="EndnoteText"/>
    <w:uiPriority w:val="99"/>
    <w:locked/>
    <w:rPr>
      <w:rFonts w:cs="Times New Roman"/>
      <w:lang w:val="en-US" w:eastAsia="en-US" w:bidi="ar-SA"/>
    </w:rPr>
  </w:style>
  <w:style w:type="character" w:styleId="FootnoteReference">
    <w:name w:val="footnote reference"/>
    <w:basedOn w:val="DefaultParagraphFont"/>
    <w:uiPriority w:val="99"/>
    <w:semiHidden/>
    <w:rPr>
      <w:rFonts w:cs="Times New Roman"/>
      <w:vertAlign w:val="superscript"/>
    </w:rPr>
  </w:style>
  <w:style w:type="paragraph" w:styleId="FootnoteText">
    <w:name w:val="footnote text"/>
    <w:basedOn w:val="Normal"/>
    <w:link w:val="FootnoteTextChar"/>
    <w:uiPriority w:val="99"/>
    <w:semiHidden/>
    <w:pPr>
      <w:tabs>
        <w:tab w:val="left" w:pos="360"/>
      </w:tabs>
      <w:spacing w:before="120" w:after="120"/>
      <w:ind w:firstLine="360"/>
    </w:pPr>
  </w:style>
  <w:style w:type="paragraph" w:styleId="BodyTextIndent">
    <w:name w:val="Body Text Indent"/>
    <w:basedOn w:val="Normal"/>
    <w:link w:val="BodyTextIndentChar"/>
    <w:uiPriority w:val="99"/>
    <w:pPr>
      <w:spacing w:after="120"/>
      <w:ind w:left="360"/>
    </w:p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cs="Arial"/>
      <w:b/>
      <w:bCs/>
    </w:r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lang w:val="en-US" w:eastAsia="en-US"/>
    </w:rPr>
  </w:style>
  <w:style w:type="character" w:customStyle="1" w:styleId="MacroTextChar">
    <w:name w:val="Macro Text Char"/>
    <w:basedOn w:val="DefaultParagraphFont"/>
    <w:link w:val="MacroText"/>
    <w:uiPriority w:val="99"/>
    <w:semiHidden/>
    <w:rPr>
      <w:rFonts w:ascii="Courier New" w:hAnsi="Courier New" w:cs="Courier New"/>
      <w:sz w:val="20"/>
      <w:szCs w:val="20"/>
      <w:lang w:val="en-US" w:eastAsia="en-US"/>
    </w:rPr>
  </w:style>
  <w:style w:type="table" w:styleId="Table3Deffects1">
    <w:name w:val="Table 3D effects 1"/>
    <w:basedOn w:val="TableNormal"/>
    <w:uiPriority w:val="99"/>
    <w:semiHidden/>
    <w:pPr>
      <w:spacing w:after="0" w:line="240" w:lineRule="auto"/>
    </w:pPr>
    <w:rPr>
      <w:sz w:val="20"/>
      <w:szCs w:val="20"/>
    </w:rPr>
    <w:tblPr/>
    <w:tcPr>
      <w:shd w:val="solid" w:color="C0C0C0" w:fill="FFFFFF"/>
    </w:tcPr>
    <w:tblStylePr w:type="firstRow">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pPr>
      <w:spacing w:after="0" w:line="240" w:lineRule="auto"/>
    </w:pPr>
    <w:rPr>
      <w:sz w:val="20"/>
      <w:szCs w:val="20"/>
    </w:rPr>
    <w:tblPr>
      <w:tblStyleRowBandSize w:val="1"/>
    </w:tblPr>
    <w:tcPr>
      <w:shd w:val="solid" w:color="C0C0C0" w:fill="FFFFFF"/>
    </w:tcPr>
    <w:tblStylePr w:type="firstRow">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3Deffects3">
    <w:name w:val="Table 3D effects 3"/>
    <w:basedOn w:val="TableNormal"/>
    <w:uiPriority w:val="99"/>
    <w:semiHidden/>
    <w:pPr>
      <w:spacing w:after="0" w:line="240" w:lineRule="auto"/>
    </w:pPr>
    <w:rPr>
      <w:sz w:val="20"/>
      <w:szCs w:val="20"/>
    </w:rPr>
    <w:tblPr>
      <w:tblStyleRowBandSize w:val="1"/>
      <w:tblStyleColBandSize w:val="1"/>
    </w:tblPr>
    <w:tblStylePr w:type="firstRow">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tblPr/>
      <w:tcPr>
        <w:shd w:val="solid" w:color="C0C0C0" w:fill="FFFFFF"/>
      </w:tcPr>
    </w:tblStylePr>
    <w:tblStylePr w:type="band2Vert">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Classic1">
    <w:name w:val="Table Classic 1"/>
    <w:basedOn w:val="TableNormal"/>
    <w:uiPriority w:val="99"/>
    <w:semiHidden/>
    <w:pPr>
      <w:spacing w:after="0" w:line="240" w:lineRule="auto"/>
    </w:pPr>
    <w:rPr>
      <w:sz w:val="20"/>
      <w:szCs w:val="20"/>
    </w:rPr>
    <w:tblPr>
      <w:tblBorders>
        <w:top w:val="single" w:sz="12" w:space="0" w:color="000000"/>
        <w:bottom w:val="single" w:sz="12" w:space="0" w:color="000000"/>
      </w:tblBorders>
    </w:tblPr>
    <w:tblStylePr w:type="firstRow">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Classic2">
    <w:name w:val="Table Classic 2"/>
    <w:basedOn w:val="TableNormal"/>
    <w:uiPriority w:val="99"/>
    <w:semiHidden/>
    <w:pPr>
      <w:spacing w:after="0" w:line="240" w:lineRule="auto"/>
    </w:pPr>
    <w:rPr>
      <w:sz w:val="20"/>
      <w:szCs w:val="20"/>
    </w:rPr>
    <w:tblPr>
      <w:tblBorders>
        <w:top w:val="single" w:sz="12" w:space="0" w:color="000000"/>
        <w:bottom w:val="single" w:sz="12" w:space="0" w:color="000000"/>
      </w:tblBorders>
    </w:tblPr>
    <w:tblStylePr w:type="firstRow">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shd w:val="solid" w:color="C0C0C0" w:fill="FFFFFF"/>
      </w:tcPr>
    </w:tblStylePr>
    <w:tblStylePr w:type="neCell">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tblPr/>
      <w:tcPr>
        <w:tcBorders>
          <w:tl2br w:val="none" w:sz="0" w:space="0" w:color="auto"/>
          <w:tr2bl w:val="none" w:sz="0" w:space="0" w:color="auto"/>
        </w:tcBorders>
      </w:tcPr>
    </w:tblStylePr>
  </w:style>
  <w:style w:type="table" w:styleId="TableClassic3">
    <w:name w:val="Table Classic 3"/>
    <w:basedOn w:val="TableNormal"/>
    <w:uiPriority w:val="99"/>
    <w:semiHidden/>
    <w:pPr>
      <w:spacing w:after="0" w:line="240" w:lineRule="auto"/>
    </w:pPr>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tblPr/>
      <w:tcPr>
        <w:tcBorders>
          <w:bottom w:val="single" w:sz="6" w:space="0" w:color="000000"/>
          <w:tl2br w:val="none" w:sz="0" w:space="0" w:color="auto"/>
          <w:tr2bl w:val="none" w:sz="0" w:space="0" w:color="auto"/>
        </w:tcBorders>
        <w:shd w:val="solid" w:color="000080" w:fill="FFFFFF"/>
      </w:tcPr>
    </w:tblStylePr>
    <w:tblStylePr w:type="lastRow">
      <w:tblPr/>
      <w:tcPr>
        <w:tcBorders>
          <w:top w:val="single" w:sz="12" w:space="0" w:color="000000"/>
          <w:tl2br w:val="none" w:sz="0" w:space="0" w:color="auto"/>
          <w:tr2bl w:val="none" w:sz="0" w:space="0" w:color="auto"/>
        </w:tcBorders>
        <w:shd w:val="solid" w:color="FFFFFF" w:fill="FFFFFF"/>
      </w:tcPr>
    </w:tblStylePr>
    <w:tblStylePr w:type="firstCol">
      <w:tblPr/>
      <w:tcPr>
        <w:tcBorders>
          <w:tl2br w:val="none" w:sz="0" w:space="0" w:color="auto"/>
          <w:tr2bl w:val="none" w:sz="0" w:space="0" w:color="auto"/>
        </w:tcBorders>
      </w:tcPr>
    </w:tblStylePr>
  </w:style>
  <w:style w:type="table" w:styleId="TableClassic4">
    <w:name w:val="Table Classic 4"/>
    <w:basedOn w:val="TableNormal"/>
    <w:uiPriority w:val="99"/>
    <w:semiHidden/>
    <w:pPr>
      <w:spacing w:after="0" w:line="240" w:lineRule="auto"/>
    </w:pPr>
    <w:rPr>
      <w:sz w:val="20"/>
      <w:szCs w:val="20"/>
    </w:rPr>
    <w:tblPr>
      <w:tblBorders>
        <w:top w:val="single" w:sz="12" w:space="0" w:color="000000"/>
        <w:left w:val="single" w:sz="6" w:space="0" w:color="000000"/>
        <w:bottom w:val="single" w:sz="12" w:space="0" w:color="000000"/>
        <w:right w:val="single" w:sz="6" w:space="0" w:color="000000"/>
      </w:tblBorders>
    </w:tblPr>
    <w:tblStylePr w:type="firstRow">
      <w:tblPr/>
      <w:tcPr>
        <w:tcBorders>
          <w:bottom w:val="single" w:sz="6" w:space="0" w:color="000000"/>
          <w:tl2br w:val="none" w:sz="0" w:space="0" w:color="auto"/>
          <w:tr2bl w:val="none" w:sz="0" w:space="0" w:color="auto"/>
        </w:tcBorders>
        <w:shd w:val="pct50" w:color="000080" w:fill="FFFFFF"/>
      </w:tcPr>
    </w:tblStylePr>
    <w:tblStylePr w:type="lastRow">
      <w:tblPr/>
      <w:tcPr>
        <w:tcBorders>
          <w:bottom w:val="single" w:sz="6" w:space="0" w:color="000000"/>
          <w:tl2br w:val="none" w:sz="0" w:space="0" w:color="auto"/>
          <w:tr2bl w:val="none" w:sz="0" w:space="0" w:color="auto"/>
        </w:tcBorders>
        <w:shd w:val="pct50" w:color="000000" w:fill="FFFFFF"/>
      </w:tcPr>
    </w:tblStylePr>
    <w:tblStylePr w:type="firstCol">
      <w:tblPr/>
      <w:tcPr>
        <w:tcBorders>
          <w:tl2br w:val="none" w:sz="0" w:space="0" w:color="auto"/>
          <w:tr2bl w:val="none" w:sz="0" w:space="0" w:color="auto"/>
        </w:tcBorders>
      </w:tcPr>
    </w:tblStylePr>
    <w:tblStylePr w:type="nw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Colorful1">
    <w:name w:val="Table Colorful 1"/>
    <w:basedOn w:val="TableNormal"/>
    <w:uiPriority w:val="99"/>
    <w:semiHidden/>
    <w:pPr>
      <w:spacing w:after="0" w:line="240" w:lineRule="auto"/>
    </w:pPr>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tblPr/>
      <w:tcPr>
        <w:tcBorders>
          <w:tl2br w:val="none" w:sz="0" w:space="0" w:color="auto"/>
          <w:tr2bl w:val="none" w:sz="0" w:space="0" w:color="auto"/>
        </w:tcBorders>
        <w:shd w:val="solid" w:color="000000" w:fill="FFFFFF"/>
      </w:tcPr>
    </w:tblStylePr>
    <w:tblStylePr w:type="firstCol">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tblPr/>
      <w:tcPr>
        <w:tcBorders>
          <w:tl2br w:val="none" w:sz="0" w:space="0" w:color="auto"/>
          <w:tr2bl w:val="none" w:sz="0" w:space="0" w:color="auto"/>
        </w:tcBorders>
      </w:tcPr>
    </w:tblStylePr>
  </w:style>
  <w:style w:type="table" w:styleId="TableColorful2">
    <w:name w:val="Table Colorful 2"/>
    <w:basedOn w:val="TableNormal"/>
    <w:uiPriority w:val="99"/>
    <w:semiHidden/>
    <w:pPr>
      <w:spacing w:after="0" w:line="240" w:lineRule="auto"/>
    </w:pPr>
    <w:rPr>
      <w:sz w:val="20"/>
      <w:szCs w:val="20"/>
    </w:rPr>
    <w:tblPr>
      <w:tblBorders>
        <w:bottom w:val="single" w:sz="12" w:space="0" w:color="000000"/>
      </w:tblBorders>
    </w:tblPr>
    <w:tcPr>
      <w:shd w:val="pct20" w:color="FFFF00" w:fill="FFFFFF"/>
    </w:tcPr>
    <w:tblStylePr w:type="firstRow">
      <w:tblPr/>
      <w:tcPr>
        <w:tcBorders>
          <w:bottom w:val="single" w:sz="12" w:space="0" w:color="000000"/>
          <w:tl2br w:val="none" w:sz="0" w:space="0" w:color="auto"/>
          <w:tr2bl w:val="none" w:sz="0" w:space="0" w:color="auto"/>
        </w:tcBorders>
        <w:shd w:val="solid" w:color="800000" w:fill="FFFFFF"/>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tblPr/>
      <w:tcPr>
        <w:tcBorders>
          <w:tl2br w:val="none" w:sz="0" w:space="0" w:color="auto"/>
          <w:tr2bl w:val="none" w:sz="0" w:space="0" w:color="auto"/>
        </w:tcBorders>
      </w:tcPr>
    </w:tblStylePr>
  </w:style>
  <w:style w:type="table" w:styleId="TableColorful3">
    <w:name w:val="Table Colorful 3"/>
    <w:basedOn w:val="TableNormal"/>
    <w:uiPriority w:val="99"/>
    <w:semiHidden/>
    <w:pPr>
      <w:spacing w:after="0" w:line="240" w:lineRule="auto"/>
    </w:pPr>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pPr>
      <w:spacing w:after="0" w:line="240" w:lineRule="auto"/>
    </w:pPr>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tblPr/>
      <w:tcPr>
        <w:tcBorders>
          <w:bottom w:val="double" w:sz="6" w:space="0" w:color="000000"/>
          <w:tl2br w:val="none" w:sz="0" w:space="0" w:color="auto"/>
          <w:tr2bl w:val="none" w:sz="0" w:space="0" w:color="auto"/>
        </w:tcBorders>
      </w:tcPr>
    </w:tblStylePr>
    <w:tblStylePr w:type="lastRow">
      <w:tblPr/>
      <w:tcPr>
        <w:tcBorders>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pct25" w:color="000000" w:fill="FFFFFF"/>
      </w:tcPr>
    </w:tblStylePr>
    <w:tblStylePr w:type="band2Vert">
      <w:tblPr/>
      <w:tcPr>
        <w:shd w:val="pct25" w:color="FFFF00" w:fill="FFFFFF"/>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Columns2">
    <w:name w:val="Table Columns 2"/>
    <w:basedOn w:val="TableNormal"/>
    <w:uiPriority w:val="99"/>
    <w:semiHidden/>
    <w:pPr>
      <w:spacing w:after="0" w:line="240" w:lineRule="auto"/>
    </w:pPr>
    <w:rPr>
      <w:b/>
      <w:bCs/>
      <w:sz w:val="20"/>
      <w:szCs w:val="20"/>
    </w:rPr>
    <w:tblPr>
      <w:tblStyleColBandSize w:val="1"/>
    </w:tblPr>
    <w:tblStylePr w:type="firstRow">
      <w:tblPr/>
      <w:tcPr>
        <w:tcBorders>
          <w:tl2br w:val="none" w:sz="0" w:space="0" w:color="auto"/>
          <w:tr2bl w:val="none" w:sz="0" w:space="0" w:color="auto"/>
        </w:tcBorders>
        <w:shd w:val="solid" w:color="000080" w:fill="FFFFFF"/>
      </w:tcPr>
    </w:tblStylePr>
    <w:tblStylePr w:type="lastRow">
      <w:tblPr/>
      <w:tcPr>
        <w:tcBorders>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pct30" w:color="000000" w:fill="FFFFFF"/>
      </w:tcPr>
    </w:tblStylePr>
    <w:tblStylePr w:type="band2Vert">
      <w:tblPr/>
      <w:tcPr>
        <w:shd w:val="pct25" w:color="00FF00" w:fill="FFFFFF"/>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Columns3">
    <w:name w:val="Table Columns 3"/>
    <w:basedOn w:val="TableNormal"/>
    <w:uiPriority w:val="99"/>
    <w:semiHidden/>
    <w:pPr>
      <w:spacing w:after="0" w:line="240" w:lineRule="auto"/>
    </w:pPr>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styleId="TableColumns4">
    <w:name w:val="Table Columns 4"/>
    <w:basedOn w:val="TableNormal"/>
    <w:uiPriority w:val="99"/>
    <w:semiHidden/>
    <w:pPr>
      <w:spacing w:after="0" w:line="240" w:lineRule="auto"/>
    </w:pPr>
    <w:rPr>
      <w:sz w:val="20"/>
      <w:szCs w:val="20"/>
    </w:rPr>
    <w:tblPr>
      <w:tblStyleColBandSize w:val="1"/>
    </w:tblPr>
    <w:tblStylePr w:type="firstRow">
      <w:tblPr/>
      <w:tcPr>
        <w:tcBorders>
          <w:tl2br w:val="none" w:sz="0" w:space="0" w:color="auto"/>
          <w:tr2bl w:val="none" w:sz="0" w:space="0" w:color="auto"/>
        </w:tcBorders>
        <w:shd w:val="solid" w:color="000000" w:fill="FFFFFF"/>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pct50" w:color="008080" w:fill="FFFFFF"/>
      </w:tcPr>
    </w:tblStylePr>
    <w:tblStylePr w:type="band2Vert">
      <w:tblPr/>
      <w:tcPr>
        <w:shd w:val="pct10" w:color="000000" w:fill="FFFFFF"/>
      </w:tcPr>
    </w:tblStylePr>
  </w:style>
  <w:style w:type="table" w:styleId="TableColumns5">
    <w:name w:val="Table Columns 5"/>
    <w:basedOn w:val="TableNormal"/>
    <w:uiPriority w:val="99"/>
    <w:semiHidden/>
    <w:pPr>
      <w:spacing w:after="0" w:line="240" w:lineRule="auto"/>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tblPr/>
      <w:tcPr>
        <w:tcBorders>
          <w:bottom w:val="single" w:sz="6" w:space="0" w:color="808080"/>
          <w:tl2br w:val="none" w:sz="0" w:space="0" w:color="auto"/>
          <w:tr2bl w:val="none" w:sz="0" w:space="0" w:color="auto"/>
        </w:tcBorders>
      </w:tcPr>
    </w:tblStylePr>
    <w:tblStylePr w:type="lastRow">
      <w:tblPr/>
      <w:tcPr>
        <w:tcBorders>
          <w:top w:val="single" w:sz="6" w:space="0" w:color="808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style>
  <w:style w:type="table" w:styleId="TableContemporary">
    <w:name w:val="Table Contemporary"/>
    <w:basedOn w:val="TableNormal"/>
    <w:uiPriority w:val="99"/>
    <w:semiHidden/>
    <w:pPr>
      <w:spacing w:after="0" w:line="240" w:lineRule="auto"/>
    </w:pPr>
    <w:rPr>
      <w:sz w:val="20"/>
      <w:szCs w:val="20"/>
    </w:rPr>
    <w:tblPr>
      <w:tblStyleRowBandSize w:val="1"/>
      <w:tblBorders>
        <w:insideH w:val="single" w:sz="18" w:space="0" w:color="FFFFFF"/>
        <w:insideV w:val="single" w:sz="18" w:space="0" w:color="FFFFFF"/>
      </w:tblBorders>
    </w:tblPr>
    <w:tblStylePr w:type="firstRow">
      <w:tblPr/>
      <w:tcPr>
        <w:tcBorders>
          <w:tl2br w:val="none" w:sz="0" w:space="0" w:color="auto"/>
          <w:tr2bl w:val="none" w:sz="0" w:space="0" w:color="auto"/>
        </w:tcBorders>
        <w:shd w:val="pct20" w:color="000000" w:fill="FFFF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pPr>
      <w:spacing w:after="0" w:line="240" w:lineRule="auto"/>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tblPr/>
      <w:tcPr>
        <w:tcBorders>
          <w:tl2br w:val="none" w:sz="0" w:space="0" w:color="auto"/>
          <w:tr2bl w:val="none" w:sz="0" w:space="0" w:color="auto"/>
        </w:tcBorders>
      </w:tcPr>
    </w:tblStylePr>
  </w:style>
  <w:style w:type="table" w:styleId="TableGrid">
    <w:name w:val="Table Grid"/>
    <w:basedOn w:val="TableNormal"/>
    <w:uiPriority w:val="99"/>
    <w:semiHidden/>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pPr>
      <w:spacing w:after="0" w:line="240" w:lineRule="auto"/>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Grid2">
    <w:name w:val="Table Grid 2"/>
    <w:basedOn w:val="TableNormal"/>
    <w:uiPriority w:val="99"/>
    <w:semiHidden/>
    <w:pPr>
      <w:spacing w:after="0" w:line="240" w:lineRule="auto"/>
    </w:pPr>
    <w:rPr>
      <w:sz w:val="20"/>
      <w:szCs w:val="20"/>
    </w:rPr>
    <w:tblPr>
      <w:tblBorders>
        <w:insideH w:val="single" w:sz="6" w:space="0" w:color="000000"/>
        <w:insideV w:val="single" w:sz="6" w:space="0" w:color="000000"/>
      </w:tblBorders>
    </w:tblPr>
    <w:tblStylePr w:type="firstRow">
      <w:tblPr/>
      <w:tcPr>
        <w:tcBorders>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Grid3">
    <w:name w:val="Table Grid 3"/>
    <w:basedOn w:val="TableNormal"/>
    <w:uiPriority w:val="99"/>
    <w:semiHidden/>
    <w:pPr>
      <w:spacing w:after="0" w:line="240" w:lineRule="auto"/>
    </w:pPr>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Grid4">
    <w:name w:val="Table Grid 4"/>
    <w:basedOn w:val="TableNormal"/>
    <w:uiPriority w:val="99"/>
    <w:semiHidden/>
    <w:pPr>
      <w:spacing w:after="0" w:line="240" w:lineRule="auto"/>
    </w:pPr>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tblPr/>
      <w:tcPr>
        <w:tcBorders>
          <w:top w:val="single" w:sz="6" w:space="0" w:color="000000"/>
          <w:tl2br w:val="none" w:sz="0" w:space="0" w:color="auto"/>
          <w:tr2bl w:val="none" w:sz="0" w:space="0" w:color="auto"/>
        </w:tcBorders>
        <w:shd w:val="pct30" w:color="FFFF00" w:fill="FFFFFF"/>
      </w:tcPr>
    </w:tblStylePr>
    <w:tblStylePr w:type="lastCol">
      <w:tblPr/>
      <w:tcPr>
        <w:tcBorders>
          <w:tl2br w:val="none" w:sz="0" w:space="0" w:color="auto"/>
          <w:tr2bl w:val="none" w:sz="0" w:space="0" w:color="auto"/>
        </w:tcBorders>
      </w:tcPr>
    </w:tblStylePr>
  </w:style>
  <w:style w:type="table" w:styleId="TableGrid5">
    <w:name w:val="Table Grid 5"/>
    <w:basedOn w:val="TableNormal"/>
    <w:uiPriority w:val="99"/>
    <w:semiHidden/>
    <w:pPr>
      <w:spacing w:after="0" w:line="240" w:lineRule="auto"/>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pPr>
      <w:spacing w:after="0" w:line="240" w:lineRule="auto"/>
    </w:pPr>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pPr>
      <w:spacing w:after="0" w:line="240" w:lineRule="auto"/>
    </w:pPr>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pPr>
      <w:spacing w:after="0" w:line="240" w:lineRule="auto"/>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tblPr/>
      <w:tcPr>
        <w:tcBorders>
          <w:tl2br w:val="none" w:sz="0" w:space="0" w:color="auto"/>
          <w:tr2bl w:val="none" w:sz="0" w:space="0" w:color="auto"/>
        </w:tcBorders>
        <w:shd w:val="solid" w:color="000080" w:fill="FFFFFF"/>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List1">
    <w:name w:val="Table List 1"/>
    <w:basedOn w:val="TableNormal"/>
    <w:uiPriority w:val="99"/>
    <w:semiHidden/>
    <w:pPr>
      <w:spacing w:after="0" w:line="240" w:lineRule="auto"/>
    </w:pPr>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solid" w:color="C0C0C0" w:fill="FFFFFF"/>
      </w:tcPr>
    </w:tblStylePr>
    <w:tblStylePr w:type="band2Horz">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List2">
    <w:name w:val="Table List 2"/>
    <w:basedOn w:val="TableNormal"/>
    <w:uiPriority w:val="99"/>
    <w:semiHidden/>
    <w:pPr>
      <w:spacing w:after="0" w:line="240" w:lineRule="auto"/>
    </w:pPr>
    <w:rPr>
      <w:sz w:val="20"/>
      <w:szCs w:val="20"/>
    </w:rPr>
    <w:tblPr>
      <w:tblStyleRowBandSize w:val="2"/>
      <w:tblBorders>
        <w:bottom w:val="single" w:sz="12" w:space="0" w:color="808080"/>
      </w:tblBorders>
    </w:tblPr>
    <w:tblStylePr w:type="firstRow">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0" w:color="00FF00" w:fill="FFFFFF"/>
      </w:tcPr>
    </w:tblStylePr>
    <w:tblStylePr w:type="band2Horz">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List3">
    <w:name w:val="Table List 3"/>
    <w:basedOn w:val="TableNormal"/>
    <w:uiPriority w:val="99"/>
    <w:semiHidden/>
    <w:pPr>
      <w:spacing w:after="0" w:line="240" w:lineRule="auto"/>
    </w:pPr>
    <w:rPr>
      <w:sz w:val="20"/>
      <w:szCs w:val="20"/>
    </w:rPr>
    <w:tblPr>
      <w:tblBorders>
        <w:top w:val="single" w:sz="12" w:space="0" w:color="000000"/>
        <w:bottom w:val="single" w:sz="12" w:space="0" w:color="000000"/>
        <w:insideH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List4">
    <w:name w:val="Table List 4"/>
    <w:basedOn w:val="TableNormal"/>
    <w:uiPriority w:val="99"/>
    <w:semiHidden/>
    <w:pPr>
      <w:spacing w:after="0" w:line="240" w:lineRule="auto"/>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pPr>
      <w:spacing w:after="0" w:line="240" w:lineRule="auto"/>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tblPr/>
      <w:tcPr>
        <w:tcBorders>
          <w:bottom w:val="single" w:sz="12"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style>
  <w:style w:type="table" w:styleId="TableList6">
    <w:name w:val="Table List 6"/>
    <w:basedOn w:val="TableNormal"/>
    <w:uiPriority w:val="99"/>
    <w:semiHidden/>
    <w:pPr>
      <w:spacing w:after="0" w:line="240" w:lineRule="auto"/>
    </w:pPr>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tblPr/>
      <w:tcPr>
        <w:tcBorders>
          <w:bottom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pPr>
      <w:spacing w:after="0" w:line="240" w:lineRule="auto"/>
    </w:pPr>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tblPr/>
      <w:tcPr>
        <w:tcBorders>
          <w:bottom w:val="single" w:sz="12" w:space="0" w:color="008000"/>
          <w:tl2br w:val="none" w:sz="0" w:space="0" w:color="auto"/>
          <w:tr2bl w:val="none" w:sz="0" w:space="0" w:color="auto"/>
        </w:tcBorders>
        <w:shd w:val="solid" w:color="C0C0C0" w:fill="FFFFFF"/>
      </w:tcPr>
    </w:tblStylePr>
    <w:tblStylePr w:type="lastRow">
      <w:tblPr/>
      <w:tcPr>
        <w:tcBorders>
          <w:top w:val="single" w:sz="12" w:space="0" w:color="008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Horz">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pPr>
      <w:spacing w:after="0" w:line="240" w:lineRule="auto"/>
    </w:pPr>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solid" w:color="FFFF00" w:fill="FFFFFF"/>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Horz">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pPr>
      <w:ind w:left="240" w:hanging="240"/>
    </w:pPr>
  </w:style>
  <w:style w:type="paragraph" w:styleId="TableofFigures">
    <w:name w:val="table of figures"/>
    <w:basedOn w:val="Normal"/>
    <w:next w:val="Normal"/>
    <w:uiPriority w:val="99"/>
    <w:semiHidden/>
  </w:style>
  <w:style w:type="table" w:styleId="TableProfessional">
    <w:name w:val="Table Professional"/>
    <w:basedOn w:val="TableNormal"/>
    <w:uiPriority w:val="99"/>
    <w:semiHidden/>
    <w:pPr>
      <w:spacing w:after="0" w:line="240" w:lineRule="auto"/>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pPr>
      <w:spacing w:after="0" w:line="240" w:lineRule="auto"/>
    </w:pPr>
    <w:rPr>
      <w:sz w:val="20"/>
      <w:szCs w:val="20"/>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pPr>
      <w:spacing w:after="0" w:line="240" w:lineRule="auto"/>
    </w:pPr>
    <w:rPr>
      <w:sz w:val="20"/>
      <w:szCs w:val="20"/>
    </w:rP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6" w:space="0" w:color="000000"/>
          <w:tl2br w:val="none" w:sz="0" w:space="0" w:color="auto"/>
          <w:tr2bl w:val="none" w:sz="0" w:space="0" w:color="auto"/>
        </w:tcBorders>
      </w:tcPr>
    </w:tblStylePr>
    <w:tblStylePr w:type="neCell">
      <w:tblPr/>
      <w:tcPr>
        <w:tcBorders>
          <w:left w:val="none" w:sz="0" w:space="0" w:color="auto"/>
          <w:tl2br w:val="none" w:sz="0" w:space="0" w:color="auto"/>
          <w:tr2bl w:val="none" w:sz="0" w:space="0" w:color="auto"/>
        </w:tcBorders>
      </w:tcPr>
    </w:tblStylePr>
    <w:tblStylePr w:type="swCell">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pPr>
      <w:spacing w:after="0" w:line="240" w:lineRule="auto"/>
    </w:pPr>
    <w:rPr>
      <w:sz w:val="20"/>
      <w:szCs w:val="20"/>
    </w:rPr>
    <w:tblPr>
      <w:tblBorders>
        <w:top w:val="single" w:sz="12" w:space="0" w:color="000000"/>
        <w:left w:val="single" w:sz="12" w:space="0" w:color="000000"/>
        <w:bottom w:val="single" w:sz="12" w:space="0" w:color="000000"/>
        <w:right w:val="single" w:sz="12" w:space="0" w:color="000000"/>
      </w:tblBorders>
    </w:tblPr>
    <w:tblStylePr w:type="firstRow">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pPr>
      <w:spacing w:after="0" w:line="240" w:lineRule="auto"/>
    </w:pPr>
    <w:rPr>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Subtle2">
    <w:name w:val="Table Subtle 2"/>
    <w:basedOn w:val="TableNormal"/>
    <w:uiPriority w:val="99"/>
    <w:semiHidden/>
    <w:pPr>
      <w:spacing w:after="0" w:line="240" w:lineRule="auto"/>
    </w:pPr>
    <w:rPr>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Theme">
    <w:name w:val="Table Theme"/>
    <w:basedOn w:val="TableNormal"/>
    <w:uiPriority w:val="99"/>
    <w:semiHidden/>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pPr>
      <w:spacing w:after="0" w:line="240" w:lineRule="auto"/>
    </w:pPr>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tblPr/>
      <w:tcPr>
        <w:tcBorders>
          <w:tl2br w:val="none" w:sz="0" w:space="0" w:color="auto"/>
          <w:tr2bl w:val="none" w:sz="0" w:space="0" w:color="auto"/>
        </w:tcBorders>
      </w:tcPr>
    </w:tblStylePr>
  </w:style>
  <w:style w:type="table" w:styleId="TableWeb2">
    <w:name w:val="Table Web 2"/>
    <w:basedOn w:val="TableNormal"/>
    <w:uiPriority w:val="99"/>
    <w:semiHidden/>
    <w:pPr>
      <w:spacing w:after="0" w:line="240" w:lineRule="auto"/>
    </w:pPr>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tblPr/>
      <w:tcPr>
        <w:tcBorders>
          <w:tl2br w:val="none" w:sz="0" w:space="0" w:color="auto"/>
          <w:tr2bl w:val="none" w:sz="0" w:space="0" w:color="auto"/>
        </w:tcBorders>
      </w:tcPr>
    </w:tblStylePr>
  </w:style>
  <w:style w:type="table" w:styleId="TableWeb3">
    <w:name w:val="Table Web 3"/>
    <w:basedOn w:val="TableNormal"/>
    <w:uiPriority w:val="99"/>
    <w:semiHidden/>
    <w:pPr>
      <w:spacing w:after="0" w:line="240" w:lineRule="auto"/>
    </w:pPr>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tblPr/>
      <w:tcPr>
        <w:tcBorders>
          <w:tl2br w:val="none" w:sz="0" w:space="0" w:color="auto"/>
          <w:tr2bl w:val="none" w:sz="0" w:space="0" w:color="auto"/>
        </w:tcBorders>
      </w:tcPr>
    </w:tblStylePr>
  </w:style>
  <w:style w:type="paragraph" w:styleId="TOAHeading">
    <w:name w:val="toa heading"/>
    <w:basedOn w:val="Normal"/>
    <w:next w:val="Normal"/>
    <w:uiPriority w:val="99"/>
    <w:semiHidden/>
    <w:pPr>
      <w:spacing w:before="120"/>
    </w:pPr>
    <w:rPr>
      <w:rFonts w:ascii="Arial" w:hAnsi="Arial" w:cs="Arial"/>
      <w:b/>
      <w:bCs/>
    </w:rPr>
  </w:style>
  <w:style w:type="paragraph" w:styleId="TOC1">
    <w:name w:val="toc 1"/>
    <w:basedOn w:val="Normal"/>
    <w:next w:val="Normal"/>
    <w:autoRedefine/>
    <w:uiPriority w:val="99"/>
    <w:semiHidden/>
    <w:pPr>
      <w:tabs>
        <w:tab w:val="right" w:pos="720"/>
        <w:tab w:val="right" w:leader="dot" w:pos="9706"/>
      </w:tabs>
      <w:spacing w:before="120" w:after="120"/>
      <w:ind w:left="720" w:right="720" w:hanging="720"/>
    </w:pPr>
    <w:rPr>
      <w:noProof/>
    </w:rPr>
  </w:style>
  <w:style w:type="paragraph" w:styleId="TOC2">
    <w:name w:val="toc 2"/>
    <w:basedOn w:val="Normal"/>
    <w:next w:val="Normal"/>
    <w:autoRedefine/>
    <w:uiPriority w:val="99"/>
    <w:semiHidden/>
    <w:pPr>
      <w:widowControl w:val="0"/>
      <w:tabs>
        <w:tab w:val="left" w:pos="1440"/>
        <w:tab w:val="right" w:leader="dot" w:pos="9706"/>
      </w:tabs>
      <w:spacing w:before="0"/>
      <w:ind w:left="1440" w:right="720" w:hanging="720"/>
    </w:pPr>
  </w:style>
  <w:style w:type="paragraph" w:styleId="TOC3">
    <w:name w:val="toc 3"/>
    <w:basedOn w:val="Normal"/>
    <w:next w:val="Normal"/>
    <w:autoRedefine/>
    <w:uiPriority w:val="99"/>
    <w:semiHidden/>
    <w:pPr>
      <w:ind w:left="480"/>
    </w:p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customStyle="1" w:styleId="CenterText">
    <w:name w:val="Center Text"/>
    <w:basedOn w:val="Normal"/>
    <w:next w:val="Normal"/>
    <w:uiPriority w:val="99"/>
    <w:pPr>
      <w:ind w:firstLine="0"/>
      <w:jc w:val="center"/>
    </w:pPr>
  </w:style>
  <w:style w:type="paragraph" w:customStyle="1" w:styleId="CenterTextBold">
    <w:name w:val="Center Text Bold"/>
    <w:basedOn w:val="CenterText"/>
    <w:next w:val="Normal"/>
    <w:uiPriority w:val="99"/>
    <w:rPr>
      <w:b/>
      <w:bCs/>
    </w:rPr>
  </w:style>
  <w:style w:type="paragraph" w:customStyle="1" w:styleId="CenterTextBoldUnd">
    <w:name w:val="Center Text Bold/Und"/>
    <w:basedOn w:val="CenterText"/>
    <w:next w:val="Normal"/>
    <w:uiPriority w:val="99"/>
    <w:rPr>
      <w:b/>
      <w:bCs/>
      <w:u w:val="single"/>
    </w:rPr>
  </w:style>
  <w:style w:type="paragraph" w:customStyle="1" w:styleId="Def2Heading1">
    <w:name w:val="Def2 Heading 1"/>
    <w:basedOn w:val="Normal"/>
    <w:next w:val="Normal"/>
    <w:uiPriority w:val="99"/>
    <w:pPr>
      <w:numPr>
        <w:numId w:val="1"/>
      </w:numPr>
    </w:pPr>
  </w:style>
  <w:style w:type="paragraph" w:customStyle="1" w:styleId="Def2Heading2">
    <w:name w:val="Def2 Heading 2"/>
    <w:basedOn w:val="Normal"/>
    <w:next w:val="Normal"/>
    <w:uiPriority w:val="99"/>
    <w:pPr>
      <w:numPr>
        <w:ilvl w:val="1"/>
        <w:numId w:val="1"/>
      </w:numPr>
    </w:pPr>
  </w:style>
  <w:style w:type="paragraph" w:customStyle="1" w:styleId="Def2Heading3">
    <w:name w:val="Def2 Heading 3"/>
    <w:basedOn w:val="Normal"/>
    <w:next w:val="Normal"/>
    <w:uiPriority w:val="99"/>
    <w:pPr>
      <w:numPr>
        <w:ilvl w:val="2"/>
        <w:numId w:val="1"/>
      </w:numPr>
    </w:pPr>
  </w:style>
  <w:style w:type="paragraph" w:customStyle="1" w:styleId="Def2Heading4">
    <w:name w:val="Def2 Heading 4"/>
    <w:basedOn w:val="Normal"/>
    <w:next w:val="Normal"/>
    <w:uiPriority w:val="99"/>
    <w:pPr>
      <w:numPr>
        <w:ilvl w:val="3"/>
        <w:numId w:val="1"/>
      </w:numPr>
    </w:pPr>
  </w:style>
  <w:style w:type="paragraph" w:customStyle="1" w:styleId="Def2Heading5">
    <w:name w:val="Def2 Heading 5"/>
    <w:basedOn w:val="Normal"/>
    <w:next w:val="Normal"/>
    <w:uiPriority w:val="99"/>
    <w:pPr>
      <w:numPr>
        <w:ilvl w:val="4"/>
        <w:numId w:val="1"/>
      </w:numPr>
    </w:pPr>
  </w:style>
  <w:style w:type="paragraph" w:styleId="EnvelopeAddress">
    <w:name w:val="envelope address"/>
    <w:basedOn w:val="Normal"/>
    <w:uiPriority w:val="99"/>
    <w:pPr>
      <w:framePr w:w="7920" w:h="1980" w:hRule="exact" w:hSpace="180" w:wrap="auto" w:hAnchor="page" w:xAlign="center" w:yAlign="bottom"/>
      <w:spacing w:before="0"/>
      <w:ind w:left="2880" w:firstLine="0"/>
    </w:pPr>
  </w:style>
  <w:style w:type="paragraph" w:styleId="EnvelopeReturn">
    <w:name w:val="envelope return"/>
    <w:basedOn w:val="Normal"/>
    <w:uiPriority w:val="99"/>
    <w:pPr>
      <w:spacing w:before="0"/>
      <w:ind w:firstLine="0"/>
    </w:pPr>
  </w:style>
  <w:style w:type="paragraph" w:customStyle="1" w:styleId="ExAHeading1">
    <w:name w:val="ExA Heading 1"/>
    <w:basedOn w:val="Normal"/>
    <w:next w:val="Normal"/>
    <w:uiPriority w:val="99"/>
    <w:pPr>
      <w:numPr>
        <w:numId w:val="2"/>
      </w:numPr>
      <w:ind w:firstLine="0"/>
    </w:pPr>
  </w:style>
  <w:style w:type="paragraph" w:customStyle="1" w:styleId="ExAHeading2">
    <w:name w:val="ExA Heading 2"/>
    <w:basedOn w:val="Normal"/>
    <w:next w:val="Normal"/>
    <w:uiPriority w:val="99"/>
    <w:pPr>
      <w:numPr>
        <w:ilvl w:val="1"/>
        <w:numId w:val="2"/>
      </w:numPr>
    </w:pPr>
  </w:style>
  <w:style w:type="paragraph" w:customStyle="1" w:styleId="ExAHeading3">
    <w:name w:val="ExA Heading 3"/>
    <w:basedOn w:val="Normal"/>
    <w:next w:val="Normal"/>
    <w:uiPriority w:val="99"/>
    <w:pPr>
      <w:numPr>
        <w:ilvl w:val="2"/>
        <w:numId w:val="2"/>
      </w:numPr>
    </w:pPr>
  </w:style>
  <w:style w:type="paragraph" w:customStyle="1" w:styleId="ExAHeading4">
    <w:name w:val="ExA Heading 4"/>
    <w:basedOn w:val="Normal"/>
    <w:next w:val="Normal"/>
    <w:uiPriority w:val="99"/>
    <w:pPr>
      <w:numPr>
        <w:ilvl w:val="3"/>
        <w:numId w:val="2"/>
      </w:numPr>
    </w:pPr>
  </w:style>
  <w:style w:type="paragraph" w:customStyle="1" w:styleId="ExAHeading5">
    <w:name w:val="ExA Heading 5"/>
    <w:basedOn w:val="Normal"/>
    <w:next w:val="Normal"/>
    <w:uiPriority w:val="99"/>
    <w:pPr>
      <w:numPr>
        <w:ilvl w:val="4"/>
        <w:numId w:val="2"/>
      </w:numPr>
    </w:pPr>
  </w:style>
  <w:style w:type="paragraph" w:customStyle="1" w:styleId="FlushRight">
    <w:name w:val="Flush Right"/>
    <w:basedOn w:val="Normal"/>
    <w:next w:val="Normal"/>
    <w:uiPriority w:val="99"/>
    <w:pPr>
      <w:tabs>
        <w:tab w:val="right" w:pos="9648"/>
      </w:tabs>
      <w:ind w:firstLine="0"/>
    </w:pPr>
  </w:style>
  <w:style w:type="paragraph" w:styleId="Footer">
    <w:name w:val="footer"/>
    <w:basedOn w:val="Normal"/>
    <w:link w:val="FooterChar"/>
    <w:uiPriority w:val="99"/>
    <w:pPr>
      <w:tabs>
        <w:tab w:val="center" w:pos="5040"/>
        <w:tab w:val="right" w:pos="9720"/>
      </w:tabs>
      <w:spacing w:before="0"/>
      <w:ind w:firstLine="0"/>
    </w:pPr>
  </w:style>
  <w:style w:type="character" w:customStyle="1" w:styleId="FooterChar">
    <w:name w:val="Footer Char"/>
    <w:basedOn w:val="DefaultParagraphFont"/>
    <w:link w:val="Footer"/>
    <w:uiPriority w:val="99"/>
    <w:semiHidden/>
    <w:rPr>
      <w:lang w:val="en-US" w:eastAsia="en-US"/>
    </w:rPr>
  </w:style>
  <w:style w:type="paragraph" w:styleId="Header">
    <w:name w:val="header"/>
    <w:basedOn w:val="Normal"/>
    <w:link w:val="HeaderChar"/>
    <w:uiPriority w:val="99"/>
    <w:pPr>
      <w:tabs>
        <w:tab w:val="center" w:pos="4320"/>
        <w:tab w:val="right" w:pos="8640"/>
      </w:tabs>
      <w:spacing w:before="0"/>
      <w:ind w:firstLine="0"/>
    </w:pPr>
  </w:style>
  <w:style w:type="character" w:customStyle="1" w:styleId="HeaderChar">
    <w:name w:val="Header Char"/>
    <w:basedOn w:val="DefaultParagraphFont"/>
    <w:link w:val="Header"/>
    <w:uiPriority w:val="99"/>
    <w:semiHidden/>
    <w:rPr>
      <w:lang w:val="en-US" w:eastAsia="en-US"/>
    </w:rPr>
  </w:style>
  <w:style w:type="paragraph" w:customStyle="1" w:styleId="Label">
    <w:name w:val="Label"/>
    <w:basedOn w:val="Normal"/>
    <w:uiPriority w:val="99"/>
    <w:pPr>
      <w:spacing w:before="0"/>
      <w:ind w:firstLine="0"/>
    </w:pPr>
  </w:style>
  <w:style w:type="character" w:styleId="PageNumber">
    <w:name w:val="page number"/>
    <w:basedOn w:val="DefaultParagraphFont"/>
    <w:uiPriority w:val="99"/>
    <w:rPr>
      <w:rFonts w:ascii="Times New Roman" w:hAnsi="Times New Roman" w:cs="Times New Roman"/>
      <w:sz w:val="24"/>
      <w:szCs w:val="24"/>
      <w:lang w:val="en-US" w:eastAsia="x-none"/>
    </w:rPr>
  </w:style>
  <w:style w:type="paragraph" w:customStyle="1" w:styleId="SignatureLine">
    <w:name w:val="Signature Line"/>
    <w:basedOn w:val="Normal"/>
    <w:uiPriority w:val="99"/>
    <w:pPr>
      <w:tabs>
        <w:tab w:val="left" w:pos="5472"/>
        <w:tab w:val="left" w:pos="9648"/>
      </w:tabs>
      <w:ind w:left="5040" w:firstLine="0"/>
    </w:pPr>
  </w:style>
  <w:style w:type="paragraph" w:customStyle="1" w:styleId="SignatureLine2-col">
    <w:name w:val="Signature Line 2-col"/>
    <w:basedOn w:val="Normal"/>
    <w:uiPriority w:val="99"/>
    <w:pPr>
      <w:tabs>
        <w:tab w:val="left" w:pos="432"/>
        <w:tab w:val="left" w:pos="4320"/>
        <w:tab w:val="left" w:pos="5040"/>
        <w:tab w:val="left" w:pos="5472"/>
        <w:tab w:val="left" w:pos="9648"/>
      </w:tabs>
      <w:ind w:firstLine="0"/>
    </w:pPr>
  </w:style>
  <w:style w:type="paragraph" w:customStyle="1" w:styleId="TableStyle">
    <w:name w:val="Table Style"/>
    <w:basedOn w:val="Normal"/>
    <w:uiPriority w:val="99"/>
    <w:pPr>
      <w:spacing w:before="0"/>
      <w:ind w:firstLine="0"/>
    </w:pPr>
  </w:style>
  <w:style w:type="character" w:styleId="Hyperlink">
    <w:name w:val="Hyperlink"/>
    <w:basedOn w:val="DefaultParagraphFont"/>
    <w:uiPriority w:val="99"/>
    <w:rPr>
      <w:rFonts w:cs="Times New Roman"/>
      <w:color w:val="0000FF"/>
      <w:u w:val="single"/>
    </w:rPr>
  </w:style>
  <w:style w:type="character" w:customStyle="1" w:styleId="standarditalic1">
    <w:name w:val="standarditalic1"/>
    <w:basedOn w:val="DefaultParagraphFont"/>
    <w:uiPriority w:val="99"/>
    <w:rPr>
      <w:rFonts w:ascii="Arial" w:hAnsi="Arial" w:cs="Arial"/>
      <w:i/>
      <w:iCs/>
      <w:color w:val="000000"/>
      <w:sz w:val="18"/>
      <w:szCs w:val="18"/>
    </w:rPr>
  </w:style>
  <w:style w:type="paragraph" w:styleId="BodyTextIndent3">
    <w:name w:val="Body Text Indent 3"/>
    <w:basedOn w:val="Normal"/>
    <w:link w:val="BodyTextIndent3Char"/>
    <w:uiPriority w:val="99"/>
    <w:pPr>
      <w:ind w:left="720" w:firstLine="810"/>
      <w:jc w:val="both"/>
    </w:pPr>
  </w:style>
  <w:style w:type="character" w:customStyle="1" w:styleId="BodyTextIndent3Char">
    <w:name w:val="Body Text Indent 3 Char"/>
    <w:basedOn w:val="DefaultParagraphFont"/>
    <w:link w:val="BodyTextIndent3"/>
    <w:uiPriority w:val="99"/>
    <w:semiHidden/>
    <w:rPr>
      <w:sz w:val="16"/>
      <w:szCs w:val="16"/>
      <w:lang w:val="en-US" w:eastAsia="en-US"/>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lang w:val="en-US" w:eastAsia="en-US"/>
    </w:rPr>
  </w:style>
  <w:style w:type="character" w:customStyle="1" w:styleId="FootnoteTextChar">
    <w:name w:val="Footnote Text Char"/>
    <w:basedOn w:val="DefaultParagraphFont"/>
    <w:link w:val="FootnoteText"/>
    <w:uiPriority w:val="99"/>
    <w:semiHidden/>
    <w:locked/>
    <w:rPr>
      <w:rFonts w:cs="Times New Roman"/>
      <w:sz w:val="24"/>
      <w:szCs w:val="24"/>
      <w:lang w:val="en-US" w:eastAsia="en-US" w:bidi="ar-SA"/>
    </w:rPr>
  </w:style>
  <w:style w:type="character" w:customStyle="1" w:styleId="BodyTextIndentChar">
    <w:name w:val="Body Text Indent Char"/>
    <w:basedOn w:val="DefaultParagraphFont"/>
    <w:link w:val="BodyTextIndent"/>
    <w:uiPriority w:val="99"/>
    <w:semiHidden/>
    <w:rPr>
      <w:lang w:val="en-US" w:eastAsia="en-US"/>
    </w:rPr>
  </w:style>
  <w:style w:type="character" w:styleId="Emphasis">
    <w:name w:val="Emphasis"/>
    <w:basedOn w:val="DefaultParagraphFont"/>
    <w:uiPriority w:val="99"/>
    <w:qFormat/>
    <w:rPr>
      <w:rFonts w:cs="Times New Roman"/>
      <w:i/>
      <w:iCs/>
    </w:rPr>
  </w:style>
  <w:style w:type="paragraph" w:customStyle="1" w:styleId="CommentText0">
    <w:name w:val="CommentText"/>
    <w:basedOn w:val="Normal"/>
    <w:uiPriority w:val="99"/>
    <w:pPr>
      <w:ind w:left="720" w:right="720"/>
      <w:jc w:val="both"/>
    </w:pPr>
    <w:rPr>
      <w:i/>
      <w:szCs w:val="20"/>
    </w:rPr>
  </w:style>
  <w:style w:type="paragraph" w:styleId="NormalIndent">
    <w:name w:val="Normal Indent"/>
    <w:basedOn w:val="Normal"/>
    <w:uiPriority w:val="99"/>
    <w:pPr>
      <w:ind w:left="720"/>
    </w:p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lang w:val="en-US" w:eastAsia="en-US"/>
    </w:rPr>
  </w:style>
  <w:style w:type="paragraph" w:customStyle="1" w:styleId="Term1">
    <w:name w:val="Term1"/>
    <w:basedOn w:val="Normal"/>
    <w:uiPriority w:val="99"/>
    <w:pPr>
      <w:tabs>
        <w:tab w:val="left" w:pos="3600"/>
      </w:tabs>
      <w:spacing w:before="0"/>
      <w:ind w:left="3600" w:hanging="3240"/>
    </w:pPr>
    <w:rPr>
      <w:kern w:val="28"/>
    </w:rPr>
  </w:style>
  <w:style w:type="paragraph" w:styleId="BodyText">
    <w:name w:val="Body Text"/>
    <w:basedOn w:val="Normal"/>
    <w:link w:val="BodyTextChar"/>
    <w:uiPriority w:val="99"/>
    <w:pPr>
      <w:ind w:firstLine="0"/>
    </w:pPr>
    <w:rPr>
      <w:i/>
    </w:rPr>
  </w:style>
  <w:style w:type="character" w:customStyle="1" w:styleId="BodyTextChar">
    <w:name w:val="Body Text Char"/>
    <w:basedOn w:val="DefaultParagraphFont"/>
    <w:link w:val="BodyText"/>
    <w:uiPriority w:val="99"/>
    <w:semiHidden/>
    <w:rPr>
      <w:lang w:val="en-US" w:eastAsia="en-US"/>
    </w:rPr>
  </w:style>
  <w:style w:type="paragraph" w:styleId="BodyText2">
    <w:name w:val="Body Text 2"/>
    <w:basedOn w:val="Normal"/>
    <w:link w:val="BodyText2Char"/>
    <w:uiPriority w:val="99"/>
    <w:pPr>
      <w:ind w:firstLine="0"/>
    </w:pPr>
    <w:rPr>
      <w:i/>
      <w:iCs/>
      <w:color w:val="0000FF"/>
    </w:rPr>
  </w:style>
  <w:style w:type="character" w:customStyle="1" w:styleId="BodyText2Char">
    <w:name w:val="Body Text 2 Char"/>
    <w:basedOn w:val="DefaultParagraphFont"/>
    <w:link w:val="BodyText2"/>
    <w:uiPriority w:val="99"/>
    <w:semiHidden/>
    <w:rPr>
      <w:lang w:val="en-US" w:eastAsia="en-US"/>
    </w:rPr>
  </w:style>
  <w:style w:type="paragraph" w:styleId="BodyText3">
    <w:name w:val="Body Text 3"/>
    <w:basedOn w:val="Normal"/>
    <w:link w:val="BodyText3Char"/>
    <w:uiPriority w:val="99"/>
    <w:pPr>
      <w:ind w:firstLine="0"/>
    </w:pPr>
    <w:rPr>
      <w:i/>
      <w:iCs/>
      <w:color w:val="3366FF"/>
    </w:rPr>
  </w:style>
  <w:style w:type="character" w:customStyle="1" w:styleId="BodyText3Char">
    <w:name w:val="Body Text 3 Char"/>
    <w:basedOn w:val="DefaultParagraphFont"/>
    <w:link w:val="BodyText3"/>
    <w:uiPriority w:val="99"/>
    <w:semiHidden/>
    <w:rPr>
      <w:sz w:val="16"/>
      <w:szCs w:val="16"/>
      <w:lang w:val="en-US" w:eastAsia="en-US"/>
    </w:rPr>
  </w:style>
  <w:style w:type="paragraph" w:customStyle="1" w:styleId="TSBulletList">
    <w:name w:val="TS Bullet List"/>
    <w:basedOn w:val="Normal"/>
    <w:uiPriority w:val="99"/>
    <w:pPr>
      <w:numPr>
        <w:numId w:val="9"/>
      </w:numPr>
      <w:tabs>
        <w:tab w:val="clear" w:pos="1080"/>
        <w:tab w:val="num" w:pos="4320"/>
      </w:tabs>
      <w:ind w:left="4320"/>
      <w:jc w:val="both"/>
    </w:pPr>
  </w:style>
  <w:style w:type="paragraph" w:customStyle="1" w:styleId="TSIntro">
    <w:name w:val="TS Intro"/>
    <w:basedOn w:val="Normal"/>
    <w:uiPriority w:val="99"/>
    <w:pPr>
      <w:ind w:firstLine="360"/>
      <w:jc w:val="both"/>
    </w:pPr>
  </w:style>
  <w:style w:type="character" w:styleId="FollowedHyperlink">
    <w:name w:val="FollowedHyperlink"/>
    <w:basedOn w:val="DefaultParagraphFont"/>
    <w:uiPriority w:val="99"/>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after="0" w:line="240" w:lineRule="auto"/>
      <w:ind w:firstLine="720"/>
    </w:pPr>
    <w:rPr>
      <w:lang w:val="en-US" w:eastAsia="en-US"/>
    </w:rPr>
  </w:style>
  <w:style w:type="paragraph" w:styleId="Heading1">
    <w:name w:val="heading 1"/>
    <w:basedOn w:val="Normal"/>
    <w:next w:val="Normal"/>
    <w:link w:val="Heading1Char"/>
    <w:uiPriority w:val="99"/>
    <w:qFormat/>
    <w:pPr>
      <w:numPr>
        <w:numId w:val="3"/>
      </w:numPr>
      <w:ind w:firstLine="0"/>
      <w:outlineLvl w:val="0"/>
    </w:pPr>
    <w:rPr>
      <w:kern w:val="28"/>
    </w:rPr>
  </w:style>
  <w:style w:type="paragraph" w:styleId="Heading2">
    <w:name w:val="heading 2"/>
    <w:basedOn w:val="Normal"/>
    <w:next w:val="Normal"/>
    <w:link w:val="Heading2Char"/>
    <w:uiPriority w:val="99"/>
    <w:qFormat/>
    <w:pPr>
      <w:numPr>
        <w:ilvl w:val="1"/>
        <w:numId w:val="3"/>
      </w:numPr>
      <w:ind w:firstLine="0"/>
      <w:outlineLvl w:val="1"/>
    </w:pPr>
  </w:style>
  <w:style w:type="paragraph" w:styleId="Heading3">
    <w:name w:val="heading 3"/>
    <w:basedOn w:val="Normal"/>
    <w:next w:val="Normal"/>
    <w:link w:val="Heading3Char"/>
    <w:uiPriority w:val="99"/>
    <w:qFormat/>
    <w:pPr>
      <w:numPr>
        <w:ilvl w:val="2"/>
        <w:numId w:val="3"/>
      </w:numPr>
      <w:ind w:firstLine="0"/>
      <w:outlineLvl w:val="2"/>
    </w:pPr>
  </w:style>
  <w:style w:type="paragraph" w:styleId="Heading4">
    <w:name w:val="heading 4"/>
    <w:basedOn w:val="Normal"/>
    <w:next w:val="Normal"/>
    <w:link w:val="Heading4Char"/>
    <w:uiPriority w:val="99"/>
    <w:qFormat/>
    <w:pPr>
      <w:numPr>
        <w:ilvl w:val="3"/>
        <w:numId w:val="3"/>
      </w:numPr>
      <w:ind w:firstLine="0"/>
      <w:outlineLvl w:val="3"/>
    </w:pPr>
  </w:style>
  <w:style w:type="paragraph" w:styleId="Heading5">
    <w:name w:val="heading 5"/>
    <w:basedOn w:val="Normal"/>
    <w:next w:val="Normal"/>
    <w:link w:val="Heading5Char"/>
    <w:uiPriority w:val="99"/>
    <w:qFormat/>
    <w:pPr>
      <w:numPr>
        <w:ilvl w:val="4"/>
        <w:numId w:val="3"/>
      </w:numPr>
      <w:ind w:firstLine="0"/>
      <w:outlineLvl w:val="4"/>
    </w:pPr>
  </w:style>
  <w:style w:type="paragraph" w:styleId="Heading6">
    <w:name w:val="heading 6"/>
    <w:basedOn w:val="Normal"/>
    <w:next w:val="Normal"/>
    <w:link w:val="Heading6Char"/>
    <w:uiPriority w:val="99"/>
    <w:qFormat/>
    <w:pPr>
      <w:numPr>
        <w:ilvl w:val="5"/>
        <w:numId w:val="3"/>
      </w:numPr>
      <w:ind w:firstLine="0"/>
      <w:outlineLvl w:val="5"/>
    </w:pPr>
  </w:style>
  <w:style w:type="paragraph" w:styleId="Heading7">
    <w:name w:val="heading 7"/>
    <w:basedOn w:val="Normal"/>
    <w:next w:val="Normal"/>
    <w:link w:val="Heading7Char"/>
    <w:uiPriority w:val="99"/>
    <w:qFormat/>
    <w:pPr>
      <w:numPr>
        <w:ilvl w:val="6"/>
        <w:numId w:val="3"/>
      </w:numPr>
      <w:ind w:firstLine="0"/>
      <w:outlineLvl w:val="6"/>
    </w:pPr>
  </w:style>
  <w:style w:type="paragraph" w:styleId="Heading8">
    <w:name w:val="heading 8"/>
    <w:basedOn w:val="Normal"/>
    <w:next w:val="Normal"/>
    <w:link w:val="Heading8Char"/>
    <w:uiPriority w:val="99"/>
    <w:qFormat/>
    <w:pPr>
      <w:numPr>
        <w:ilvl w:val="7"/>
        <w:numId w:val="3"/>
      </w:numPr>
      <w:ind w:firstLine="0"/>
      <w:outlineLvl w:val="7"/>
    </w:pPr>
  </w:style>
  <w:style w:type="paragraph" w:styleId="Heading9">
    <w:name w:val="heading 9"/>
    <w:basedOn w:val="Normal"/>
    <w:next w:val="Normal"/>
    <w:link w:val="Heading9Char"/>
    <w:uiPriority w:val="99"/>
    <w:qFormat/>
    <w:pPr>
      <w:spacing w:after="60"/>
      <w:ind w:firstLine="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lang w:val="en-US" w:eastAsia="en-U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lang w:val="en-US" w:eastAsia="en-US"/>
    </w:rPr>
  </w:style>
  <w:style w:type="paragraph" w:styleId="Caption">
    <w:name w:val="caption"/>
    <w:basedOn w:val="Normal"/>
    <w:next w:val="Normal"/>
    <w:uiPriority w:val="99"/>
    <w:qFormat/>
    <w:rPr>
      <w:b/>
      <w:bCs/>
      <w:sz w:val="20"/>
      <w:szCs w:val="20"/>
    </w:rPr>
  </w:style>
  <w:style w:type="character" w:styleId="CommentReference">
    <w:name w:val="annotation reference"/>
    <w:basedOn w:val="DefaultParagraphFont"/>
    <w:uiPriority w:val="99"/>
    <w:semiHidden/>
    <w:rPr>
      <w:rFonts w:cs="Times New Roman"/>
      <w:sz w:val="16"/>
      <w:szCs w:val="16"/>
      <w:lang w:val="en-US" w:eastAsia="x-none"/>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Pr>
      <w:rFonts w:ascii="Tahoma" w:hAnsi="Tahoma" w:cs="Tahoma"/>
      <w:sz w:val="16"/>
      <w:szCs w:val="16"/>
      <w:lang w:val="en-US" w:eastAsia="en-US"/>
    </w:rPr>
  </w:style>
  <w:style w:type="character" w:styleId="EndnoteReference">
    <w:name w:val="end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pPr>
      <w:tabs>
        <w:tab w:val="left" w:pos="360"/>
      </w:tabs>
      <w:spacing w:before="120" w:after="120"/>
      <w:ind w:firstLine="360"/>
    </w:pPr>
    <w:rPr>
      <w:sz w:val="20"/>
      <w:szCs w:val="20"/>
    </w:rPr>
  </w:style>
  <w:style w:type="character" w:customStyle="1" w:styleId="EndnoteTextChar">
    <w:name w:val="Endnote Text Char"/>
    <w:basedOn w:val="DefaultParagraphFont"/>
    <w:link w:val="EndnoteText"/>
    <w:uiPriority w:val="99"/>
    <w:locked/>
    <w:rPr>
      <w:rFonts w:cs="Times New Roman"/>
      <w:lang w:val="en-US" w:eastAsia="en-US" w:bidi="ar-SA"/>
    </w:rPr>
  </w:style>
  <w:style w:type="character" w:styleId="FootnoteReference">
    <w:name w:val="footnote reference"/>
    <w:basedOn w:val="DefaultParagraphFont"/>
    <w:uiPriority w:val="99"/>
    <w:semiHidden/>
    <w:rPr>
      <w:rFonts w:cs="Times New Roman"/>
      <w:vertAlign w:val="superscript"/>
    </w:rPr>
  </w:style>
  <w:style w:type="paragraph" w:styleId="FootnoteText">
    <w:name w:val="footnote text"/>
    <w:basedOn w:val="Normal"/>
    <w:link w:val="FootnoteTextChar"/>
    <w:uiPriority w:val="99"/>
    <w:semiHidden/>
    <w:pPr>
      <w:tabs>
        <w:tab w:val="left" w:pos="360"/>
      </w:tabs>
      <w:spacing w:before="120" w:after="120"/>
      <w:ind w:firstLine="360"/>
    </w:pPr>
  </w:style>
  <w:style w:type="paragraph" w:styleId="BodyTextIndent">
    <w:name w:val="Body Text Indent"/>
    <w:basedOn w:val="Normal"/>
    <w:link w:val="BodyTextIndentChar"/>
    <w:uiPriority w:val="99"/>
    <w:pPr>
      <w:spacing w:after="120"/>
      <w:ind w:left="360"/>
    </w:p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cs="Arial"/>
      <w:b/>
      <w:bCs/>
    </w:r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lang w:val="en-US" w:eastAsia="en-US"/>
    </w:rPr>
  </w:style>
  <w:style w:type="character" w:customStyle="1" w:styleId="MacroTextChar">
    <w:name w:val="Macro Text Char"/>
    <w:basedOn w:val="DefaultParagraphFont"/>
    <w:link w:val="MacroText"/>
    <w:uiPriority w:val="99"/>
    <w:semiHidden/>
    <w:rPr>
      <w:rFonts w:ascii="Courier New" w:hAnsi="Courier New" w:cs="Courier New"/>
      <w:sz w:val="20"/>
      <w:szCs w:val="20"/>
      <w:lang w:val="en-US" w:eastAsia="en-US"/>
    </w:rPr>
  </w:style>
  <w:style w:type="table" w:styleId="Table3Deffects1">
    <w:name w:val="Table 3D effects 1"/>
    <w:basedOn w:val="TableNormal"/>
    <w:uiPriority w:val="99"/>
    <w:semiHidden/>
    <w:pPr>
      <w:spacing w:after="0" w:line="240" w:lineRule="auto"/>
    </w:pPr>
    <w:rPr>
      <w:sz w:val="20"/>
      <w:szCs w:val="20"/>
    </w:rPr>
    <w:tblPr/>
    <w:tcPr>
      <w:shd w:val="solid" w:color="C0C0C0" w:fill="FFFFFF"/>
    </w:tcPr>
    <w:tblStylePr w:type="firstRow">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pPr>
      <w:spacing w:after="0" w:line="240" w:lineRule="auto"/>
    </w:pPr>
    <w:rPr>
      <w:sz w:val="20"/>
      <w:szCs w:val="20"/>
    </w:rPr>
    <w:tblPr>
      <w:tblStyleRowBandSize w:val="1"/>
    </w:tblPr>
    <w:tcPr>
      <w:shd w:val="solid" w:color="C0C0C0" w:fill="FFFFFF"/>
    </w:tcPr>
    <w:tblStylePr w:type="firstRow">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3Deffects3">
    <w:name w:val="Table 3D effects 3"/>
    <w:basedOn w:val="TableNormal"/>
    <w:uiPriority w:val="99"/>
    <w:semiHidden/>
    <w:pPr>
      <w:spacing w:after="0" w:line="240" w:lineRule="auto"/>
    </w:pPr>
    <w:rPr>
      <w:sz w:val="20"/>
      <w:szCs w:val="20"/>
    </w:rPr>
    <w:tblPr>
      <w:tblStyleRowBandSize w:val="1"/>
      <w:tblStyleColBandSize w:val="1"/>
    </w:tblPr>
    <w:tblStylePr w:type="firstRow">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tblPr/>
      <w:tcPr>
        <w:shd w:val="solid" w:color="C0C0C0" w:fill="FFFFFF"/>
      </w:tcPr>
    </w:tblStylePr>
    <w:tblStylePr w:type="band2Vert">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Classic1">
    <w:name w:val="Table Classic 1"/>
    <w:basedOn w:val="TableNormal"/>
    <w:uiPriority w:val="99"/>
    <w:semiHidden/>
    <w:pPr>
      <w:spacing w:after="0" w:line="240" w:lineRule="auto"/>
    </w:pPr>
    <w:rPr>
      <w:sz w:val="20"/>
      <w:szCs w:val="20"/>
    </w:rPr>
    <w:tblPr>
      <w:tblBorders>
        <w:top w:val="single" w:sz="12" w:space="0" w:color="000000"/>
        <w:bottom w:val="single" w:sz="12" w:space="0" w:color="000000"/>
      </w:tblBorders>
    </w:tblPr>
    <w:tblStylePr w:type="firstRow">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Classic2">
    <w:name w:val="Table Classic 2"/>
    <w:basedOn w:val="TableNormal"/>
    <w:uiPriority w:val="99"/>
    <w:semiHidden/>
    <w:pPr>
      <w:spacing w:after="0" w:line="240" w:lineRule="auto"/>
    </w:pPr>
    <w:rPr>
      <w:sz w:val="20"/>
      <w:szCs w:val="20"/>
    </w:rPr>
    <w:tblPr>
      <w:tblBorders>
        <w:top w:val="single" w:sz="12" w:space="0" w:color="000000"/>
        <w:bottom w:val="single" w:sz="12" w:space="0" w:color="000000"/>
      </w:tblBorders>
    </w:tblPr>
    <w:tblStylePr w:type="firstRow">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shd w:val="solid" w:color="C0C0C0" w:fill="FFFFFF"/>
      </w:tcPr>
    </w:tblStylePr>
    <w:tblStylePr w:type="neCell">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tblPr/>
      <w:tcPr>
        <w:tcBorders>
          <w:tl2br w:val="none" w:sz="0" w:space="0" w:color="auto"/>
          <w:tr2bl w:val="none" w:sz="0" w:space="0" w:color="auto"/>
        </w:tcBorders>
      </w:tcPr>
    </w:tblStylePr>
  </w:style>
  <w:style w:type="table" w:styleId="TableClassic3">
    <w:name w:val="Table Classic 3"/>
    <w:basedOn w:val="TableNormal"/>
    <w:uiPriority w:val="99"/>
    <w:semiHidden/>
    <w:pPr>
      <w:spacing w:after="0" w:line="240" w:lineRule="auto"/>
    </w:pPr>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tblPr/>
      <w:tcPr>
        <w:tcBorders>
          <w:bottom w:val="single" w:sz="6" w:space="0" w:color="000000"/>
          <w:tl2br w:val="none" w:sz="0" w:space="0" w:color="auto"/>
          <w:tr2bl w:val="none" w:sz="0" w:space="0" w:color="auto"/>
        </w:tcBorders>
        <w:shd w:val="solid" w:color="000080" w:fill="FFFFFF"/>
      </w:tcPr>
    </w:tblStylePr>
    <w:tblStylePr w:type="lastRow">
      <w:tblPr/>
      <w:tcPr>
        <w:tcBorders>
          <w:top w:val="single" w:sz="12" w:space="0" w:color="000000"/>
          <w:tl2br w:val="none" w:sz="0" w:space="0" w:color="auto"/>
          <w:tr2bl w:val="none" w:sz="0" w:space="0" w:color="auto"/>
        </w:tcBorders>
        <w:shd w:val="solid" w:color="FFFFFF" w:fill="FFFFFF"/>
      </w:tcPr>
    </w:tblStylePr>
    <w:tblStylePr w:type="firstCol">
      <w:tblPr/>
      <w:tcPr>
        <w:tcBorders>
          <w:tl2br w:val="none" w:sz="0" w:space="0" w:color="auto"/>
          <w:tr2bl w:val="none" w:sz="0" w:space="0" w:color="auto"/>
        </w:tcBorders>
      </w:tcPr>
    </w:tblStylePr>
  </w:style>
  <w:style w:type="table" w:styleId="TableClassic4">
    <w:name w:val="Table Classic 4"/>
    <w:basedOn w:val="TableNormal"/>
    <w:uiPriority w:val="99"/>
    <w:semiHidden/>
    <w:pPr>
      <w:spacing w:after="0" w:line="240" w:lineRule="auto"/>
    </w:pPr>
    <w:rPr>
      <w:sz w:val="20"/>
      <w:szCs w:val="20"/>
    </w:rPr>
    <w:tblPr>
      <w:tblBorders>
        <w:top w:val="single" w:sz="12" w:space="0" w:color="000000"/>
        <w:left w:val="single" w:sz="6" w:space="0" w:color="000000"/>
        <w:bottom w:val="single" w:sz="12" w:space="0" w:color="000000"/>
        <w:right w:val="single" w:sz="6" w:space="0" w:color="000000"/>
      </w:tblBorders>
    </w:tblPr>
    <w:tblStylePr w:type="firstRow">
      <w:tblPr/>
      <w:tcPr>
        <w:tcBorders>
          <w:bottom w:val="single" w:sz="6" w:space="0" w:color="000000"/>
          <w:tl2br w:val="none" w:sz="0" w:space="0" w:color="auto"/>
          <w:tr2bl w:val="none" w:sz="0" w:space="0" w:color="auto"/>
        </w:tcBorders>
        <w:shd w:val="pct50" w:color="000080" w:fill="FFFFFF"/>
      </w:tcPr>
    </w:tblStylePr>
    <w:tblStylePr w:type="lastRow">
      <w:tblPr/>
      <w:tcPr>
        <w:tcBorders>
          <w:bottom w:val="single" w:sz="6" w:space="0" w:color="000000"/>
          <w:tl2br w:val="none" w:sz="0" w:space="0" w:color="auto"/>
          <w:tr2bl w:val="none" w:sz="0" w:space="0" w:color="auto"/>
        </w:tcBorders>
        <w:shd w:val="pct50" w:color="000000" w:fill="FFFFFF"/>
      </w:tcPr>
    </w:tblStylePr>
    <w:tblStylePr w:type="firstCol">
      <w:tblPr/>
      <w:tcPr>
        <w:tcBorders>
          <w:tl2br w:val="none" w:sz="0" w:space="0" w:color="auto"/>
          <w:tr2bl w:val="none" w:sz="0" w:space="0" w:color="auto"/>
        </w:tcBorders>
      </w:tcPr>
    </w:tblStylePr>
    <w:tblStylePr w:type="nw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Colorful1">
    <w:name w:val="Table Colorful 1"/>
    <w:basedOn w:val="TableNormal"/>
    <w:uiPriority w:val="99"/>
    <w:semiHidden/>
    <w:pPr>
      <w:spacing w:after="0" w:line="240" w:lineRule="auto"/>
    </w:pPr>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tblPr/>
      <w:tcPr>
        <w:tcBorders>
          <w:tl2br w:val="none" w:sz="0" w:space="0" w:color="auto"/>
          <w:tr2bl w:val="none" w:sz="0" w:space="0" w:color="auto"/>
        </w:tcBorders>
        <w:shd w:val="solid" w:color="000000" w:fill="FFFFFF"/>
      </w:tcPr>
    </w:tblStylePr>
    <w:tblStylePr w:type="firstCol">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tblPr/>
      <w:tcPr>
        <w:tcBorders>
          <w:tl2br w:val="none" w:sz="0" w:space="0" w:color="auto"/>
          <w:tr2bl w:val="none" w:sz="0" w:space="0" w:color="auto"/>
        </w:tcBorders>
      </w:tcPr>
    </w:tblStylePr>
  </w:style>
  <w:style w:type="table" w:styleId="TableColorful2">
    <w:name w:val="Table Colorful 2"/>
    <w:basedOn w:val="TableNormal"/>
    <w:uiPriority w:val="99"/>
    <w:semiHidden/>
    <w:pPr>
      <w:spacing w:after="0" w:line="240" w:lineRule="auto"/>
    </w:pPr>
    <w:rPr>
      <w:sz w:val="20"/>
      <w:szCs w:val="20"/>
    </w:rPr>
    <w:tblPr>
      <w:tblBorders>
        <w:bottom w:val="single" w:sz="12" w:space="0" w:color="000000"/>
      </w:tblBorders>
    </w:tblPr>
    <w:tcPr>
      <w:shd w:val="pct20" w:color="FFFF00" w:fill="FFFFFF"/>
    </w:tcPr>
    <w:tblStylePr w:type="firstRow">
      <w:tblPr/>
      <w:tcPr>
        <w:tcBorders>
          <w:bottom w:val="single" w:sz="12" w:space="0" w:color="000000"/>
          <w:tl2br w:val="none" w:sz="0" w:space="0" w:color="auto"/>
          <w:tr2bl w:val="none" w:sz="0" w:space="0" w:color="auto"/>
        </w:tcBorders>
        <w:shd w:val="solid" w:color="800000" w:fill="FFFFFF"/>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tblPr/>
      <w:tcPr>
        <w:tcBorders>
          <w:tl2br w:val="none" w:sz="0" w:space="0" w:color="auto"/>
          <w:tr2bl w:val="none" w:sz="0" w:space="0" w:color="auto"/>
        </w:tcBorders>
      </w:tcPr>
    </w:tblStylePr>
  </w:style>
  <w:style w:type="table" w:styleId="TableColorful3">
    <w:name w:val="Table Colorful 3"/>
    <w:basedOn w:val="TableNormal"/>
    <w:uiPriority w:val="99"/>
    <w:semiHidden/>
    <w:pPr>
      <w:spacing w:after="0" w:line="240" w:lineRule="auto"/>
    </w:pPr>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pPr>
      <w:spacing w:after="0" w:line="240" w:lineRule="auto"/>
    </w:pPr>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tblPr/>
      <w:tcPr>
        <w:tcBorders>
          <w:bottom w:val="double" w:sz="6" w:space="0" w:color="000000"/>
          <w:tl2br w:val="none" w:sz="0" w:space="0" w:color="auto"/>
          <w:tr2bl w:val="none" w:sz="0" w:space="0" w:color="auto"/>
        </w:tcBorders>
      </w:tcPr>
    </w:tblStylePr>
    <w:tblStylePr w:type="lastRow">
      <w:tblPr/>
      <w:tcPr>
        <w:tcBorders>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pct25" w:color="000000" w:fill="FFFFFF"/>
      </w:tcPr>
    </w:tblStylePr>
    <w:tblStylePr w:type="band2Vert">
      <w:tblPr/>
      <w:tcPr>
        <w:shd w:val="pct25" w:color="FFFF00" w:fill="FFFFFF"/>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Columns2">
    <w:name w:val="Table Columns 2"/>
    <w:basedOn w:val="TableNormal"/>
    <w:uiPriority w:val="99"/>
    <w:semiHidden/>
    <w:pPr>
      <w:spacing w:after="0" w:line="240" w:lineRule="auto"/>
    </w:pPr>
    <w:rPr>
      <w:b/>
      <w:bCs/>
      <w:sz w:val="20"/>
      <w:szCs w:val="20"/>
    </w:rPr>
    <w:tblPr>
      <w:tblStyleColBandSize w:val="1"/>
    </w:tblPr>
    <w:tblStylePr w:type="firstRow">
      <w:tblPr/>
      <w:tcPr>
        <w:tcBorders>
          <w:tl2br w:val="none" w:sz="0" w:space="0" w:color="auto"/>
          <w:tr2bl w:val="none" w:sz="0" w:space="0" w:color="auto"/>
        </w:tcBorders>
        <w:shd w:val="solid" w:color="000080" w:fill="FFFFFF"/>
      </w:tcPr>
    </w:tblStylePr>
    <w:tblStylePr w:type="lastRow">
      <w:tblPr/>
      <w:tcPr>
        <w:tcBorders>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pct30" w:color="000000" w:fill="FFFFFF"/>
      </w:tcPr>
    </w:tblStylePr>
    <w:tblStylePr w:type="band2Vert">
      <w:tblPr/>
      <w:tcPr>
        <w:shd w:val="pct25" w:color="00FF00" w:fill="FFFFFF"/>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Columns3">
    <w:name w:val="Table Columns 3"/>
    <w:basedOn w:val="TableNormal"/>
    <w:uiPriority w:val="99"/>
    <w:semiHidden/>
    <w:pPr>
      <w:spacing w:after="0" w:line="240" w:lineRule="auto"/>
    </w:pPr>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styleId="TableColumns4">
    <w:name w:val="Table Columns 4"/>
    <w:basedOn w:val="TableNormal"/>
    <w:uiPriority w:val="99"/>
    <w:semiHidden/>
    <w:pPr>
      <w:spacing w:after="0" w:line="240" w:lineRule="auto"/>
    </w:pPr>
    <w:rPr>
      <w:sz w:val="20"/>
      <w:szCs w:val="20"/>
    </w:rPr>
    <w:tblPr>
      <w:tblStyleColBandSize w:val="1"/>
    </w:tblPr>
    <w:tblStylePr w:type="firstRow">
      <w:tblPr/>
      <w:tcPr>
        <w:tcBorders>
          <w:tl2br w:val="none" w:sz="0" w:space="0" w:color="auto"/>
          <w:tr2bl w:val="none" w:sz="0" w:space="0" w:color="auto"/>
        </w:tcBorders>
        <w:shd w:val="solid" w:color="000000" w:fill="FFFFFF"/>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pct50" w:color="008080" w:fill="FFFFFF"/>
      </w:tcPr>
    </w:tblStylePr>
    <w:tblStylePr w:type="band2Vert">
      <w:tblPr/>
      <w:tcPr>
        <w:shd w:val="pct10" w:color="000000" w:fill="FFFFFF"/>
      </w:tcPr>
    </w:tblStylePr>
  </w:style>
  <w:style w:type="table" w:styleId="TableColumns5">
    <w:name w:val="Table Columns 5"/>
    <w:basedOn w:val="TableNormal"/>
    <w:uiPriority w:val="99"/>
    <w:semiHidden/>
    <w:pPr>
      <w:spacing w:after="0" w:line="240" w:lineRule="auto"/>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tblPr/>
      <w:tcPr>
        <w:tcBorders>
          <w:bottom w:val="single" w:sz="6" w:space="0" w:color="808080"/>
          <w:tl2br w:val="none" w:sz="0" w:space="0" w:color="auto"/>
          <w:tr2bl w:val="none" w:sz="0" w:space="0" w:color="auto"/>
        </w:tcBorders>
      </w:tcPr>
    </w:tblStylePr>
    <w:tblStylePr w:type="lastRow">
      <w:tblPr/>
      <w:tcPr>
        <w:tcBorders>
          <w:top w:val="single" w:sz="6" w:space="0" w:color="808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style>
  <w:style w:type="table" w:styleId="TableContemporary">
    <w:name w:val="Table Contemporary"/>
    <w:basedOn w:val="TableNormal"/>
    <w:uiPriority w:val="99"/>
    <w:semiHidden/>
    <w:pPr>
      <w:spacing w:after="0" w:line="240" w:lineRule="auto"/>
    </w:pPr>
    <w:rPr>
      <w:sz w:val="20"/>
      <w:szCs w:val="20"/>
    </w:rPr>
    <w:tblPr>
      <w:tblStyleRowBandSize w:val="1"/>
      <w:tblBorders>
        <w:insideH w:val="single" w:sz="18" w:space="0" w:color="FFFFFF"/>
        <w:insideV w:val="single" w:sz="18" w:space="0" w:color="FFFFFF"/>
      </w:tblBorders>
    </w:tblPr>
    <w:tblStylePr w:type="firstRow">
      <w:tblPr/>
      <w:tcPr>
        <w:tcBorders>
          <w:tl2br w:val="none" w:sz="0" w:space="0" w:color="auto"/>
          <w:tr2bl w:val="none" w:sz="0" w:space="0" w:color="auto"/>
        </w:tcBorders>
        <w:shd w:val="pct20" w:color="000000" w:fill="FFFF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pPr>
      <w:spacing w:after="0" w:line="240" w:lineRule="auto"/>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tblPr/>
      <w:tcPr>
        <w:tcBorders>
          <w:tl2br w:val="none" w:sz="0" w:space="0" w:color="auto"/>
          <w:tr2bl w:val="none" w:sz="0" w:space="0" w:color="auto"/>
        </w:tcBorders>
      </w:tcPr>
    </w:tblStylePr>
  </w:style>
  <w:style w:type="table" w:styleId="TableGrid">
    <w:name w:val="Table Grid"/>
    <w:basedOn w:val="TableNormal"/>
    <w:uiPriority w:val="99"/>
    <w:semiHidden/>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pPr>
      <w:spacing w:after="0" w:line="240" w:lineRule="auto"/>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Grid2">
    <w:name w:val="Table Grid 2"/>
    <w:basedOn w:val="TableNormal"/>
    <w:uiPriority w:val="99"/>
    <w:semiHidden/>
    <w:pPr>
      <w:spacing w:after="0" w:line="240" w:lineRule="auto"/>
    </w:pPr>
    <w:rPr>
      <w:sz w:val="20"/>
      <w:szCs w:val="20"/>
    </w:rPr>
    <w:tblPr>
      <w:tblBorders>
        <w:insideH w:val="single" w:sz="6" w:space="0" w:color="000000"/>
        <w:insideV w:val="single" w:sz="6" w:space="0" w:color="000000"/>
      </w:tblBorders>
    </w:tblPr>
    <w:tblStylePr w:type="firstRow">
      <w:tblPr/>
      <w:tcPr>
        <w:tcBorders>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Grid3">
    <w:name w:val="Table Grid 3"/>
    <w:basedOn w:val="TableNormal"/>
    <w:uiPriority w:val="99"/>
    <w:semiHidden/>
    <w:pPr>
      <w:spacing w:after="0" w:line="240" w:lineRule="auto"/>
    </w:pPr>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Grid4">
    <w:name w:val="Table Grid 4"/>
    <w:basedOn w:val="TableNormal"/>
    <w:uiPriority w:val="99"/>
    <w:semiHidden/>
    <w:pPr>
      <w:spacing w:after="0" w:line="240" w:lineRule="auto"/>
    </w:pPr>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tblPr/>
      <w:tcPr>
        <w:tcBorders>
          <w:top w:val="single" w:sz="6" w:space="0" w:color="000000"/>
          <w:tl2br w:val="none" w:sz="0" w:space="0" w:color="auto"/>
          <w:tr2bl w:val="none" w:sz="0" w:space="0" w:color="auto"/>
        </w:tcBorders>
        <w:shd w:val="pct30" w:color="FFFF00" w:fill="FFFFFF"/>
      </w:tcPr>
    </w:tblStylePr>
    <w:tblStylePr w:type="lastCol">
      <w:tblPr/>
      <w:tcPr>
        <w:tcBorders>
          <w:tl2br w:val="none" w:sz="0" w:space="0" w:color="auto"/>
          <w:tr2bl w:val="none" w:sz="0" w:space="0" w:color="auto"/>
        </w:tcBorders>
      </w:tcPr>
    </w:tblStylePr>
  </w:style>
  <w:style w:type="table" w:styleId="TableGrid5">
    <w:name w:val="Table Grid 5"/>
    <w:basedOn w:val="TableNormal"/>
    <w:uiPriority w:val="99"/>
    <w:semiHidden/>
    <w:pPr>
      <w:spacing w:after="0" w:line="240" w:lineRule="auto"/>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pPr>
      <w:spacing w:after="0" w:line="240" w:lineRule="auto"/>
    </w:pPr>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pPr>
      <w:spacing w:after="0" w:line="240" w:lineRule="auto"/>
    </w:pPr>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pPr>
      <w:spacing w:after="0" w:line="240" w:lineRule="auto"/>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tblPr/>
      <w:tcPr>
        <w:tcBorders>
          <w:tl2br w:val="none" w:sz="0" w:space="0" w:color="auto"/>
          <w:tr2bl w:val="none" w:sz="0" w:space="0" w:color="auto"/>
        </w:tcBorders>
        <w:shd w:val="solid" w:color="000080" w:fill="FFFFFF"/>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List1">
    <w:name w:val="Table List 1"/>
    <w:basedOn w:val="TableNormal"/>
    <w:uiPriority w:val="99"/>
    <w:semiHidden/>
    <w:pPr>
      <w:spacing w:after="0" w:line="240" w:lineRule="auto"/>
    </w:pPr>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solid" w:color="C0C0C0" w:fill="FFFFFF"/>
      </w:tcPr>
    </w:tblStylePr>
    <w:tblStylePr w:type="band2Horz">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List2">
    <w:name w:val="Table List 2"/>
    <w:basedOn w:val="TableNormal"/>
    <w:uiPriority w:val="99"/>
    <w:semiHidden/>
    <w:pPr>
      <w:spacing w:after="0" w:line="240" w:lineRule="auto"/>
    </w:pPr>
    <w:rPr>
      <w:sz w:val="20"/>
      <w:szCs w:val="20"/>
    </w:rPr>
    <w:tblPr>
      <w:tblStyleRowBandSize w:val="2"/>
      <w:tblBorders>
        <w:bottom w:val="single" w:sz="12" w:space="0" w:color="808080"/>
      </w:tblBorders>
    </w:tblPr>
    <w:tblStylePr w:type="firstRow">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0" w:color="00FF00" w:fill="FFFFFF"/>
      </w:tcPr>
    </w:tblStylePr>
    <w:tblStylePr w:type="band2Horz">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List3">
    <w:name w:val="Table List 3"/>
    <w:basedOn w:val="TableNormal"/>
    <w:uiPriority w:val="99"/>
    <w:semiHidden/>
    <w:pPr>
      <w:spacing w:after="0" w:line="240" w:lineRule="auto"/>
    </w:pPr>
    <w:rPr>
      <w:sz w:val="20"/>
      <w:szCs w:val="20"/>
    </w:rPr>
    <w:tblPr>
      <w:tblBorders>
        <w:top w:val="single" w:sz="12" w:space="0" w:color="000000"/>
        <w:bottom w:val="single" w:sz="12" w:space="0" w:color="000000"/>
        <w:insideH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List4">
    <w:name w:val="Table List 4"/>
    <w:basedOn w:val="TableNormal"/>
    <w:uiPriority w:val="99"/>
    <w:semiHidden/>
    <w:pPr>
      <w:spacing w:after="0" w:line="240" w:lineRule="auto"/>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pPr>
      <w:spacing w:after="0" w:line="240" w:lineRule="auto"/>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tblPr/>
      <w:tcPr>
        <w:tcBorders>
          <w:bottom w:val="single" w:sz="12"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style>
  <w:style w:type="table" w:styleId="TableList6">
    <w:name w:val="Table List 6"/>
    <w:basedOn w:val="TableNormal"/>
    <w:uiPriority w:val="99"/>
    <w:semiHidden/>
    <w:pPr>
      <w:spacing w:after="0" w:line="240" w:lineRule="auto"/>
    </w:pPr>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tblPr/>
      <w:tcPr>
        <w:tcBorders>
          <w:bottom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pPr>
      <w:spacing w:after="0" w:line="240" w:lineRule="auto"/>
    </w:pPr>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tblPr/>
      <w:tcPr>
        <w:tcBorders>
          <w:bottom w:val="single" w:sz="12" w:space="0" w:color="008000"/>
          <w:tl2br w:val="none" w:sz="0" w:space="0" w:color="auto"/>
          <w:tr2bl w:val="none" w:sz="0" w:space="0" w:color="auto"/>
        </w:tcBorders>
        <w:shd w:val="solid" w:color="C0C0C0" w:fill="FFFFFF"/>
      </w:tcPr>
    </w:tblStylePr>
    <w:tblStylePr w:type="lastRow">
      <w:tblPr/>
      <w:tcPr>
        <w:tcBorders>
          <w:top w:val="single" w:sz="12" w:space="0" w:color="008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Horz">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pPr>
      <w:spacing w:after="0" w:line="240" w:lineRule="auto"/>
    </w:pPr>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solid" w:color="FFFF00" w:fill="FFFFFF"/>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Horz">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pPr>
      <w:ind w:left="240" w:hanging="240"/>
    </w:pPr>
  </w:style>
  <w:style w:type="paragraph" w:styleId="TableofFigures">
    <w:name w:val="table of figures"/>
    <w:basedOn w:val="Normal"/>
    <w:next w:val="Normal"/>
    <w:uiPriority w:val="99"/>
    <w:semiHidden/>
  </w:style>
  <w:style w:type="table" w:styleId="TableProfessional">
    <w:name w:val="Table Professional"/>
    <w:basedOn w:val="TableNormal"/>
    <w:uiPriority w:val="99"/>
    <w:semiHidden/>
    <w:pPr>
      <w:spacing w:after="0" w:line="240" w:lineRule="auto"/>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pPr>
      <w:spacing w:after="0" w:line="240" w:lineRule="auto"/>
    </w:pPr>
    <w:rPr>
      <w:sz w:val="20"/>
      <w:szCs w:val="20"/>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pPr>
      <w:spacing w:after="0" w:line="240" w:lineRule="auto"/>
    </w:pPr>
    <w:rPr>
      <w:sz w:val="20"/>
      <w:szCs w:val="20"/>
    </w:rP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6" w:space="0" w:color="000000"/>
          <w:tl2br w:val="none" w:sz="0" w:space="0" w:color="auto"/>
          <w:tr2bl w:val="none" w:sz="0" w:space="0" w:color="auto"/>
        </w:tcBorders>
      </w:tcPr>
    </w:tblStylePr>
    <w:tblStylePr w:type="neCell">
      <w:tblPr/>
      <w:tcPr>
        <w:tcBorders>
          <w:left w:val="none" w:sz="0" w:space="0" w:color="auto"/>
          <w:tl2br w:val="none" w:sz="0" w:space="0" w:color="auto"/>
          <w:tr2bl w:val="none" w:sz="0" w:space="0" w:color="auto"/>
        </w:tcBorders>
      </w:tcPr>
    </w:tblStylePr>
    <w:tblStylePr w:type="swCell">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pPr>
      <w:spacing w:after="0" w:line="240" w:lineRule="auto"/>
    </w:pPr>
    <w:rPr>
      <w:sz w:val="20"/>
      <w:szCs w:val="20"/>
    </w:rPr>
    <w:tblPr>
      <w:tblBorders>
        <w:top w:val="single" w:sz="12" w:space="0" w:color="000000"/>
        <w:left w:val="single" w:sz="12" w:space="0" w:color="000000"/>
        <w:bottom w:val="single" w:sz="12" w:space="0" w:color="000000"/>
        <w:right w:val="single" w:sz="12" w:space="0" w:color="000000"/>
      </w:tblBorders>
    </w:tblPr>
    <w:tblStylePr w:type="firstRow">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pPr>
      <w:spacing w:after="0" w:line="240" w:lineRule="auto"/>
    </w:pPr>
    <w:rPr>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Subtle2">
    <w:name w:val="Table Subtle 2"/>
    <w:basedOn w:val="TableNormal"/>
    <w:uiPriority w:val="99"/>
    <w:semiHidden/>
    <w:pPr>
      <w:spacing w:after="0" w:line="240" w:lineRule="auto"/>
    </w:pPr>
    <w:rPr>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Theme">
    <w:name w:val="Table Theme"/>
    <w:basedOn w:val="TableNormal"/>
    <w:uiPriority w:val="99"/>
    <w:semiHidden/>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pPr>
      <w:spacing w:after="0" w:line="240" w:lineRule="auto"/>
    </w:pPr>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tblPr/>
      <w:tcPr>
        <w:tcBorders>
          <w:tl2br w:val="none" w:sz="0" w:space="0" w:color="auto"/>
          <w:tr2bl w:val="none" w:sz="0" w:space="0" w:color="auto"/>
        </w:tcBorders>
      </w:tcPr>
    </w:tblStylePr>
  </w:style>
  <w:style w:type="table" w:styleId="TableWeb2">
    <w:name w:val="Table Web 2"/>
    <w:basedOn w:val="TableNormal"/>
    <w:uiPriority w:val="99"/>
    <w:semiHidden/>
    <w:pPr>
      <w:spacing w:after="0" w:line="240" w:lineRule="auto"/>
    </w:pPr>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tblPr/>
      <w:tcPr>
        <w:tcBorders>
          <w:tl2br w:val="none" w:sz="0" w:space="0" w:color="auto"/>
          <w:tr2bl w:val="none" w:sz="0" w:space="0" w:color="auto"/>
        </w:tcBorders>
      </w:tcPr>
    </w:tblStylePr>
  </w:style>
  <w:style w:type="table" w:styleId="TableWeb3">
    <w:name w:val="Table Web 3"/>
    <w:basedOn w:val="TableNormal"/>
    <w:uiPriority w:val="99"/>
    <w:semiHidden/>
    <w:pPr>
      <w:spacing w:after="0" w:line="240" w:lineRule="auto"/>
    </w:pPr>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tblPr/>
      <w:tcPr>
        <w:tcBorders>
          <w:tl2br w:val="none" w:sz="0" w:space="0" w:color="auto"/>
          <w:tr2bl w:val="none" w:sz="0" w:space="0" w:color="auto"/>
        </w:tcBorders>
      </w:tcPr>
    </w:tblStylePr>
  </w:style>
  <w:style w:type="paragraph" w:styleId="TOAHeading">
    <w:name w:val="toa heading"/>
    <w:basedOn w:val="Normal"/>
    <w:next w:val="Normal"/>
    <w:uiPriority w:val="99"/>
    <w:semiHidden/>
    <w:pPr>
      <w:spacing w:before="120"/>
    </w:pPr>
    <w:rPr>
      <w:rFonts w:ascii="Arial" w:hAnsi="Arial" w:cs="Arial"/>
      <w:b/>
      <w:bCs/>
    </w:rPr>
  </w:style>
  <w:style w:type="paragraph" w:styleId="TOC1">
    <w:name w:val="toc 1"/>
    <w:basedOn w:val="Normal"/>
    <w:next w:val="Normal"/>
    <w:autoRedefine/>
    <w:uiPriority w:val="99"/>
    <w:semiHidden/>
    <w:pPr>
      <w:tabs>
        <w:tab w:val="right" w:pos="720"/>
        <w:tab w:val="right" w:leader="dot" w:pos="9706"/>
      </w:tabs>
      <w:spacing w:before="120" w:after="120"/>
      <w:ind w:left="720" w:right="720" w:hanging="720"/>
    </w:pPr>
    <w:rPr>
      <w:noProof/>
    </w:rPr>
  </w:style>
  <w:style w:type="paragraph" w:styleId="TOC2">
    <w:name w:val="toc 2"/>
    <w:basedOn w:val="Normal"/>
    <w:next w:val="Normal"/>
    <w:autoRedefine/>
    <w:uiPriority w:val="99"/>
    <w:semiHidden/>
    <w:pPr>
      <w:widowControl w:val="0"/>
      <w:tabs>
        <w:tab w:val="left" w:pos="1440"/>
        <w:tab w:val="right" w:leader="dot" w:pos="9706"/>
      </w:tabs>
      <w:spacing w:before="0"/>
      <w:ind w:left="1440" w:right="720" w:hanging="720"/>
    </w:pPr>
  </w:style>
  <w:style w:type="paragraph" w:styleId="TOC3">
    <w:name w:val="toc 3"/>
    <w:basedOn w:val="Normal"/>
    <w:next w:val="Normal"/>
    <w:autoRedefine/>
    <w:uiPriority w:val="99"/>
    <w:semiHidden/>
    <w:pPr>
      <w:ind w:left="480"/>
    </w:p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customStyle="1" w:styleId="CenterText">
    <w:name w:val="Center Text"/>
    <w:basedOn w:val="Normal"/>
    <w:next w:val="Normal"/>
    <w:uiPriority w:val="99"/>
    <w:pPr>
      <w:ind w:firstLine="0"/>
      <w:jc w:val="center"/>
    </w:pPr>
  </w:style>
  <w:style w:type="paragraph" w:customStyle="1" w:styleId="CenterTextBold">
    <w:name w:val="Center Text Bold"/>
    <w:basedOn w:val="CenterText"/>
    <w:next w:val="Normal"/>
    <w:uiPriority w:val="99"/>
    <w:rPr>
      <w:b/>
      <w:bCs/>
    </w:rPr>
  </w:style>
  <w:style w:type="paragraph" w:customStyle="1" w:styleId="CenterTextBoldUnd">
    <w:name w:val="Center Text Bold/Und"/>
    <w:basedOn w:val="CenterText"/>
    <w:next w:val="Normal"/>
    <w:uiPriority w:val="99"/>
    <w:rPr>
      <w:b/>
      <w:bCs/>
      <w:u w:val="single"/>
    </w:rPr>
  </w:style>
  <w:style w:type="paragraph" w:customStyle="1" w:styleId="Def2Heading1">
    <w:name w:val="Def2 Heading 1"/>
    <w:basedOn w:val="Normal"/>
    <w:next w:val="Normal"/>
    <w:uiPriority w:val="99"/>
    <w:pPr>
      <w:numPr>
        <w:numId w:val="1"/>
      </w:numPr>
    </w:pPr>
  </w:style>
  <w:style w:type="paragraph" w:customStyle="1" w:styleId="Def2Heading2">
    <w:name w:val="Def2 Heading 2"/>
    <w:basedOn w:val="Normal"/>
    <w:next w:val="Normal"/>
    <w:uiPriority w:val="99"/>
    <w:pPr>
      <w:numPr>
        <w:ilvl w:val="1"/>
        <w:numId w:val="1"/>
      </w:numPr>
    </w:pPr>
  </w:style>
  <w:style w:type="paragraph" w:customStyle="1" w:styleId="Def2Heading3">
    <w:name w:val="Def2 Heading 3"/>
    <w:basedOn w:val="Normal"/>
    <w:next w:val="Normal"/>
    <w:uiPriority w:val="99"/>
    <w:pPr>
      <w:numPr>
        <w:ilvl w:val="2"/>
        <w:numId w:val="1"/>
      </w:numPr>
    </w:pPr>
  </w:style>
  <w:style w:type="paragraph" w:customStyle="1" w:styleId="Def2Heading4">
    <w:name w:val="Def2 Heading 4"/>
    <w:basedOn w:val="Normal"/>
    <w:next w:val="Normal"/>
    <w:uiPriority w:val="99"/>
    <w:pPr>
      <w:numPr>
        <w:ilvl w:val="3"/>
        <w:numId w:val="1"/>
      </w:numPr>
    </w:pPr>
  </w:style>
  <w:style w:type="paragraph" w:customStyle="1" w:styleId="Def2Heading5">
    <w:name w:val="Def2 Heading 5"/>
    <w:basedOn w:val="Normal"/>
    <w:next w:val="Normal"/>
    <w:uiPriority w:val="99"/>
    <w:pPr>
      <w:numPr>
        <w:ilvl w:val="4"/>
        <w:numId w:val="1"/>
      </w:numPr>
    </w:pPr>
  </w:style>
  <w:style w:type="paragraph" w:styleId="EnvelopeAddress">
    <w:name w:val="envelope address"/>
    <w:basedOn w:val="Normal"/>
    <w:uiPriority w:val="99"/>
    <w:pPr>
      <w:framePr w:w="7920" w:h="1980" w:hRule="exact" w:hSpace="180" w:wrap="auto" w:hAnchor="page" w:xAlign="center" w:yAlign="bottom"/>
      <w:spacing w:before="0"/>
      <w:ind w:left="2880" w:firstLine="0"/>
    </w:pPr>
  </w:style>
  <w:style w:type="paragraph" w:styleId="EnvelopeReturn">
    <w:name w:val="envelope return"/>
    <w:basedOn w:val="Normal"/>
    <w:uiPriority w:val="99"/>
    <w:pPr>
      <w:spacing w:before="0"/>
      <w:ind w:firstLine="0"/>
    </w:pPr>
  </w:style>
  <w:style w:type="paragraph" w:customStyle="1" w:styleId="ExAHeading1">
    <w:name w:val="ExA Heading 1"/>
    <w:basedOn w:val="Normal"/>
    <w:next w:val="Normal"/>
    <w:uiPriority w:val="99"/>
    <w:pPr>
      <w:numPr>
        <w:numId w:val="2"/>
      </w:numPr>
      <w:ind w:firstLine="0"/>
    </w:pPr>
  </w:style>
  <w:style w:type="paragraph" w:customStyle="1" w:styleId="ExAHeading2">
    <w:name w:val="ExA Heading 2"/>
    <w:basedOn w:val="Normal"/>
    <w:next w:val="Normal"/>
    <w:uiPriority w:val="99"/>
    <w:pPr>
      <w:numPr>
        <w:ilvl w:val="1"/>
        <w:numId w:val="2"/>
      </w:numPr>
    </w:pPr>
  </w:style>
  <w:style w:type="paragraph" w:customStyle="1" w:styleId="ExAHeading3">
    <w:name w:val="ExA Heading 3"/>
    <w:basedOn w:val="Normal"/>
    <w:next w:val="Normal"/>
    <w:uiPriority w:val="99"/>
    <w:pPr>
      <w:numPr>
        <w:ilvl w:val="2"/>
        <w:numId w:val="2"/>
      </w:numPr>
    </w:pPr>
  </w:style>
  <w:style w:type="paragraph" w:customStyle="1" w:styleId="ExAHeading4">
    <w:name w:val="ExA Heading 4"/>
    <w:basedOn w:val="Normal"/>
    <w:next w:val="Normal"/>
    <w:uiPriority w:val="99"/>
    <w:pPr>
      <w:numPr>
        <w:ilvl w:val="3"/>
        <w:numId w:val="2"/>
      </w:numPr>
    </w:pPr>
  </w:style>
  <w:style w:type="paragraph" w:customStyle="1" w:styleId="ExAHeading5">
    <w:name w:val="ExA Heading 5"/>
    <w:basedOn w:val="Normal"/>
    <w:next w:val="Normal"/>
    <w:uiPriority w:val="99"/>
    <w:pPr>
      <w:numPr>
        <w:ilvl w:val="4"/>
        <w:numId w:val="2"/>
      </w:numPr>
    </w:pPr>
  </w:style>
  <w:style w:type="paragraph" w:customStyle="1" w:styleId="FlushRight">
    <w:name w:val="Flush Right"/>
    <w:basedOn w:val="Normal"/>
    <w:next w:val="Normal"/>
    <w:uiPriority w:val="99"/>
    <w:pPr>
      <w:tabs>
        <w:tab w:val="right" w:pos="9648"/>
      </w:tabs>
      <w:ind w:firstLine="0"/>
    </w:pPr>
  </w:style>
  <w:style w:type="paragraph" w:styleId="Footer">
    <w:name w:val="footer"/>
    <w:basedOn w:val="Normal"/>
    <w:link w:val="FooterChar"/>
    <w:uiPriority w:val="99"/>
    <w:pPr>
      <w:tabs>
        <w:tab w:val="center" w:pos="5040"/>
        <w:tab w:val="right" w:pos="9720"/>
      </w:tabs>
      <w:spacing w:before="0"/>
      <w:ind w:firstLine="0"/>
    </w:pPr>
  </w:style>
  <w:style w:type="character" w:customStyle="1" w:styleId="FooterChar">
    <w:name w:val="Footer Char"/>
    <w:basedOn w:val="DefaultParagraphFont"/>
    <w:link w:val="Footer"/>
    <w:uiPriority w:val="99"/>
    <w:semiHidden/>
    <w:rPr>
      <w:lang w:val="en-US" w:eastAsia="en-US"/>
    </w:rPr>
  </w:style>
  <w:style w:type="paragraph" w:styleId="Header">
    <w:name w:val="header"/>
    <w:basedOn w:val="Normal"/>
    <w:link w:val="HeaderChar"/>
    <w:uiPriority w:val="99"/>
    <w:pPr>
      <w:tabs>
        <w:tab w:val="center" w:pos="4320"/>
        <w:tab w:val="right" w:pos="8640"/>
      </w:tabs>
      <w:spacing w:before="0"/>
      <w:ind w:firstLine="0"/>
    </w:pPr>
  </w:style>
  <w:style w:type="character" w:customStyle="1" w:styleId="HeaderChar">
    <w:name w:val="Header Char"/>
    <w:basedOn w:val="DefaultParagraphFont"/>
    <w:link w:val="Header"/>
    <w:uiPriority w:val="99"/>
    <w:semiHidden/>
    <w:rPr>
      <w:lang w:val="en-US" w:eastAsia="en-US"/>
    </w:rPr>
  </w:style>
  <w:style w:type="paragraph" w:customStyle="1" w:styleId="Label">
    <w:name w:val="Label"/>
    <w:basedOn w:val="Normal"/>
    <w:uiPriority w:val="99"/>
    <w:pPr>
      <w:spacing w:before="0"/>
      <w:ind w:firstLine="0"/>
    </w:pPr>
  </w:style>
  <w:style w:type="character" w:styleId="PageNumber">
    <w:name w:val="page number"/>
    <w:basedOn w:val="DefaultParagraphFont"/>
    <w:uiPriority w:val="99"/>
    <w:rPr>
      <w:rFonts w:ascii="Times New Roman" w:hAnsi="Times New Roman" w:cs="Times New Roman"/>
      <w:sz w:val="24"/>
      <w:szCs w:val="24"/>
      <w:lang w:val="en-US" w:eastAsia="x-none"/>
    </w:rPr>
  </w:style>
  <w:style w:type="paragraph" w:customStyle="1" w:styleId="SignatureLine">
    <w:name w:val="Signature Line"/>
    <w:basedOn w:val="Normal"/>
    <w:uiPriority w:val="99"/>
    <w:pPr>
      <w:tabs>
        <w:tab w:val="left" w:pos="5472"/>
        <w:tab w:val="left" w:pos="9648"/>
      </w:tabs>
      <w:ind w:left="5040" w:firstLine="0"/>
    </w:pPr>
  </w:style>
  <w:style w:type="paragraph" w:customStyle="1" w:styleId="SignatureLine2-col">
    <w:name w:val="Signature Line 2-col"/>
    <w:basedOn w:val="Normal"/>
    <w:uiPriority w:val="99"/>
    <w:pPr>
      <w:tabs>
        <w:tab w:val="left" w:pos="432"/>
        <w:tab w:val="left" w:pos="4320"/>
        <w:tab w:val="left" w:pos="5040"/>
        <w:tab w:val="left" w:pos="5472"/>
        <w:tab w:val="left" w:pos="9648"/>
      </w:tabs>
      <w:ind w:firstLine="0"/>
    </w:pPr>
  </w:style>
  <w:style w:type="paragraph" w:customStyle="1" w:styleId="TableStyle">
    <w:name w:val="Table Style"/>
    <w:basedOn w:val="Normal"/>
    <w:uiPriority w:val="99"/>
    <w:pPr>
      <w:spacing w:before="0"/>
      <w:ind w:firstLine="0"/>
    </w:pPr>
  </w:style>
  <w:style w:type="character" w:styleId="Hyperlink">
    <w:name w:val="Hyperlink"/>
    <w:basedOn w:val="DefaultParagraphFont"/>
    <w:uiPriority w:val="99"/>
    <w:rPr>
      <w:rFonts w:cs="Times New Roman"/>
      <w:color w:val="0000FF"/>
      <w:u w:val="single"/>
    </w:rPr>
  </w:style>
  <w:style w:type="character" w:customStyle="1" w:styleId="standarditalic1">
    <w:name w:val="standarditalic1"/>
    <w:basedOn w:val="DefaultParagraphFont"/>
    <w:uiPriority w:val="99"/>
    <w:rPr>
      <w:rFonts w:ascii="Arial" w:hAnsi="Arial" w:cs="Arial"/>
      <w:i/>
      <w:iCs/>
      <w:color w:val="000000"/>
      <w:sz w:val="18"/>
      <w:szCs w:val="18"/>
    </w:rPr>
  </w:style>
  <w:style w:type="paragraph" w:styleId="BodyTextIndent3">
    <w:name w:val="Body Text Indent 3"/>
    <w:basedOn w:val="Normal"/>
    <w:link w:val="BodyTextIndent3Char"/>
    <w:uiPriority w:val="99"/>
    <w:pPr>
      <w:ind w:left="720" w:firstLine="810"/>
      <w:jc w:val="both"/>
    </w:pPr>
  </w:style>
  <w:style w:type="character" w:customStyle="1" w:styleId="BodyTextIndent3Char">
    <w:name w:val="Body Text Indent 3 Char"/>
    <w:basedOn w:val="DefaultParagraphFont"/>
    <w:link w:val="BodyTextIndent3"/>
    <w:uiPriority w:val="99"/>
    <w:semiHidden/>
    <w:rPr>
      <w:sz w:val="16"/>
      <w:szCs w:val="16"/>
      <w:lang w:val="en-US" w:eastAsia="en-US"/>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lang w:val="en-US" w:eastAsia="en-US"/>
    </w:rPr>
  </w:style>
  <w:style w:type="character" w:customStyle="1" w:styleId="FootnoteTextChar">
    <w:name w:val="Footnote Text Char"/>
    <w:basedOn w:val="DefaultParagraphFont"/>
    <w:link w:val="FootnoteText"/>
    <w:uiPriority w:val="99"/>
    <w:semiHidden/>
    <w:locked/>
    <w:rPr>
      <w:rFonts w:cs="Times New Roman"/>
      <w:sz w:val="24"/>
      <w:szCs w:val="24"/>
      <w:lang w:val="en-US" w:eastAsia="en-US" w:bidi="ar-SA"/>
    </w:rPr>
  </w:style>
  <w:style w:type="character" w:customStyle="1" w:styleId="BodyTextIndentChar">
    <w:name w:val="Body Text Indent Char"/>
    <w:basedOn w:val="DefaultParagraphFont"/>
    <w:link w:val="BodyTextIndent"/>
    <w:uiPriority w:val="99"/>
    <w:semiHidden/>
    <w:rPr>
      <w:lang w:val="en-US" w:eastAsia="en-US"/>
    </w:rPr>
  </w:style>
  <w:style w:type="character" w:styleId="Emphasis">
    <w:name w:val="Emphasis"/>
    <w:basedOn w:val="DefaultParagraphFont"/>
    <w:uiPriority w:val="99"/>
    <w:qFormat/>
    <w:rPr>
      <w:rFonts w:cs="Times New Roman"/>
      <w:i/>
      <w:iCs/>
    </w:rPr>
  </w:style>
  <w:style w:type="paragraph" w:customStyle="1" w:styleId="CommentText0">
    <w:name w:val="CommentText"/>
    <w:basedOn w:val="Normal"/>
    <w:uiPriority w:val="99"/>
    <w:pPr>
      <w:ind w:left="720" w:right="720"/>
      <w:jc w:val="both"/>
    </w:pPr>
    <w:rPr>
      <w:i/>
      <w:szCs w:val="20"/>
    </w:rPr>
  </w:style>
  <w:style w:type="paragraph" w:styleId="NormalIndent">
    <w:name w:val="Normal Indent"/>
    <w:basedOn w:val="Normal"/>
    <w:uiPriority w:val="99"/>
    <w:pPr>
      <w:ind w:left="720"/>
    </w:p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lang w:val="en-US" w:eastAsia="en-US"/>
    </w:rPr>
  </w:style>
  <w:style w:type="paragraph" w:customStyle="1" w:styleId="Term1">
    <w:name w:val="Term1"/>
    <w:basedOn w:val="Normal"/>
    <w:uiPriority w:val="99"/>
    <w:pPr>
      <w:tabs>
        <w:tab w:val="left" w:pos="3600"/>
      </w:tabs>
      <w:spacing w:before="0"/>
      <w:ind w:left="3600" w:hanging="3240"/>
    </w:pPr>
    <w:rPr>
      <w:kern w:val="28"/>
    </w:rPr>
  </w:style>
  <w:style w:type="paragraph" w:styleId="BodyText">
    <w:name w:val="Body Text"/>
    <w:basedOn w:val="Normal"/>
    <w:link w:val="BodyTextChar"/>
    <w:uiPriority w:val="99"/>
    <w:pPr>
      <w:ind w:firstLine="0"/>
    </w:pPr>
    <w:rPr>
      <w:i/>
    </w:rPr>
  </w:style>
  <w:style w:type="character" w:customStyle="1" w:styleId="BodyTextChar">
    <w:name w:val="Body Text Char"/>
    <w:basedOn w:val="DefaultParagraphFont"/>
    <w:link w:val="BodyText"/>
    <w:uiPriority w:val="99"/>
    <w:semiHidden/>
    <w:rPr>
      <w:lang w:val="en-US" w:eastAsia="en-US"/>
    </w:rPr>
  </w:style>
  <w:style w:type="paragraph" w:styleId="BodyText2">
    <w:name w:val="Body Text 2"/>
    <w:basedOn w:val="Normal"/>
    <w:link w:val="BodyText2Char"/>
    <w:uiPriority w:val="99"/>
    <w:pPr>
      <w:ind w:firstLine="0"/>
    </w:pPr>
    <w:rPr>
      <w:i/>
      <w:iCs/>
      <w:color w:val="0000FF"/>
    </w:rPr>
  </w:style>
  <w:style w:type="character" w:customStyle="1" w:styleId="BodyText2Char">
    <w:name w:val="Body Text 2 Char"/>
    <w:basedOn w:val="DefaultParagraphFont"/>
    <w:link w:val="BodyText2"/>
    <w:uiPriority w:val="99"/>
    <w:semiHidden/>
    <w:rPr>
      <w:lang w:val="en-US" w:eastAsia="en-US"/>
    </w:rPr>
  </w:style>
  <w:style w:type="paragraph" w:styleId="BodyText3">
    <w:name w:val="Body Text 3"/>
    <w:basedOn w:val="Normal"/>
    <w:link w:val="BodyText3Char"/>
    <w:uiPriority w:val="99"/>
    <w:pPr>
      <w:ind w:firstLine="0"/>
    </w:pPr>
    <w:rPr>
      <w:i/>
      <w:iCs/>
      <w:color w:val="3366FF"/>
    </w:rPr>
  </w:style>
  <w:style w:type="character" w:customStyle="1" w:styleId="BodyText3Char">
    <w:name w:val="Body Text 3 Char"/>
    <w:basedOn w:val="DefaultParagraphFont"/>
    <w:link w:val="BodyText3"/>
    <w:uiPriority w:val="99"/>
    <w:semiHidden/>
    <w:rPr>
      <w:sz w:val="16"/>
      <w:szCs w:val="16"/>
      <w:lang w:val="en-US" w:eastAsia="en-US"/>
    </w:rPr>
  </w:style>
  <w:style w:type="paragraph" w:customStyle="1" w:styleId="TSBulletList">
    <w:name w:val="TS Bullet List"/>
    <w:basedOn w:val="Normal"/>
    <w:uiPriority w:val="99"/>
    <w:pPr>
      <w:numPr>
        <w:numId w:val="9"/>
      </w:numPr>
      <w:tabs>
        <w:tab w:val="clear" w:pos="1080"/>
        <w:tab w:val="num" w:pos="4320"/>
      </w:tabs>
      <w:ind w:left="4320"/>
      <w:jc w:val="both"/>
    </w:pPr>
  </w:style>
  <w:style w:type="paragraph" w:customStyle="1" w:styleId="TSIntro">
    <w:name w:val="TS Intro"/>
    <w:basedOn w:val="Normal"/>
    <w:uiPriority w:val="99"/>
    <w:pPr>
      <w:ind w:firstLine="360"/>
      <w:jc w:val="both"/>
    </w:pPr>
  </w:style>
  <w:style w:type="character" w:styleId="FollowedHyperlink">
    <w:name w:val="FollowedHyperlink"/>
    <w:basedOn w:val="DefaultParagraphFont"/>
    <w:uiPriority w:val="99"/>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598685">
      <w:marLeft w:val="0"/>
      <w:marRight w:val="0"/>
      <w:marTop w:val="0"/>
      <w:marBottom w:val="0"/>
      <w:divBdr>
        <w:top w:val="none" w:sz="0" w:space="0" w:color="auto"/>
        <w:left w:val="none" w:sz="0" w:space="0" w:color="auto"/>
        <w:bottom w:val="none" w:sz="0" w:space="0" w:color="auto"/>
        <w:right w:val="none" w:sz="0" w:space="0" w:color="auto"/>
      </w:divBdr>
    </w:div>
    <w:div w:id="1098598686">
      <w:marLeft w:val="0"/>
      <w:marRight w:val="0"/>
      <w:marTop w:val="0"/>
      <w:marBottom w:val="0"/>
      <w:divBdr>
        <w:top w:val="none" w:sz="0" w:space="0" w:color="auto"/>
        <w:left w:val="none" w:sz="0" w:space="0" w:color="auto"/>
        <w:bottom w:val="none" w:sz="0" w:space="0" w:color="auto"/>
        <w:right w:val="none" w:sz="0" w:space="0" w:color="auto"/>
      </w:divBdr>
    </w:div>
    <w:div w:id="1098598687">
      <w:marLeft w:val="0"/>
      <w:marRight w:val="0"/>
      <w:marTop w:val="0"/>
      <w:marBottom w:val="0"/>
      <w:divBdr>
        <w:top w:val="none" w:sz="0" w:space="0" w:color="auto"/>
        <w:left w:val="none" w:sz="0" w:space="0" w:color="auto"/>
        <w:bottom w:val="none" w:sz="0" w:space="0" w:color="auto"/>
        <w:right w:val="none" w:sz="0" w:space="0" w:color="auto"/>
      </w:divBdr>
    </w:div>
    <w:div w:id="1098598688">
      <w:marLeft w:val="0"/>
      <w:marRight w:val="0"/>
      <w:marTop w:val="0"/>
      <w:marBottom w:val="0"/>
      <w:divBdr>
        <w:top w:val="none" w:sz="0" w:space="0" w:color="auto"/>
        <w:left w:val="none" w:sz="0" w:space="0" w:color="auto"/>
        <w:bottom w:val="none" w:sz="0" w:space="0" w:color="auto"/>
        <w:right w:val="none" w:sz="0" w:space="0" w:color="auto"/>
      </w:divBdr>
    </w:div>
    <w:div w:id="1098598689">
      <w:marLeft w:val="0"/>
      <w:marRight w:val="0"/>
      <w:marTop w:val="0"/>
      <w:marBottom w:val="0"/>
      <w:divBdr>
        <w:top w:val="none" w:sz="0" w:space="0" w:color="auto"/>
        <w:left w:val="none" w:sz="0" w:space="0" w:color="auto"/>
        <w:bottom w:val="none" w:sz="0" w:space="0" w:color="auto"/>
        <w:right w:val="none" w:sz="0" w:space="0" w:color="auto"/>
      </w:divBdr>
    </w:div>
    <w:div w:id="10985986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4.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3.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footer" Target="footer5.xml" Id="rId15" /><Relationship Type="http://schemas.openxmlformats.org/officeDocument/2006/relationships/footer" Target="footer2.xml" Id="rId10" /><Relationship Type="http://schemas.microsoft.com/office/2007/relationships/stylesWithEffects" Target="stylesWithEffects.xml" Id="rId4" /><Relationship Type="http://schemas.openxmlformats.org/officeDocument/2006/relationships/footer" Target="footer1.xml" Id="rId9" /><Relationship Type="http://schemas.openxmlformats.org/officeDocument/2006/relationships/header" Target="header2.xml" Id="rId14" /><Relationship Type="http://schemas.openxmlformats.org/officeDocument/2006/relationships/customXml" Target="/customXml/item2.xml" Id="R5b84c02292ec43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&#65279;<?xml version="1.0" encoding="utf-8"?><Relationships xmlns="http://schemas.openxmlformats.org/package/2006/relationships"><Relationship Type="http://schemas.openxmlformats.org/officeDocument/2006/relationships/customXmlProps" Target="/customXml/itemProps2.xml" Id="Rb390703fcb224296" /></Relationships>
</file>

<file path=customXml/item1.xml><?xml version="1.0" encoding="utf-8"?>
<Dictionary xmlns="http://schemas.business-integrity.com/dealbuilder/2006/dictionary" SavedByVersion="6.0.3953.0" MinimumVersion="5.5.0.0"/>
</file>

<file path=customXml/item2.xml><?xml version="1.0" encoding="utf-8"?>
<Session xmlns="http://schemas.business-integrity.com/dealbuilder/2006/answers"/>
</file>

<file path=customXml/itemProps1.xml><?xml version="1.0" encoding="utf-8"?>
<ds:datastoreItem xmlns:ds="http://schemas.openxmlformats.org/officeDocument/2006/customXml" ds:itemID="{D8915459-77EF-4546-B809-B891B15BA319}">
  <ds:schemaRefs>
    <ds:schemaRef ds:uri="http://schemas.business-integrity.com/dealbuilder/2006/dictionary"/>
  </ds:schemaRefs>
</ds:datastoreItem>
</file>

<file path=customXml/itemProps2.xml><?xml version="1.0" encoding="utf-8"?>
<ds:datastoreItem xmlns:ds="http://schemas.openxmlformats.org/officeDocument/2006/customXml" ds:itemID="{25CD9239-E0AF-4073-8280-594C804ADC88}">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Venture Financing Term Sheet</dc:title>
</coreProperties>
</file>

<file path=docProps/custom.xml><?xml version="1.0" encoding="utf-8"?>
<Properties xmlns="http://schemas.openxmlformats.org/officeDocument/2006/custom-properties" xmlns:vt="http://schemas.openxmlformats.org/officeDocument/2006/docPropsVTypes">
  <property name="db_document_id" fmtid="{D5CDD505-2E9C-101B-9397-08002B2CF9AE}" pid="2">
    <vt:lpwstr>3068</vt:lpwstr>
  </property>
  <property name="db_contract_version" fmtid="{D5CDD505-2E9C-101B-9397-08002B2CF9AE}" pid="3">
    <vt:lpwstr>AAAAAAAC6h4=</vt:lpwstr>
  </property>
</Properties>
</file>