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نتایج آزمون تطبیقی</w:t>
      </w:r>
    </w:p>
    <w:p>
      <w:r>
        <w:t>مقدار تخمینی θ: -4.000</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سوال</w:t>
            </w:r>
          </w:p>
        </w:tc>
        <w:tc>
          <w:tcPr>
            <w:tcW w:type="dxa" w:w="1728"/>
          </w:tcPr>
          <w:p>
            <w:r>
              <w:t>پاسخ</w:t>
            </w:r>
          </w:p>
        </w:tc>
        <w:tc>
          <w:tcPr>
            <w:tcW w:type="dxa" w:w="1728"/>
          </w:tcPr>
          <w:p>
            <w:r>
              <w:t>a</w:t>
            </w:r>
          </w:p>
        </w:tc>
        <w:tc>
          <w:tcPr>
            <w:tcW w:type="dxa" w:w="1728"/>
          </w:tcPr>
          <w:p>
            <w:r>
              <w:t>b</w:t>
            </w:r>
          </w:p>
        </w:tc>
        <w:tc>
          <w:tcPr>
            <w:tcW w:type="dxa" w:w="1728"/>
          </w:tcPr>
          <w:p>
            <w:r>
              <w:t>c</w:t>
            </w:r>
          </w:p>
        </w:tc>
      </w:tr>
      <w:tr>
        <w:tc>
          <w:tcPr>
            <w:tcW w:type="dxa" w:w="1728"/>
          </w:tcPr>
          <w:p>
            <w:r>
              <w:t>برخی از میکروارگانیسم¬ها که در خاك و آب¬هاي زیرزمینی زندگی می¬کنند به طور طبیعی از موادِ شیمیایی مشخصی که براي انسان و .................. زیست مضر هستند، استفاده می¬کنند.</w:t>
              <w:br/>
              <w:t>توضیح: میکروارگانیسم (به فرانسوی: Microorganisme) جاندارانی اند که با چشم غیرمسلح دیده نمی‌شوند. ریزاندامگان شامل باکتریها، آغازیان، ویروسها و برخی قارچها هستند.</w:t>
            </w:r>
          </w:p>
        </w:tc>
        <w:tc>
          <w:tcPr>
            <w:tcW w:type="dxa" w:w="1728"/>
          </w:tcPr>
          <w:p>
            <w:r>
              <w:t>0</w:t>
            </w:r>
          </w:p>
        </w:tc>
        <w:tc>
          <w:tcPr>
            <w:tcW w:type="dxa" w:w="1728"/>
          </w:tcPr>
          <w:p>
            <w:r>
              <w:t>1.390224757</w:t>
            </w:r>
          </w:p>
        </w:tc>
        <w:tc>
          <w:tcPr>
            <w:tcW w:type="dxa" w:w="1728"/>
          </w:tcPr>
          <w:p>
            <w:r>
              <w:t>-1.65071387</w:t>
            </w:r>
          </w:p>
        </w:tc>
        <w:tc>
          <w:tcPr>
            <w:tcW w:type="dxa" w:w="1728"/>
          </w:tcPr>
          <w:p>
            <w:r>
              <w:t>0.2</w:t>
            </w:r>
          </w:p>
        </w:tc>
      </w:tr>
      <w:tr>
        <w:tc>
          <w:tcPr>
            <w:tcW w:type="dxa" w:w="1728"/>
          </w:tcPr>
          <w:p>
            <w:r>
              <w:t>روش اول به صورت پرسش و پاسخ انجام می¬شود و در حین آن آموزشِ واژگان جدید، به ............................. مـی¬پیوندنـد.</w:t>
            </w:r>
          </w:p>
        </w:tc>
        <w:tc>
          <w:tcPr>
            <w:tcW w:type="dxa" w:w="1728"/>
          </w:tcPr>
          <w:p>
            <w:r>
              <w:t>0</w:t>
            </w:r>
          </w:p>
        </w:tc>
        <w:tc>
          <w:tcPr>
            <w:tcW w:type="dxa" w:w="1728"/>
          </w:tcPr>
          <w:p>
            <w:r>
              <w:t>0.807741169</w:t>
            </w:r>
          </w:p>
        </w:tc>
        <w:tc>
          <w:tcPr>
            <w:tcW w:type="dxa" w:w="1728"/>
          </w:tcPr>
          <w:p>
            <w:r>
              <w:t>-0.716855711</w:t>
            </w:r>
          </w:p>
        </w:tc>
        <w:tc>
          <w:tcPr>
            <w:tcW w:type="dxa" w:w="1728"/>
          </w:tcPr>
          <w:p>
            <w:r>
              <w:t>0.2</w:t>
            </w:r>
          </w:p>
        </w:tc>
      </w:tr>
      <w:tr>
        <w:tc>
          <w:tcPr>
            <w:tcW w:type="dxa" w:w="1728"/>
          </w:tcPr>
          <w:p>
            <w:r>
              <w:t xml:space="preserve">................... تمــام زمــين¬هــاي زيركشــت حبوبــات در دنيــا، 80 ميليون هكتار، با توليد كُل  73ميليون تُن و متوسط عملكـرد  900كيلوگرم در هكتار است. </w:t>
            </w:r>
          </w:p>
        </w:tc>
        <w:tc>
          <w:tcPr>
            <w:tcW w:type="dxa" w:w="1728"/>
          </w:tcPr>
          <w:p>
            <w:r>
              <w:t>0</w:t>
            </w:r>
          </w:p>
        </w:tc>
        <w:tc>
          <w:tcPr>
            <w:tcW w:type="dxa" w:w="1728"/>
          </w:tcPr>
          <w:p>
            <w:r>
              <w:t>0.801370525</w:t>
            </w:r>
          </w:p>
        </w:tc>
        <w:tc>
          <w:tcPr>
            <w:tcW w:type="dxa" w:w="1728"/>
          </w:tcPr>
          <w:p>
            <w:r>
              <w:t>-0.684534669</w:t>
            </w:r>
          </w:p>
        </w:tc>
        <w:tc>
          <w:tcPr>
            <w:tcW w:type="dxa" w:w="1728"/>
          </w:tcPr>
          <w:p>
            <w:r>
              <w:t>0.2</w:t>
            </w:r>
          </w:p>
        </w:tc>
      </w:tr>
      <w:tr>
        <w:tc>
          <w:tcPr>
            <w:tcW w:type="dxa" w:w="1728"/>
          </w:tcPr>
          <w:p>
            <w:r>
              <w:t>...........این مطالعه، توصیف ریای سیاسی و تبیین شکست غیرمنتظرۀ خودکامگان در قرن بیستم با استفاده از این عامل است. ازاین رو، در پیِ پاسخ به این پرسش هستیم که «وضعیت ریای سیاسی و نقش آن در شکست حاکمیت¬های خودکامه (آلمانِ نازی، شوروی، ایران شاهنشاهی) چگونه بوده است؟</w:t>
            </w:r>
          </w:p>
        </w:tc>
        <w:tc>
          <w:tcPr>
            <w:tcW w:type="dxa" w:w="1728"/>
          </w:tcPr>
          <w:p>
            <w:r>
              <w:t>1</w:t>
            </w:r>
          </w:p>
        </w:tc>
        <w:tc>
          <w:tcPr>
            <w:tcW w:type="dxa" w:w="1728"/>
          </w:tcPr>
          <w:p>
            <w:r>
              <w:t>0.949883935</w:t>
            </w:r>
          </w:p>
        </w:tc>
        <w:tc>
          <w:tcPr>
            <w:tcW w:type="dxa" w:w="1728"/>
          </w:tcPr>
          <w:p>
            <w:r>
              <w:t>-0.949114114</w:t>
            </w:r>
          </w:p>
        </w:tc>
        <w:tc>
          <w:tcPr>
            <w:tcW w:type="dxa" w:w="1728"/>
          </w:tcPr>
          <w:p>
            <w:r>
              <w:t>0.2</w:t>
            </w:r>
          </w:p>
        </w:tc>
      </w:tr>
      <w:tr>
        <w:tc>
          <w:tcPr>
            <w:tcW w:type="dxa" w:w="1728"/>
          </w:tcPr>
          <w:p>
            <w:r>
              <w:t xml:space="preserve">امّا در سال¬های ........................، زبان برای اهداف ویژه، دیدگاه پویاتری نسبت به گونه¬ی ادبی اتخاذ کرده و اکنون آن را قابل تغییر و تطبیق از سوی افراد جامعه می¬داند. </w:t>
            </w:r>
          </w:p>
        </w:tc>
        <w:tc>
          <w:tcPr>
            <w:tcW w:type="dxa" w:w="1728"/>
          </w:tcPr>
          <w:p>
            <w:r>
              <w:t>0</w:t>
            </w:r>
          </w:p>
        </w:tc>
        <w:tc>
          <w:tcPr>
            <w:tcW w:type="dxa" w:w="1728"/>
          </w:tcPr>
          <w:p>
            <w:r>
              <w:t>0.967620488</w:t>
            </w:r>
          </w:p>
        </w:tc>
        <w:tc>
          <w:tcPr>
            <w:tcW w:type="dxa" w:w="1728"/>
          </w:tcPr>
          <w:p>
            <w:r>
              <w:t>-0.967417799</w:t>
            </w:r>
          </w:p>
        </w:tc>
        <w:tc>
          <w:tcPr>
            <w:tcW w:type="dxa" w:w="1728"/>
          </w:tcPr>
          <w:p>
            <w:r>
              <w:t>0.2</w:t>
            </w:r>
          </w:p>
        </w:tc>
      </w:tr>
      <w:tr>
        <w:tc>
          <w:tcPr>
            <w:tcW w:type="dxa" w:w="1728"/>
          </w:tcPr>
          <w:p>
            <w:r>
              <w:t xml:space="preserve">.................................... فعالیت¬های بسیار خوبی که برای واکاویِ نیازها، می¬توان انجام داد، بازبینیِ اطلاعات مرتبط با موضوع، جست¬وجوی موادِ آموزشی زبان برای اهداف ویژه مرتبط با گروه¬ها و همکاری با افرادی است که تجربه¬ی کار با این گروه¬ها را دارند. انجام موارد ذکر شده، می¬تواند فوائدی را به دنبال داشته باشد. </w:t>
            </w:r>
          </w:p>
        </w:tc>
        <w:tc>
          <w:tcPr>
            <w:tcW w:type="dxa" w:w="1728"/>
          </w:tcPr>
          <w:p>
            <w:r>
              <w:t>0</w:t>
            </w:r>
          </w:p>
        </w:tc>
        <w:tc>
          <w:tcPr>
            <w:tcW w:type="dxa" w:w="1728"/>
          </w:tcPr>
          <w:p>
            <w:r>
              <w:t>1.021266803</w:t>
            </w:r>
          </w:p>
        </w:tc>
        <w:tc>
          <w:tcPr>
            <w:tcW w:type="dxa" w:w="1728"/>
          </w:tcPr>
          <w:p>
            <w:r>
              <w:t>-1.02132221</w:t>
            </w:r>
          </w:p>
        </w:tc>
        <w:tc>
          <w:tcPr>
            <w:tcW w:type="dxa" w:w="1728"/>
          </w:tcPr>
          <w:p>
            <w:r>
              <w:t>0.2</w:t>
            </w:r>
          </w:p>
        </w:tc>
      </w:tr>
      <w:tr>
        <w:tc>
          <w:tcPr>
            <w:tcW w:type="dxa" w:w="1728"/>
          </w:tcPr>
          <w:p>
            <w:r>
              <w:t xml:space="preserve">مخمّرها به .................. بقاء و رشد در مکان¬هاي آلوده به فلزات سنگین و ظرفیتِ بالاي اتصالِ فلز به دیوارهِ سلول و میزانِ بالاي جذبِ درون سلولی، نسبت به سایرِ میکروارگانیسم¬ها، براي حذف فلزات سنگین از ارجحیت برخوردار هستند. </w:t>
              <w:br/>
              <w:br/>
              <w:t>توضیح: مخمر قارچ تک سلولی است و باید گفت این خانواده از قارچ‌ها با سایر گروه‌های قارچی، از جمله انواع خوراکی موجود در سوپرمارکت‌ها که مردم با آن‌ها آشنایی دارند، مرتبط هستند. در گذشته قبل از اینکه مخمر نانوایی به روش تجاری در دسترس باشد، بخشی از خمیرمایه نگهداری و به صورت تلقیح به خمیر تازه اضافه می‌شد. به طور معمول اسیدی شدن در خمیر نان صورت می‌گیرد، از این رو نام مخمر را در قدیم خمیر ترش نیز گذاشته بودند. گفتنی است که در سال‌های اخیر، مصرف نان‌های خمیر ترش بسیار افزایش یافته است.</w:t>
            </w:r>
          </w:p>
        </w:tc>
        <w:tc>
          <w:tcPr>
            <w:tcW w:type="dxa" w:w="1728"/>
          </w:tcPr>
          <w:p>
            <w:r>
              <w:t>0</w:t>
            </w:r>
          </w:p>
        </w:tc>
        <w:tc>
          <w:tcPr>
            <w:tcW w:type="dxa" w:w="1728"/>
          </w:tcPr>
          <w:p>
            <w:r>
              <w:t>1.074003545</w:t>
            </w:r>
          </w:p>
        </w:tc>
        <w:tc>
          <w:tcPr>
            <w:tcW w:type="dxa" w:w="1728"/>
          </w:tcPr>
          <w:p>
            <w:r>
              <w:t>-1.076133042</w:t>
            </w:r>
          </w:p>
        </w:tc>
        <w:tc>
          <w:tcPr>
            <w:tcW w:type="dxa" w:w="1728"/>
          </w:tcPr>
          <w:p>
            <w:r>
              <w:t>0.2</w:t>
            </w:r>
          </w:p>
        </w:tc>
      </w:tr>
      <w:tr>
        <w:tc>
          <w:tcPr>
            <w:tcW w:type="dxa" w:w="1728"/>
          </w:tcPr>
          <w:p>
            <w:r>
              <w:t>کتاب درسی «ساختار زبان انگلیسی فنی» نوشته¬ی هربرت باعث توجه به آموزشِ زبان برای اهداف ویژه شد و نقطه¬ی عطفی در تهیه مواد آموزشی بود. طراحی و ارزیابی مواد آموزشی به عنوان یک موضوع کلیدی در آموزش زبان دوم یا خارجی به سال  1984برمی¬گردد و از آن زمان .................. ، تبدیل به موضوعی برای پژوهش و بررسی شده است.</w:t>
            </w:r>
          </w:p>
        </w:tc>
        <w:tc>
          <w:tcPr>
            <w:tcW w:type="dxa" w:w="1728"/>
          </w:tcPr>
          <w:p>
            <w:r>
              <w:t>0</w:t>
            </w:r>
          </w:p>
        </w:tc>
        <w:tc>
          <w:tcPr>
            <w:tcW w:type="dxa" w:w="1728"/>
          </w:tcPr>
          <w:p>
            <w:r>
              <w:t>1.074003552</w:t>
            </w:r>
          </w:p>
        </w:tc>
        <w:tc>
          <w:tcPr>
            <w:tcW w:type="dxa" w:w="1728"/>
          </w:tcPr>
          <w:p>
            <w:r>
              <w:t>-1.076133</w:t>
            </w:r>
          </w:p>
        </w:tc>
        <w:tc>
          <w:tcPr>
            <w:tcW w:type="dxa" w:w="1728"/>
          </w:tcPr>
          <w:p>
            <w:r>
              <w:t>0.2</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