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69" w:lineRule="auto"/>
        <w:jc w:val="center"/>
        <w:keepLines/>
        <w:bidi w:val="1"/>
      </w:pPr>
      <w:r>
        <w:rPr>
          <w:rFonts w:ascii="Noto Naskh Arabic" w:hAnsi="Noto Naskh Arabic" w:cs="Noto Naskh Arabic" w:eastAsia="Noto Naskh Arabic"/>
          <w:b/>
          <w:color w:val="47786C"/>
          <w:sz w:val="22"/>
          <w:rtl w:val="1"/>
        </w:rPr>
        <w:t>CARE CIRCLE</w:t>
      </w:r>
    </w:p>
    <w:p>
      <w:pPr>
        <w:spacing w:before="0" w:after="40" w:line="269" w:lineRule="auto"/>
        <w:jc w:val="center"/>
        <w:keepLines/>
        <w:bidi w:val="1"/>
      </w:pPr>
      <w:r>
        <w:rPr>
          <w:rFonts w:ascii="Noto Naskh Arabic" w:hAnsi="Noto Naskh Arabic" w:cs="Noto Naskh Arabic" w:eastAsia="Noto Naskh Arabic"/>
          <w:b/>
          <w:color w:val="28564B"/>
          <w:sz w:val="46"/>
          <w:rtl w:val="1"/>
        </w:rPr>
        <w:t>تقرير المشروع والاختبارات</w:t>
      </w:r>
    </w:p>
    <w:p>
      <w:pPr>
        <w:spacing w:before="0" w:after="140" w:line="269" w:lineRule="auto"/>
        <w:jc w:val="center"/>
        <w:keepLines/>
        <w:bidi w:val="1"/>
      </w:pPr>
      <w:r>
        <w:rPr>
          <w:rFonts w:ascii="Noto Naskh Arabic" w:hAnsi="Noto Naskh Arabic" w:cs="Noto Naskh Arabic" w:eastAsia="Noto Naskh Arabic"/>
          <w:b w:val="0"/>
          <w:color w:val="47786C"/>
          <w:sz w:val="24"/>
          <w:rtl w:val="1"/>
        </w:rPr>
        <w:t>ما أنجز، وما لم يختبر، ونتائج التحقق</w:t>
      </w:r>
    </w:p>
    <w:p>
      <w:pPr>
        <w:spacing w:before="0" w:after="160" w:line="269" w:lineRule="auto"/>
        <w:jc w:val="center"/>
        <w:keepLines/>
        <w:bidi w:val="1"/>
      </w:pPr>
      <w:r>
        <w:rPr>
          <w:rFonts w:ascii="Noto Naskh Arabic" w:hAnsi="Noto Naskh Arabic" w:cs="Noto Naskh Arabic" w:eastAsia="Noto Naskh Arabic"/>
          <w:b w:val="0"/>
          <w:color w:val="66756F"/>
          <w:sz w:val="18"/>
          <w:rtl w:val="1"/>
        </w:rPr>
        <w:t>حتى 30 أكتوبر 2026  |  جولة Chromium: 29 أكتوبر  |  متابعة الإشعارات: 30 أكتوبر</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728"/>
        <w:gridCol w:w="8352"/>
      </w:tblGrid>
      <w:tr>
        <w:tc>
          <w:tcPr>
            <w:tcW w:type="dxa" w:w="1728"/>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المجال</w:t>
            </w:r>
          </w:p>
        </w:tc>
        <w:tc>
          <w:tcPr>
            <w:tcW w:type="dxa" w:w="8352"/>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الخلاصة</w:t>
            </w:r>
          </w:p>
        </w:tc>
      </w:tr>
      <w:tr>
        <w:tc>
          <w:tcPr>
            <w:tcW w:type="dxa" w:w="1728"/>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الحالة</w:t>
            </w:r>
          </w:p>
        </w:tc>
        <w:tc>
          <w:tcPr>
            <w:tcW w:type="dxa" w:w="8352"/>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وظائف أساسية منفذة؛ القبول الحي والهاتف والإنتاج لم تكتمل.</w:t>
            </w:r>
          </w:p>
        </w:tc>
      </w:tr>
      <w:tr>
        <w:tc>
          <w:tcPr>
            <w:tcW w:type="dxa" w:w="1728"/>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الفحوص</w:t>
            </w:r>
          </w:p>
        </w:tc>
        <w:tc>
          <w:tcPr>
            <w:tcW w:type="dxa" w:w="8352"/>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52 اختبارًا في التشغيل الافتراضي؛ 53 عند تفعيل MariaDB الاختبارية؛ check ناجح.</w:t>
            </w:r>
          </w:p>
        </w:tc>
      </w:tr>
      <w:tr>
        <w:tc>
          <w:tcPr>
            <w:tcW w:type="dxa" w:w="1728"/>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GitHub</w:t>
            </w:r>
          </w:p>
        </w:tc>
        <w:tc>
          <w:tcPr>
            <w:tcW w:type="dxa" w:w="8352"/>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الكود والتقرير والمتابعة محفوظة على main في المستودع نفسه.</w:t>
            </w:r>
          </w:p>
        </w:tc>
      </w:tr>
      <w:tr>
        <w:tc>
          <w:tcPr>
            <w:tcW w:type="dxa" w:w="1728"/>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النشر</w:t>
            </w:r>
          </w:p>
        </w:tc>
        <w:tc>
          <w:tcPr>
            <w:tcW w:type="dxa" w:w="8352"/>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التطبيق غير منشور؛ OAuth الحي والهاتف الفعلي والبريد/Push غير مهيأة.</w:t>
            </w:r>
          </w:p>
        </w:tc>
      </w:tr>
    </w:tbl>
    <w:p>
      <w:pPr>
        <w:pStyle w:val="Heading1"/>
        <w:spacing w:before="180" w:after="80"/>
        <w:jc w:val="right"/>
        <w:keepNext/>
        <w:bidi w:val="1"/>
      </w:pPr>
      <w:r>
        <w:rPr>
          <w:rFonts w:ascii="Noto Naskh Arabic" w:hAnsi="Noto Naskh Arabic" w:cs="Noto Naskh Arabic" w:eastAsia="Noto Naskh Arabic"/>
          <w:b/>
          <w:color w:val="28564B"/>
          <w:sz w:val="32"/>
          <w:rtl w:val="1"/>
        </w:rPr>
        <w:t>ما أنجز</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الأولى: تسجيل الأسرة والأدوار والدعوات والمهام والمواعيد وسجل الرعاية؛ منع الخادم تأكيد الجرعة قبل الاستحقاق وفق منطقة IANA، مع اختبارات منتصف الليل والتوقيت الصيفي. لم يختبر OAuth الحقيقي.</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الثانية: طلب مساعدة/تبديل بموافقة، غياب دون إعادة إسناد آلية، سجل تدقيق وتسليم زيارة. تنبيهات الجرعات تُحفظ داخل قاعدة البيانات وتُستعاد لسبعة تواريخ محلية بعد عودة الخادم؛ لا بريد أو Push خارجي.</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المرحلة الثالثة: لوحة عبء، احتياجات منزلية، جهات اتصال وتحذير الطوارئ، ملخص أسبوعي داخل التطبيق وتفضيل opt-out. لا اشتراك أو سعر أو دفع؛ وظائف الرعاية والسلامة لا تحجب.</w:t>
      </w:r>
    </w:p>
    <w:p>
      <w:pPr>
        <w:spacing w:after="6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إصلاحا جولة القبول: أغلقت نافذة الدعوة بعد إنشاء الرابط ليظهر زر النسخ؛ ورفع خط الحقول على الهاتف إلى 16px وارتفاعها إلى 44px بعد أن قيس الخط القديم 11px.</w:t>
      </w:r>
    </w:p>
    <w:p>
      <w:pPr>
        <w:pStyle w:val="Heading1"/>
        <w:spacing w:before="160" w:after="80"/>
        <w:jc w:val="right"/>
        <w:keepNext/>
        <w:bidi w:val="1"/>
      </w:pPr>
      <w:r>
        <w:rPr>
          <w:rFonts w:ascii="Noto Naskh Arabic" w:hAnsi="Noto Naskh Arabic" w:cs="Noto Naskh Arabic" w:eastAsia="Noto Naskh Arabic"/>
          <w:b/>
          <w:color w:val="28564B"/>
          <w:sz w:val="32"/>
          <w:rtl w:val="1"/>
        </w:rPr>
        <w:t>نتائج التحقق والقيود</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944"/>
        <w:gridCol w:w="8136"/>
      </w:tblGrid>
      <w:tr>
        <w:tc>
          <w:tcPr>
            <w:tcW w:type="dxa" w:w="1944"/>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الفحص</w:t>
            </w:r>
          </w:p>
        </w:tc>
        <w:tc>
          <w:tcPr>
            <w:tcW w:type="dxa" w:w="8136"/>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النتيجة</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check</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نجاح — TypeScript.</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test</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52 ناجحًا؛ اختبار MySQL الاختياري متخطى في التشغيل الافتراضي.</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test:mysql</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نجاح 1/1 على MariaDB مؤقتة ومعزولة؛ اختبار الاستعادة والتكرار وتعديل الجدول وسحب الموافقة بالتزامن.</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pnpm build</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نجح قبل تغييرات المتابعة؛ لم يُعد البناء ولم يُنشر التطبيق في هذه المتابعة.</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Chromium</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26 تحققا عند 1280×900 و390×844؛ 9 صفحات هاتف بلا overflow، 0 أخطاء JS و0 HTTP 5xx.</w:t>
            </w:r>
          </w:p>
        </w:tc>
      </w:tr>
    </w:tbl>
    <w:p>
      <w:pPr>
        <w:spacing w:before="120" w:after="40" w:line="269" w:lineRule="auto"/>
        <w:jc w:val="right"/>
        <w:keepLines/>
        <w:bidi w:val="1"/>
      </w:pPr>
      <w:r>
        <w:rPr>
          <w:rFonts w:ascii="Noto Naskh Arabic" w:hAnsi="Noto Naskh Arabic" w:cs="Noto Naskh Arabic" w:eastAsia="Noto Naskh Arabic"/>
          <w:b/>
          <w:color w:val="28564B"/>
          <w:sz w:val="22"/>
          <w:rtl w:val="1"/>
        </w:rPr>
        <w:t>ما لم يختبر أو ينجز:</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OAuth الحي وإنشاء/استعادة الحساب عبر المزود لم تُختبر؛ غابت MANUS_PROJECT_ID وMANUS_OAUTH_PORTAL_URL وMANUS_OAUTH_API_URL وMANUS_JWT_SECRET وDATABASE_URL، ولم يكن مشروع WebDev مرفقًا. الاختبارات المحلية ليست دخولًا حقيقيًا.</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لم يتوفر هاتف فعلي؛ اختبار 390×844 كان محاكاة Chromium. أضيف دليل تشغيل اختبار غير إنتاجي وقالب إعداد بلا أسرار، لكن التشغيل ينتظر بيئة OAuth وقاعدة اختبار منفصلتين.</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لا يوجد إرسال بريد أو Push. المصالحة داخل التطبيق تعمل عند بدء الخادم وكل 30 ثانية وتستعيد آخر سبعة تواريخ محلية؛ لا تعمل أثناء التوقف ولا تعيد ما مضى عليه أكثر من سبعة أيام. لم يُنشر التطبيق ولم تُقَس تكلفته الحية.</w:t>
      </w:r>
    </w:p>
    <w:p>
      <w:pPr>
        <w:spacing w:after="40" w:line="264" w:lineRule="auto"/>
        <w:ind w:right="245" w:left="43" w:hanging="173"/>
        <w:jc w:val="right"/>
        <w:keepLines/>
        <w:bidi w:val="1"/>
      </w:pPr>
      <w:r>
        <w:rPr>
          <w:rFonts w:ascii="Noto Naskh Arabic" w:hAnsi="Noto Naskh Arabic" w:cs="Noto Naskh Arabic" w:eastAsia="Noto Naskh Arabic"/>
          <w:b/>
          <w:color w:val="28564B"/>
          <w:sz w:val="21"/>
          <w:rtl w:val="1"/>
        </w:rPr>
        <w:t xml:space="preserve">• </w:t>
      </w:r>
      <w:r>
        <w:rPr>
          <w:rFonts w:ascii="Noto Naskh Arabic" w:hAnsi="Noto Naskh Arabic" w:cs="Noto Naskh Arabic" w:eastAsia="Noto Naskh Arabic"/>
          <w:b w:val="0"/>
          <w:color w:val="26332F"/>
          <w:sz w:val="20"/>
          <w:rtl w:val="1"/>
        </w:rPr>
        <w:t>لا مراجعة قانونية أو شهادة HIPAA. بحث اهتمام الأسر الأمريكية مستبعد بطلب المستخدم؛ لا مقابلات/استبيان أو تسعير أو تحصيل.</w:t>
      </w:r>
    </w:p>
    <w:p>
      <w:pPr>
        <w:pStyle w:val="Heading1"/>
        <w:spacing w:before="140" w:after="60"/>
        <w:jc w:val="right"/>
        <w:keepNext/>
        <w:bidi w:val="1"/>
      </w:pPr>
      <w:r>
        <w:rPr>
          <w:rFonts w:ascii="Noto Naskh Arabic" w:hAnsi="Noto Naskh Arabic" w:cs="Noto Naskh Arabic" w:eastAsia="Noto Naskh Arabic"/>
          <w:b/>
          <w:color w:val="28564B"/>
          <w:sz w:val="30"/>
          <w:rtl w:val="1"/>
        </w:rPr>
        <w:t>بوابات الإكمال قبل الاعتماد أو النشر</w:t>
      </w:r>
    </w:p>
    <w:tbl>
      <w:tblPr>
        <w:tblW w:type="auto" w:w="0"/>
        <w:jc w:val="center"/>
        <w:tblLayout w:type="fixed"/>
        <w:tblLook w:firstColumn="1" w:firstRow="1" w:lastColumn="0" w:lastRow="0" w:noHBand="0" w:noVBand="1" w:val="04A0"/>
        <w:bidiVisual w:val="1"/>
        <w:tblBorders>
          <w:top w:val="single" w:sz="4" w:color="D4E0DB"/>
          <w:left w:val="single" w:sz="4" w:color="D4E0DB"/>
          <w:bottom w:val="single" w:sz="4" w:color="D4E0DB"/>
          <w:right w:val="single" w:sz="4" w:color="D4E0DB"/>
          <w:insideH w:val="single" w:sz="4" w:color="D4E0DB"/>
          <w:insideV w:val="single" w:sz="4" w:color="D4E0DB"/>
        </w:tblBorders>
      </w:tblPr>
      <w:tblGrid>
        <w:gridCol w:w="1944"/>
        <w:gridCol w:w="8136"/>
      </w:tblGrid>
      <w:tr>
        <w:tc>
          <w:tcPr>
            <w:tcW w:type="dxa" w:w="1944"/>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البوابة</w:t>
            </w:r>
          </w:p>
        </w:tc>
        <w:tc>
          <w:tcPr>
            <w:tcW w:type="dxa" w:w="8136"/>
            <w:vAlign w:val="center"/>
            <w:shd w:fill="28564B"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color w:val="FFFFFF"/>
                <w:sz w:val="19"/>
                <w:rtl w:val="1"/>
              </w:rPr>
              <w:t>ما يلزم</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OAuth الحي</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قيم OAuth/DB للتطوير عبر Secret Store، أصل HTTPS مسجل، وحساب اختبار مصرح به؛ لا تُرسل الأسرار في المحادثة.</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الهاتف الفعلي</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اختبار iOS/Android فعلي؛ الدليل المحلي جاهز، لكن المحاكاة لا تغني عن الجهاز.</w:t>
            </w:r>
          </w:p>
        </w:tc>
      </w:tr>
      <w:tr>
        <w:tc>
          <w:tcPr>
            <w:tcW w:type="dxa" w:w="1944"/>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التنبيهات</w:t>
            </w:r>
          </w:p>
        </w:tc>
        <w:tc>
          <w:tcPr>
            <w:tcW w:type="dxa" w:w="8136"/>
            <w:vAlign w:val="center"/>
            <w:shd w:fill="EAF2EF"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الداخلية فقط: تعافٍ لسبعة أيام؛ البريد/Push غير مفعّلين ويتطلبان مزودًا واشتراكًا وتجربة حقيقية.</w:t>
            </w:r>
          </w:p>
        </w:tc>
      </w:tr>
      <w:tr>
        <w:tc>
          <w:tcPr>
            <w:tcW w:type="dxa" w:w="1944"/>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بيئة الإنتاج</w:t>
            </w:r>
          </w:p>
        </w:tc>
        <w:tc>
          <w:tcPr>
            <w:tcW w:type="dxa" w:w="8136"/>
            <w:vAlign w:val="center"/>
            <w:shd w:fill="F5F8F6" w:val="clear"/>
            <w:tcMar>
              <w:top w:w="90" w:type="dxa"/>
              <w:start w:w="100" w:type="dxa"/>
              <w:bottom w:w="90" w:type="dxa"/>
              <w:end w:w="100" w:type="dxa"/>
            </w:tcMar>
          </w:tcPr>
          <w:p>
            <w:pPr>
              <w:spacing w:after="0" w:line="252" w:lineRule="auto"/>
              <w:jc w:val="right"/>
              <w:bidi w:val="1"/>
            </w:pPr>
            <w:r/>
            <w:r>
              <w:rPr>
                <w:rFonts w:ascii="Noto Naskh Arabic" w:hAnsi="Noto Naskh Arabic" w:cs="Noto Naskh Arabic" w:eastAsia="Noto Naskh Arabic"/>
                <w:b w:val="0"/>
                <w:color w:val="26332F"/>
                <w:sz w:val="18"/>
                <w:rtl w:val="1"/>
              </w:rPr>
              <w:t>لم تُهيأ بيئة إنتاج ولم تُطبق migrations عليها؛ لا نشر ضمن هذه المتابعة.</w:t>
            </w:r>
          </w:p>
        </w:tc>
      </w:tr>
    </w:tbl>
    <w:p>
      <w:pPr>
        <w:spacing w:before="80" w:after="40" w:line="269" w:lineRule="auto"/>
        <w:jc w:val="right"/>
        <w:keepLines/>
        <w:bidi w:val="1"/>
      </w:pPr>
      <w:r>
        <w:rPr>
          <w:rFonts w:ascii="Noto Naskh Arabic" w:hAnsi="Noto Naskh Arabic" w:cs="Noto Naskh Arabic" w:eastAsia="Noto Naskh Arabic"/>
          <w:b w:val="0"/>
          <w:color w:val="66756F"/>
          <w:sz w:val="18"/>
          <w:rtl w:val="1"/>
        </w:rPr>
      </w:r>
      <w:r>
        <w:t>GitHub: تُحفظ متابعة الشيفرة والاختبارات والتقرير الحالي على main في المستودع نفسه؛ يُرفق رابط أحدث commit في رسالة التسليم.</w:t>
      </w:r>
    </w:p>
    <w:p>
      <w:pPr>
        <w:spacing w:before="0" w:after="0" w:line="269" w:lineRule="auto"/>
        <w:jc w:val="right"/>
        <w:keepLines/>
        <w:bidi w:val="1"/>
      </w:pPr>
      <w:r>
        <w:rPr>
          <w:rFonts w:ascii="Noto Naskh Arabic" w:hAnsi="Noto Naskh Arabic" w:cs="Noto Naskh Arabic" w:eastAsia="Noto Naskh Arabic"/>
          <w:b w:val="0"/>
          <w:color w:val="66756F"/>
          <w:sz w:val="17"/>
          <w:rtl w:val="1"/>
        </w:rPr>
        <w:t xml:space="preserve">روابط رسمية حول الاستضافة والتكلفة: </w:t>
      </w:r>
      <w:hyperlink r:id="rId11">
        <w:r>
          <w:rPr>
            <w:color w:val="2C6E9B"/>
            <w:u w:val="single"/>
            <w:rFonts w:ascii="Noto Naskh Arabic" w:hAnsi="Noto Naskh Arabic" w:cs="Noto Naskh Arabic" w:eastAsia="Noto Naskh Arabic"/>
            <w:rtl w:val="0"/>
          </w:rPr>
          <w:t>Usage &amp; Pricing</w:t>
        </w:r>
      </w:hyperlink>
      <w:r>
        <w:rPr>
          <w:rFonts w:ascii="Noto Naskh Arabic" w:hAnsi="Noto Naskh Arabic" w:cs="Noto Naskh Arabic" w:eastAsia="Noto Naskh Arabic"/>
          <w:b w:val="0"/>
          <w:color w:val="66756F"/>
          <w:sz w:val="17"/>
          <w:rtl w:val="1"/>
        </w:rPr>
        <w:t xml:space="preserve">  |  </w:t>
      </w:r>
      <w:hyperlink r:id="rId12">
        <w:r>
          <w:rPr>
            <w:color w:val="2C6E9B"/>
            <w:u w:val="single"/>
            <w:rFonts w:ascii="Noto Naskh Arabic" w:hAnsi="Noto Naskh Arabic" w:cs="Noto Naskh Arabic" w:eastAsia="Noto Naskh Arabic"/>
            <w:rtl w:val="0"/>
          </w:rPr>
          <w:t>Publishing</w:t>
        </w:r>
      </w:hyperlink>
    </w:p>
    <w:p>
      <w:r>
        <w:br w:type="page"/>
      </w:r>
    </w:p>
    <w:p>
      <w:pPr>
        <w:pStyle w:val="Heading1"/>
        <w:jc w:val="right"/>
        <w:bidi w:val="1"/>
      </w:pPr>
      <w:r>
        <w:t>متابعة 30 أكتوبر 2026 — نتائج التحقق والبوابات المتبقية</w:t>
      </w:r>
    </w:p>
    <w:p>
      <w:pPr>
        <w:spacing w:after="120" w:line="269" w:lineRule="auto"/>
        <w:jc w:val="right"/>
        <w:bidi w:val="1"/>
      </w:pPr>
      <w:r>
        <w:rPr>
          <w:sz w:val="21"/>
        </w:rPr>
        <w:t>حلّت هذه المتابعة مشكلة الاعتماد على لقطة دواء قديمة في مجدول التنبيهات، وألغت التنبيهات المعلقة في معاملة تعديل الجدول أو سحب الموافقة. يعيد العامل قراءة صف الدواء تحت قفل، ويمنع التداخل داخل العملية، ويستخدم قفل الصف ومفتاح الحدث الفريد لمنع التكرار. يجري الفحص عند بدء الخادم ثم كل 30 ثانية، ويعالج اليوم والتواريخ المحلية الستة السابقة. بعد توقف طويل تُعرض مراحل الجرعة التي تجاوز موعدها معًا عند عودة الخادم؛ لا تُرسل في وقتها الأصلي. الأحداث الأقدم من سبعة أيام لا تُستعاد، ولا يعمل أي عامل أثناء توقف الخادم.</w:t>
      </w:r>
    </w:p>
    <w:p>
      <w:pPr>
        <w:spacing w:after="120" w:line="269" w:lineRule="auto"/>
        <w:jc w:val="right"/>
        <w:bidi w:val="1"/>
      </w:pPr>
      <w:r>
        <w:rPr>
          <w:sz w:val="21"/>
        </w:rPr>
        <w:t>الاختبارات الأخيرة: نجح pnpm check. في التشغيل الافتراضي نجح 52 اختبارًا وبقي اختبار MySQL الاختياري متخطى؛ وعند تشغيل المجموعة كاملة على MariaDB محلية مؤقتة ومعزولة نجحت 53/53، كما نجح pnpm test:mysql بنسبة 1/1. غطت قاعدة الاختبار الموافقة المعطلة افتراضيًا، التنبيه في الموعد وبعد 10 و20 دقيقة، الاستعادة بعد انقطاع محاكى، عدم التكرار، إلغاء تأكيد الجرعة، تغيير الجدول، وسحب الموافقة بالتزامن مع المصالحة. طُبقت migrations 0000–0008 على قاعدة مؤقتة فقط ثم أُغلقت وحُذفت. لم يُعد البناء أو النشر.</w:t>
      </w:r>
    </w:p>
    <w:p>
      <w:pPr>
        <w:spacing w:after="120" w:line="269" w:lineRule="auto"/>
        <w:jc w:val="right"/>
        <w:bidi w:val="1"/>
      </w:pPr>
      <w:r>
        <w:rPr>
          <w:sz w:val="21"/>
        </w:rPr>
        <w:t>OAuth الحي ما زال متوقفًا على إعدادات غير متاحة: MANUS_PROJECT_ID وMANUS_OAUTH_PORTAL_URL وMANUS_OAUTH_API_URL وMANUS_JWT_SECRET وDATABASE_URL، إضافة إلى مشروع WebDev الحالي، وأصل HTTPS تطويري مسجل مع مسار OAuth callback المطابق /api/oauth/callback، وحساب اختبار مصرح به. المطلوب إرفاق المشروع الحالي دون إنشاء مشروع جديد أو وضع هذه القيم في المحادثة؛ تُدار الأسرار عبر Secret Store. خروج التطبيق الحالي يمسح جلسة Care Circle فقط ولا يبطل جلسة Manus لدى المزود.</w:t>
      </w:r>
    </w:p>
    <w:p>
      <w:pPr>
        <w:spacing w:after="120" w:line="269" w:lineRule="auto"/>
        <w:jc w:val="right"/>
        <w:bidi w:val="1"/>
      </w:pPr>
      <w:r>
        <w:rPr>
          <w:sz w:val="21"/>
        </w:rPr>
        <w:t>لا يوجد جهاز iOS أو Android فعلي في الجلسة. أضيف CARE-CIRCLE-PHONE-TESTING.md ودليل إعداد فارغ القيم في .env.example. يتطلب الاختبار الوظيفي قاعدة غير إنتاجية وأصل HTTPS يمكن للهاتف الوصول إليه؛ لم يُفتح رابط أو تُختبر أجهزة فعلية.</w:t>
      </w:r>
    </w:p>
    <w:p>
      <w:pPr>
        <w:spacing w:after="120" w:line="269" w:lineRule="auto"/>
        <w:jc w:val="right"/>
        <w:bidi w:val="1"/>
      </w:pPr>
      <w:r>
        <w:rPr>
          <w:sz w:val="21"/>
        </w:rPr>
        <w:t>خيارات الإرسال: تُظهر صفحة Resend المجانية 3,000 رسالة شهريًا وبحد 100 يوميًا، وتُظهر صفحة Mailtrap المجانية 4,000 شهريًا و150 يوميًا دون بطاقة ائتمان؛ كلاهما يتطلب حسابًا ونطاق إرسال ومفتاح API، وتبقى الحدود والخطط قابلة للتغيير. [3] [4] Web Push ممكن من دون عضوية Apple Developer، لكنه يحتاج Service Worker واشتراكًا ومفاتيح VAPID وتخزينًا آمنًا لعناوين الأجهزة؛ على iPhone/iPad يتطلب تطبيق Home Screen من iOS/iPadOS 16.4 أو أحدث. [1] [2] لم يُضف أي ناقل خارجي أو مدفوع، وبقيت الرسائل داخل التطبيق فقط.</w:t>
      </w:r>
    </w:p>
    <w:p>
      <w:pPr>
        <w:spacing w:after="120" w:line="269" w:lineRule="auto"/>
        <w:jc w:val="right"/>
        <w:bidi w:val="1"/>
      </w:pPr>
      <w:r>
        <w:rPr>
          <w:sz w:val="21"/>
        </w:rPr>
        <w:t>الملفات المساندة لهذه المتابعة: .env.example وCARE-CIRCLE-PHONE-TESTING.md وTODO.md، مع تغييرات في server/care-db.ts وserver/notification-scheduler.ts واختبارات تكامل MySQL. لا يعني اجتياز اختبارات MariaDB المحلية اعتماد OAuth أو الهاتف أو الأداء في الإنتاج.</w:t>
      </w:r>
    </w:p>
    <w:p>
      <w:pPr>
        <w:pStyle w:val="Heading2"/>
        <w:jc w:val="right"/>
        <w:bidi w:val="1"/>
      </w:pPr>
      <w:r>
        <w:t>مراجع خيارات الإرسال</w:t>
      </w:r>
    </w:p>
    <w:p>
      <w:pPr>
        <w:spacing w:after="60"/>
        <w:jc w:val="right"/>
        <w:bidi w:val="1"/>
      </w:pPr>
      <w:hyperlink r:id="rId13">
        <w:r>
          <w:rPr>
            <w:color w:val="0563C1"/>
            <w:u w:val="single"/>
          </w:rPr>
          <w:t>[1] MDN Push API</w:t>
        </w:r>
      </w:hyperlink>
    </w:p>
    <w:p>
      <w:pPr>
        <w:spacing w:after="60"/>
        <w:jc w:val="right"/>
        <w:bidi w:val="1"/>
      </w:pPr>
      <w:hyperlink r:id="rId14">
        <w:r>
          <w:rPr>
            <w:color w:val="0563C1"/>
            <w:u w:val="single"/>
          </w:rPr>
          <w:t>[2] Apple Web Push for Web Apps and Browsers</w:t>
        </w:r>
      </w:hyperlink>
    </w:p>
    <w:p>
      <w:pPr>
        <w:spacing w:after="60"/>
        <w:jc w:val="right"/>
        <w:bidi w:val="1"/>
      </w:pPr>
      <w:hyperlink r:id="rId15">
        <w:r>
          <w:rPr>
            <w:color w:val="0563C1"/>
            <w:u w:val="single"/>
          </w:rPr>
          <w:t>[3] Resend Pricing</w:t>
        </w:r>
      </w:hyperlink>
    </w:p>
    <w:p>
      <w:pPr>
        <w:spacing w:after="60"/>
        <w:jc w:val="right"/>
        <w:bidi w:val="1"/>
      </w:pPr>
      <w:hyperlink r:id="rId16">
        <w:r>
          <w:rPr>
            <w:color w:val="0563C1"/>
            <w:u w:val="single"/>
          </w:rPr>
          <w:t>[4] Mailtrap Pricing</w:t>
        </w:r>
      </w:hyperlink>
    </w:p>
    <w:sectPr w:rsidR="00FC693F" w:rsidRPr="0006063C" w:rsidSect="00034616">
      <w:headerReference w:type="default" r:id="rId9"/>
      <w:footerReference w:type="default" r:id="rId10"/>
      <w:pgSz w:w="11909" w:h="16834"/>
      <w:pgMar w:top="835" w:right="936" w:bottom="835" w:left="936"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bidi w:val="1"/>
    </w:pPr>
    <w:r>
      <w:rPr>
        <w:rFonts w:ascii="Noto Naskh Arabic" w:hAnsi="Noto Naskh Arabic" w:cs="Noto Naskh Arabic" w:eastAsia="Noto Naskh Arabic"/>
        <w:b w:val="0"/>
        <w:color w:val="66756F"/>
        <w:sz w:val="16"/>
        <w:rtl w:val="1"/>
      </w:rPr>
      <w:t xml:space="preserve">Care Circle  |  صفحة </w:t>
    </w:r>
    <w:r>
      <w:rPr>
        <w:rFonts w:ascii="Noto Naskh Arabic" w:hAnsi="Noto Naskh Arabic" w:cs="Noto Naskh Arabic" w:eastAsia="Noto Naskh Arabic"/>
        <w:b w:val="0"/>
        <w:color w:val="66756F"/>
        <w:sz w:val="16"/>
        <w:rtl w:val="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bidi w:val="1"/>
    </w:pPr>
    <w:r>
      <w:rPr>
        <w:rFonts w:ascii="Noto Naskh Arabic" w:hAnsi="Noto Naskh Arabic" w:cs="Noto Naskh Arabic" w:eastAsia="Noto Naskh Arabic"/>
        <w:b/>
        <w:color w:val="28564B"/>
        <w:sz w:val="16"/>
        <w:rtl w:val="1"/>
      </w:rPr>
      <w:t>CARE CIRCLE  |  تقرير المشروع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Noto Naskh Arabic" w:hAnsi="Noto Naskh Arabic" w:cs="Noto Naskh Arabic" w:eastAsia="Noto Naskh Arabic"/>
      <w:color w:val="263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Naskh Arabic" w:hAnsi="Noto Naskh Arabic" w:cs="Noto Naskh Arabic" w:eastAsia="Noto Naskh Arabic"/>
      <w:b/>
      <w:bCs/>
      <w:color w:val="2856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Naskh Arabic" w:hAnsi="Noto Naskh Arabic" w:cs="Noto Naskh Arabic" w:eastAsia="Noto Naskh Arabic"/>
      <w:b/>
      <w:bCs/>
      <w:color w:val="47786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nus.im/docs/website-builder/getting-started/usage-and-pricing" TargetMode="External"/><Relationship Id="rId12" Type="http://schemas.openxmlformats.org/officeDocument/2006/relationships/hyperlink" Target="https://manus.im/docs/website-builder/publishing" TargetMode="External"/><Relationship Id="rId13" Type="http://schemas.openxmlformats.org/officeDocument/2006/relationships/hyperlink" Target="https://developer.mozilla.org/en-US/docs/Web/API/Push_API" TargetMode="External"/><Relationship Id="rId14" Type="http://schemas.openxmlformats.org/officeDocument/2006/relationships/hyperlink" Target="https://developer.apple.com/documentation/usernotifications/sending-web-push-notifications-in-web-apps-and-browsers" TargetMode="External"/><Relationship Id="rId15" Type="http://schemas.openxmlformats.org/officeDocument/2006/relationships/hyperlink" Target="https://resend.com/pricing" TargetMode="External"/><Relationship Id="rId16" Type="http://schemas.openxmlformats.org/officeDocument/2006/relationships/hyperlink" Target="https://mailtrap.io/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