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69" w:lineRule="auto"/>
        <w:jc w:val="center"/>
        <w:keepLines/>
        <w:bidi w:val="1"/>
      </w:pPr>
      <w:r>
        <w:rPr>
          <w:rFonts w:ascii="Noto Naskh Arabic" w:hAnsi="Noto Naskh Arabic" w:cs="Noto Naskh Arabic" w:eastAsia="Noto Naskh Arabic"/>
          <w:b/>
          <w:color w:val="47786C"/>
          <w:sz w:val="22"/>
          <w:rtl w:val="1"/>
        </w:rPr>
        <w:t>CARE CIRCLE</w:t>
      </w:r>
    </w:p>
    <w:p>
      <w:pPr>
        <w:spacing w:before="0" w:after="40" w:line="269" w:lineRule="auto"/>
        <w:jc w:val="center"/>
        <w:keepLines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46"/>
          <w:rtl w:val="1"/>
        </w:rPr>
        <w:t>تقرير المشروع والاختبارات</w:t>
      </w:r>
    </w:p>
    <w:p>
      <w:pPr>
        <w:spacing w:before="0" w:after="140" w:line="269" w:lineRule="auto"/>
        <w:jc w:val="center"/>
        <w:keepLines/>
        <w:bidi w:val="1"/>
      </w:pPr>
      <w:r>
        <w:rPr>
          <w:rFonts w:ascii="Noto Naskh Arabic" w:hAnsi="Noto Naskh Arabic" w:cs="Noto Naskh Arabic" w:eastAsia="Noto Naskh Arabic"/>
          <w:b w:val="0"/>
          <w:color w:val="47786C"/>
          <w:sz w:val="24"/>
          <w:rtl w:val="1"/>
        </w:rPr>
        <w:t>ما أنجز، وما لم يختبر، ونتائج التحقق</w:t>
      </w:r>
    </w:p>
    <w:p>
      <w:pPr>
        <w:spacing w:before="0" w:after="160" w:line="269" w:lineRule="auto"/>
        <w:jc w:val="center"/>
        <w:keepLines/>
        <w:bidi w:val="1"/>
      </w:pPr>
      <w:r>
        <w:rPr>
          <w:rFonts w:ascii="Noto Naskh Arabic" w:hAnsi="Noto Naskh Arabic" w:cs="Noto Naskh Arabic" w:eastAsia="Noto Naskh Arabic"/>
          <w:b w:val="0"/>
          <w:color w:val="66756F"/>
          <w:sz w:val="18"/>
          <w:rtl w:val="1"/>
        </w:rPr>
        <w:t>حتى 30 أكتوبر 2026  |  الاختبارات: 29 أكتوبر 2026  |  mojtabahamed163-ai/Care-Circle — main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4E0DB"/>
          <w:left w:val="single" w:sz="4" w:color="D4E0DB"/>
          <w:bottom w:val="single" w:sz="4" w:color="D4E0DB"/>
          <w:right w:val="single" w:sz="4" w:color="D4E0DB"/>
          <w:insideH w:val="single" w:sz="4" w:color="D4E0DB"/>
          <w:insideV w:val="single" w:sz="4" w:color="D4E0DB"/>
        </w:tblBorders>
      </w:tblPr>
      <w:tblGrid>
        <w:gridCol w:w="1728"/>
        <w:gridCol w:w="8352"/>
      </w:tblGrid>
      <w:tr>
        <w:tc>
          <w:tcPr>
            <w:tcW w:type="dxa" w:w="1728"/>
            <w:vAlign w:val="center"/>
            <w:shd w:fill="28564B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FFFFFF"/>
                <w:sz w:val="19"/>
                <w:rtl w:val="1"/>
              </w:rPr>
              <w:t>المجال</w:t>
            </w:r>
          </w:p>
        </w:tc>
        <w:tc>
          <w:tcPr>
            <w:tcW w:type="dxa" w:w="8352"/>
            <w:vAlign w:val="center"/>
            <w:shd w:fill="28564B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FFFFFF"/>
                <w:sz w:val="19"/>
                <w:rtl w:val="1"/>
              </w:rPr>
              <w:t>الخلاصة</w:t>
            </w:r>
          </w:p>
        </w:tc>
      </w:tr>
      <w:tr>
        <w:tc>
          <w:tcPr>
            <w:tcW w:type="dxa" w:w="1728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الحالة</w:t>
            </w:r>
          </w:p>
        </w:tc>
        <w:tc>
          <w:tcPr>
            <w:tcW w:type="dxa" w:w="8352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وظائف أساسية منفذة؛ لا يعني ذلك اعتمادا أو إطلاقا نهائيا.</w:t>
            </w:r>
          </w:p>
        </w:tc>
      </w:tr>
      <w:tr>
        <w:tc>
          <w:tcPr>
            <w:tcW w:type="dxa" w:w="1728"/>
            <w:vAlign w:val="center"/>
            <w:shd w:fill="F5F8F6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الفحوص</w:t>
            </w:r>
          </w:p>
        </w:tc>
        <w:tc>
          <w:tcPr>
            <w:tcW w:type="dxa" w:w="8352"/>
            <w:vAlign w:val="center"/>
            <w:shd w:fill="F5F8F6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51 اختبارا ناجحا؛ MySQL منفصل 1/1؛ check/build ناجحان.</w:t>
            </w:r>
          </w:p>
        </w:tc>
      </w:tr>
      <w:tr>
        <w:tc>
          <w:tcPr>
            <w:tcW w:type="dxa" w:w="1728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GitHub</w:t>
            </w:r>
          </w:p>
        </w:tc>
        <w:tc>
          <w:tcPr>
            <w:tcW w:type="dxa" w:w="8352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الكود: c016955؛ تحديث التقرير: b32542c؛ main متزامن.</w:t>
            </w:r>
          </w:p>
        </w:tc>
      </w:tr>
      <w:tr>
        <w:tc>
          <w:tcPr>
            <w:tcW w:type="dxa" w:w="1728"/>
            <w:vAlign w:val="center"/>
            <w:shd w:fill="F5F8F6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النشر</w:t>
            </w:r>
          </w:p>
        </w:tc>
        <w:tc>
          <w:tcPr>
            <w:tcW w:type="dxa" w:w="8352"/>
            <w:vAlign w:val="center"/>
            <w:shd w:fill="F5F8F6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التطبيق غير منشور؛ OAuth والبريد/Push الإنتاجي غير مختبرة أو مهيأة.</w:t>
            </w:r>
          </w:p>
        </w:tc>
      </w:tr>
    </w:tbl>
    <w:p>
      <w:pPr>
        <w:pStyle w:val="Heading1"/>
        <w:spacing w:before="180" w:after="80"/>
        <w:jc w:val="right"/>
        <w:keepNext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32"/>
          <w:rtl w:val="1"/>
        </w:rPr>
        <w:t>ما أنجز</w:t>
      </w:r>
    </w:p>
    <w:p>
      <w:pPr>
        <w:spacing w:after="60" w:line="264" w:lineRule="auto"/>
        <w:ind w:right="245" w:left="43" w:hanging="173"/>
        <w:jc w:val="right"/>
        <w:keepLines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21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6332F"/>
          <w:sz w:val="20"/>
          <w:rtl w:val="1"/>
        </w:rPr>
        <w:t>المرحلة الأولى: تسجيل الأسرة والأدوار والدعوات والمهام والمواعيد وسجل الرعاية؛ منع الخادم تأكيد الجرعة قبل الاستحقاق وفق منطقة IANA، مع اختبارات منتصف الليل والتوقيت الصيفي. لم يختبر OAuth الحقيقي.</w:t>
      </w:r>
    </w:p>
    <w:p>
      <w:pPr>
        <w:spacing w:after="60" w:line="264" w:lineRule="auto"/>
        <w:ind w:right="245" w:left="43" w:hanging="173"/>
        <w:jc w:val="right"/>
        <w:keepLines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21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6332F"/>
          <w:sz w:val="20"/>
          <w:rtl w:val="1"/>
        </w:rPr>
        <w:t>المرحلة الثانية: طلب مساعدة/تبديل مع موافقة، غياب دون إعادة إسناد آلية، سجل تدقيق وتسليم زيارة. تنبيهات الجرعات داخل التطبيق best-effort فقط؛ لا بريد أو Push.</w:t>
      </w:r>
    </w:p>
    <w:p>
      <w:pPr>
        <w:spacing w:after="60" w:line="264" w:lineRule="auto"/>
        <w:ind w:right="245" w:left="43" w:hanging="173"/>
        <w:jc w:val="right"/>
        <w:keepLines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21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6332F"/>
          <w:sz w:val="20"/>
          <w:rtl w:val="1"/>
        </w:rPr>
        <w:t>المرحلة الثالثة: لوحة عبء، احتياجات منزلية، جهات اتصال وتحذير الطوارئ، ملخص أسبوعي داخل التطبيق وتفضيل opt-out. لا اشتراك أو سعر أو دفع؛ وظائف الرعاية والسلامة لا تحجب.</w:t>
      </w:r>
    </w:p>
    <w:p>
      <w:pPr>
        <w:spacing w:after="60" w:line="264" w:lineRule="auto"/>
        <w:ind w:right="245" w:left="43" w:hanging="173"/>
        <w:jc w:val="right"/>
        <w:keepLines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21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6332F"/>
          <w:sz w:val="20"/>
          <w:rtl w:val="1"/>
        </w:rPr>
        <w:t>إصلاحا جولة القبول: أغلقت نافذة الدعوة بعد إنشاء الرابط ليظهر زر النسخ؛ ورفع خط الحقول على الهاتف إلى 16px وارتفاعها إلى 44px بعد أن قيس الخط القديم 11px.</w:t>
      </w:r>
    </w:p>
    <w:p>
      <w:pPr>
        <w:pStyle w:val="Heading1"/>
        <w:spacing w:before="160" w:after="80"/>
        <w:jc w:val="right"/>
        <w:keepNext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32"/>
          <w:rtl w:val="1"/>
        </w:rPr>
        <w:t>نتائج التحقق والقيود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4E0DB"/>
          <w:left w:val="single" w:sz="4" w:color="D4E0DB"/>
          <w:bottom w:val="single" w:sz="4" w:color="D4E0DB"/>
          <w:right w:val="single" w:sz="4" w:color="D4E0DB"/>
          <w:insideH w:val="single" w:sz="4" w:color="D4E0DB"/>
          <w:insideV w:val="single" w:sz="4" w:color="D4E0DB"/>
        </w:tblBorders>
      </w:tblPr>
      <w:tblGrid>
        <w:gridCol w:w="1944"/>
        <w:gridCol w:w="8136"/>
      </w:tblGrid>
      <w:tr>
        <w:tc>
          <w:tcPr>
            <w:tcW w:type="dxa" w:w="1944"/>
            <w:vAlign w:val="center"/>
            <w:shd w:fill="28564B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FFFFFF"/>
                <w:sz w:val="19"/>
                <w:rtl w:val="1"/>
              </w:rPr>
              <w:t>الفحص</w:t>
            </w:r>
          </w:p>
        </w:tc>
        <w:tc>
          <w:tcPr>
            <w:tcW w:type="dxa" w:w="8136"/>
            <w:vAlign w:val="center"/>
            <w:shd w:fill="28564B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FFFFFF"/>
                <w:sz w:val="19"/>
                <w:rtl w:val="1"/>
              </w:rPr>
              <w:t>النتيجة</w:t>
            </w:r>
          </w:p>
        </w:tc>
      </w:tr>
      <w:tr>
        <w:tc>
          <w:tcPr>
            <w:tcW w:type="dxa" w:w="1944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pnpm check</w:t>
            </w:r>
          </w:p>
        </w:tc>
        <w:tc>
          <w:tcPr>
            <w:tcW w:type="dxa" w:w="8136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نجاح — TypeScript.</w:t>
            </w:r>
          </w:p>
        </w:tc>
      </w:tr>
      <w:tr>
        <w:tc>
          <w:tcPr>
            <w:tcW w:type="dxa" w:w="1944"/>
            <w:vAlign w:val="center"/>
            <w:shd w:fill="F5F8F6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pnpm test</w:t>
            </w:r>
          </w:p>
        </w:tc>
        <w:tc>
          <w:tcPr>
            <w:tcW w:type="dxa" w:w="8136"/>
            <w:vAlign w:val="center"/>
            <w:shd w:fill="F5F8F6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51 ناجحا؛ اختبار MySQL الاختياري متخطى في هذا التشغيل العام.</w:t>
            </w:r>
          </w:p>
        </w:tc>
      </w:tr>
      <w:tr>
        <w:tc>
          <w:tcPr>
            <w:tcW w:type="dxa" w:w="1944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pnpm test:mysql</w:t>
            </w:r>
          </w:p>
        </w:tc>
        <w:tc>
          <w:tcPr>
            <w:tcW w:type="dxa" w:w="8136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نجاح 1/1 على MariaDB محلية معزولة بعد ترحيلات 0000–0008.</w:t>
            </w:r>
          </w:p>
        </w:tc>
      </w:tr>
      <w:tr>
        <w:tc>
          <w:tcPr>
            <w:tcW w:type="dxa" w:w="1944"/>
            <w:vAlign w:val="center"/>
            <w:shd w:fill="F5F8F6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pnpm build</w:t>
            </w:r>
          </w:p>
        </w:tc>
        <w:tc>
          <w:tcPr>
            <w:tcW w:type="dxa" w:w="8136"/>
            <w:vAlign w:val="center"/>
            <w:shd w:fill="F5F8F6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نجاح؛ بقي تحذيرا Vite غير المانعين: سكربت platform config وحجم bundle &gt;500 kB.</w:t>
            </w:r>
          </w:p>
        </w:tc>
      </w:tr>
      <w:tr>
        <w:tc>
          <w:tcPr>
            <w:tcW w:type="dxa" w:w="1944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Chromium</w:t>
            </w:r>
          </w:p>
        </w:tc>
        <w:tc>
          <w:tcPr>
            <w:tcW w:type="dxa" w:w="8136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26 تحققا عند 1280×900 و390×844؛ 9 صفحات هاتف بلا overflow، 0 أخطاء JS و0 HTTP 5xx.</w:t>
            </w:r>
          </w:p>
        </w:tc>
      </w:tr>
    </w:tbl>
    <w:p>
      <w:pPr>
        <w:spacing w:before="120" w:after="40" w:line="269" w:lineRule="auto"/>
        <w:jc w:val="right"/>
        <w:keepLines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22"/>
          <w:rtl w:val="1"/>
        </w:rPr>
        <w:t>ما لم يختبر أو ينجز:</w:t>
      </w:r>
    </w:p>
    <w:p>
      <w:pPr>
        <w:spacing w:after="40" w:line="264" w:lineRule="auto"/>
        <w:ind w:right="245" w:left="43" w:hanging="173"/>
        <w:jc w:val="right"/>
        <w:keepLines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21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6332F"/>
          <w:sz w:val="20"/>
          <w:rtl w:val="1"/>
        </w:rPr>
        <w:t>OAuth الحي وإنشاء الحساب/استعادته عبر المزود؛ تعذر ذلك لأن MANUS_OAUTH_API_URL غير مضبوط. اختبارات callbacks والجلسات محلية وليست تسجيل دخولا حقيقيا.</w:t>
      </w:r>
    </w:p>
    <w:p>
      <w:pPr>
        <w:spacing w:after="40" w:line="264" w:lineRule="auto"/>
        <w:ind w:right="245" w:left="43" w:hanging="173"/>
        <w:jc w:val="right"/>
        <w:keepLines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21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6332F"/>
          <w:sz w:val="20"/>
          <w:rtl w:val="1"/>
        </w:rPr>
        <w:t>هاتف فعلي؛ اختبار الهاتف كان محاكاة Chromium. استخدمت جولة المتصفح بيانات اصطناعية وقاعدة محلية مؤقتة فقط، وحذفت بعد الاختبار.</w:t>
      </w:r>
    </w:p>
    <w:p>
      <w:pPr>
        <w:spacing w:after="40" w:line="264" w:lineRule="auto"/>
        <w:ind w:right="245" w:left="43" w:hanging="173"/>
        <w:jc w:val="right"/>
        <w:keepLines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21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6332F"/>
          <w:sz w:val="20"/>
          <w:rtl w:val="1"/>
        </w:rPr>
        <w:t>لا مزود بريد أو Push، ولا ضمان تنبيه عند توقف الخادم أو في بيئة متعددة النسخ. لم ينشر التطبيق ولم يقس استهلاكه الفعلي؛ لا ضمان لتكلفة صفر غير محدودة.</w:t>
      </w:r>
    </w:p>
    <w:p>
      <w:pPr>
        <w:spacing w:after="40" w:line="264" w:lineRule="auto"/>
        <w:ind w:right="245" w:left="43" w:hanging="173"/>
        <w:jc w:val="right"/>
        <w:keepLines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21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6332F"/>
          <w:sz w:val="20"/>
          <w:rtl w:val="1"/>
        </w:rPr>
        <w:t>لا مراجعة قانونية أو شهادة HIPAA. بحث اهتمام الأسر الأمريكية مستبعد بطلب المستخدم؛ لا مقابلات/استبيان أو تسعير أو تحصيل.</w:t>
      </w:r>
    </w:p>
    <w:p>
      <w:pPr>
        <w:pStyle w:val="Heading1"/>
        <w:spacing w:before="140" w:after="60"/>
        <w:jc w:val="right"/>
        <w:keepNext/>
        <w:bidi w:val="1"/>
      </w:pPr>
      <w:r>
        <w:rPr>
          <w:rFonts w:ascii="Noto Naskh Arabic" w:hAnsi="Noto Naskh Arabic" w:cs="Noto Naskh Arabic" w:eastAsia="Noto Naskh Arabic"/>
          <w:b/>
          <w:color w:val="28564B"/>
          <w:sz w:val="30"/>
          <w:rtl w:val="1"/>
        </w:rPr>
        <w:t>بوابات الإكمال قبل الاعتماد أو النشر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4E0DB"/>
          <w:left w:val="single" w:sz="4" w:color="D4E0DB"/>
          <w:bottom w:val="single" w:sz="4" w:color="D4E0DB"/>
          <w:right w:val="single" w:sz="4" w:color="D4E0DB"/>
          <w:insideH w:val="single" w:sz="4" w:color="D4E0DB"/>
          <w:insideV w:val="single" w:sz="4" w:color="D4E0DB"/>
        </w:tblBorders>
      </w:tblPr>
      <w:tblGrid>
        <w:gridCol w:w="1944"/>
        <w:gridCol w:w="8136"/>
      </w:tblGrid>
      <w:tr>
        <w:tc>
          <w:tcPr>
            <w:tcW w:type="dxa" w:w="1944"/>
            <w:vAlign w:val="center"/>
            <w:shd w:fill="28564B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FFFFFF"/>
                <w:sz w:val="19"/>
                <w:rtl w:val="1"/>
              </w:rPr>
              <w:t>البوابة</w:t>
            </w:r>
          </w:p>
        </w:tc>
        <w:tc>
          <w:tcPr>
            <w:tcW w:type="dxa" w:w="8136"/>
            <w:vAlign w:val="center"/>
            <w:shd w:fill="28564B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FFFFFF"/>
                <w:sz w:val="19"/>
                <w:rtl w:val="1"/>
              </w:rPr>
              <w:t>ما يلزم</w:t>
            </w:r>
          </w:p>
        </w:tc>
      </w:tr>
      <w:tr>
        <w:tc>
          <w:tcPr>
            <w:tcW w:type="dxa" w:w="1944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OAuth الحي</w:t>
            </w:r>
          </w:p>
        </w:tc>
        <w:tc>
          <w:tcPr>
            <w:tcW w:type="dxa" w:w="8136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تهيئة عنوان وبيانات المزود ثم اختبار تسجيل الدخول والخروج والدعوة واستعادة الحساب بحساب اختبار حقيقي.</w:t>
            </w:r>
          </w:p>
        </w:tc>
      </w:tr>
      <w:tr>
        <w:tc>
          <w:tcPr>
            <w:tcW w:type="dxa" w:w="1944"/>
            <w:vAlign w:val="center"/>
            <w:shd w:fill="F5F8F6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الهاتف الفعلي</w:t>
            </w:r>
          </w:p>
        </w:tc>
        <w:tc>
          <w:tcPr>
            <w:tcW w:type="dxa" w:w="8136"/>
            <w:vAlign w:val="center"/>
            <w:shd w:fill="F5F8F6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تجربة iOS/Android فعلية للتحقق من التخطيط واللمس ووضوح النص؛ محاكاة 390×844 لا تغني عنها.</w:t>
            </w:r>
          </w:p>
        </w:tc>
      </w:tr>
      <w:tr>
        <w:tc>
          <w:tcPr>
            <w:tcW w:type="dxa" w:w="1944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التنبيهات</w:t>
            </w:r>
          </w:p>
        </w:tc>
        <w:tc>
          <w:tcPr>
            <w:tcW w:type="dxa" w:w="8136"/>
            <w:vAlign w:val="center"/>
            <w:shd w:fill="EAF2EF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إذا أريد تسليم موثوق: اختيار مزود بريد/Push وعامل دائم متعدد النسخ، ثم اختبار الموافقة والتكرار والإلغاء وإعادة المحاولة.</w:t>
            </w:r>
          </w:p>
        </w:tc>
      </w:tr>
      <w:tr>
        <w:tc>
          <w:tcPr>
            <w:tcW w:type="dxa" w:w="1944"/>
            <w:vAlign w:val="center"/>
            <w:shd w:fill="F5F8F6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بيئة الإنتاج</w:t>
            </w:r>
          </w:p>
        </w:tc>
        <w:tc>
          <w:tcPr>
            <w:tcW w:type="dxa" w:w="8136"/>
            <w:vAlign w:val="center"/>
            <w:shd w:fill="F5F8F6" w:val="clea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26332F"/>
                <w:sz w:val="18"/>
                <w:rtl w:val="1"/>
              </w:rPr>
              <w:t>تهيئة الأسرار وقاعدة مدارة، تطبيق الترحيلات 0000–0008 على staging مع نسخة احتياطية وفحوص دخان، ثم تحديد حدود التكلفة قبل النشر.</w:t>
            </w:r>
          </w:p>
        </w:tc>
      </w:tr>
    </w:tbl>
    <w:p>
      <w:pPr>
        <w:spacing w:before="80" w:after="40" w:line="269" w:lineRule="auto"/>
        <w:jc w:val="right"/>
        <w:keepLines/>
        <w:bidi w:val="1"/>
      </w:pPr>
      <w:r>
        <w:rPr>
          <w:rFonts w:ascii="Noto Naskh Arabic" w:hAnsi="Noto Naskh Arabic" w:cs="Noto Naskh Arabic" w:eastAsia="Noto Naskh Arabic"/>
          <w:b w:val="0"/>
          <w:color w:val="66756F"/>
          <w:sz w:val="18"/>
          <w:rtl w:val="1"/>
        </w:rPr>
        <w:t>GitHub: main متزامن مع النسخة المحلية عند التحقق. إصلاحات الشيفرة في c016955d855adb0d2522344f0439a0fceed752f5، وسجل التحقق في b32542cfe7c9fbf2a48123cc27b8c3f2947694a9.</w:t>
      </w:r>
    </w:p>
    <w:p>
      <w:pPr>
        <w:spacing w:before="0" w:after="0" w:line="269" w:lineRule="auto"/>
        <w:jc w:val="right"/>
        <w:keepLines/>
        <w:bidi w:val="1"/>
      </w:pPr>
      <w:r>
        <w:rPr>
          <w:rFonts w:ascii="Noto Naskh Arabic" w:hAnsi="Noto Naskh Arabic" w:cs="Noto Naskh Arabic" w:eastAsia="Noto Naskh Arabic"/>
          <w:b w:val="0"/>
          <w:color w:val="66756F"/>
          <w:sz w:val="17"/>
          <w:rtl w:val="1"/>
        </w:rPr>
        <w:t xml:space="preserve">روابط رسمية حول الاستضافة والتكلفة: </w:t>
      </w:r>
      <w:hyperlink r:id="rId11">
        <w:r>
          <w:rPr>
            <w:color w:val="2C6E9B"/>
            <w:u w:val="single"/>
            <w:rFonts w:ascii="Noto Naskh Arabic" w:hAnsi="Noto Naskh Arabic" w:cs="Noto Naskh Arabic" w:eastAsia="Noto Naskh Arabic"/>
            <w:rtl w:val="0"/>
          </w:rPr>
          <w:t>Usage &amp; Pricing</w:t>
        </w:r>
      </w:hyperlink>
      <w:r>
        <w:rPr>
          <w:rFonts w:ascii="Noto Naskh Arabic" w:hAnsi="Noto Naskh Arabic" w:cs="Noto Naskh Arabic" w:eastAsia="Noto Naskh Arabic"/>
          <w:b w:val="0"/>
          <w:color w:val="66756F"/>
          <w:sz w:val="17"/>
          <w:rtl w:val="1"/>
        </w:rPr>
        <w:t xml:space="preserve">  |  </w:t>
      </w:r>
      <w:hyperlink r:id="rId12">
        <w:r>
          <w:rPr>
            <w:color w:val="2C6E9B"/>
            <w:u w:val="single"/>
            <w:rFonts w:ascii="Noto Naskh Arabic" w:hAnsi="Noto Naskh Arabic" w:cs="Noto Naskh Arabic" w:eastAsia="Noto Naskh Arabic"/>
            <w:rtl w:val="0"/>
          </w:rPr>
          <w:t>Publishing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36" w:bottom="835" w:left="936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  <w:bidi w:val="1"/>
    </w:pPr>
    <w:r>
      <w:rPr>
        <w:rFonts w:ascii="Noto Naskh Arabic" w:hAnsi="Noto Naskh Arabic" w:cs="Noto Naskh Arabic" w:eastAsia="Noto Naskh Arabic"/>
        <w:b w:val="0"/>
        <w:color w:val="66756F"/>
        <w:sz w:val="16"/>
        <w:rtl w:val="1"/>
      </w:rPr>
      <w:t xml:space="preserve">Care Circle  |  صفحة </w:t>
    </w:r>
    <w:r>
      <w:rPr>
        <w:rFonts w:ascii="Noto Naskh Arabic" w:hAnsi="Noto Naskh Arabic" w:cs="Noto Naskh Arabic" w:eastAsia="Noto Naskh Arabic"/>
        <w:b w:val="0"/>
        <w:color w:val="66756F"/>
        <w:sz w:val="16"/>
        <w:rtl w:val="0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Noto Naskh Arabic" w:hAnsi="Noto Naskh Arabic" w:cs="Noto Naskh Arabic" w:eastAsia="Noto Naskh Arabic"/>
        <w:b/>
        <w:color w:val="28564B"/>
        <w:sz w:val="16"/>
        <w:rtl w:val="1"/>
      </w:rPr>
      <w:t>CARE CIRCLE  |  تقرير المشروع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Noto Naskh Arabic" w:hAnsi="Noto Naskh Arabic" w:cs="Noto Naskh Arabic" w:eastAsia="Noto Naskh Arabic"/>
      <w:color w:val="2633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Naskh Arabic" w:hAnsi="Noto Naskh Arabic" w:cs="Noto Naskh Arabic" w:eastAsia="Noto Naskh Arabic"/>
      <w:b/>
      <w:bCs/>
      <w:color w:val="2856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Naskh Arabic" w:hAnsi="Noto Naskh Arabic" w:cs="Noto Naskh Arabic" w:eastAsia="Noto Naskh Arabic"/>
      <w:b/>
      <w:bCs/>
      <w:color w:val="4778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anus.im/docs/website-builder/getting-started/usage-and-pricing" TargetMode="External"/><Relationship Id="rId12" Type="http://schemas.openxmlformats.org/officeDocument/2006/relationships/hyperlink" Target="https://manus.im/docs/website-builder/publis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