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0"/>
        <w:jc w:val="center"/>
      </w:pPr>
      <w:r>
        <w:rPr>
          <w:rFonts w:ascii="B Nazanin" w:cs="B Nazanin" w:eastAsia="B Nazanin" w:hAnsi="B Nazanin"/>
          <w:b/>
          <w:bCs/>
          <w:color w:val="1A3A5C"/>
          <w:sz w:val="44"/>
          <w:szCs w:val="44"/>
        </w:rPr>
        <w:t xml:space="preserve">مسئله مسیریابی وسایل نقلیه چندانباره (MDVRP)</w:t>
      </w:r>
    </w:p>
    <w:p>
      <w:pPr>
        <w:bidi/>
        <w:spacing w:after="160" w:before="0"/>
        <w:jc w:val="center"/>
      </w:pPr>
      <w:r>
        <w:rPr>
          <w:rFonts w:ascii="B Nazanin" w:cs="B Nazanin" w:eastAsia="B Nazanin" w:hAnsi="B Nazanin"/>
          <w:color w:val="185FA5"/>
          <w:sz w:val="30"/>
          <w:szCs w:val="30"/>
        </w:rPr>
        <w:t xml:space="preserve">توصیف وردانت، مجموعه داده‌های محک‌زنی، و نتایج</w:t>
      </w:r>
    </w:p>
    <w:p>
      <w:pPr>
        <w:pBdr>
          <w:bottom w:val="single" w:color="185FA5" w:sz="6" w:space="4"/>
        </w:pBdr>
        <w:bidi/>
        <w:spacing w:after="500" w:before="0"/>
        <w:jc w:val="center"/>
      </w:pPr>
      <w:r>
        <w:t xml:space="preserve"> </w:t>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۱. توصیف مسئله مسیریابی وسایل نقلیه چندانباره</w:t>
      </w:r>
    </w:p>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مسئله مسیریابی وسایل نقلیه (Vehicle Routing Problem — VRP) یکی از مهم‌ترین و پرکاربردترین مسائل بهینه‌سازی ترکیبی در حوزه لجستیک و مدیریت زنجیره تأمین به شمار می‌رود. در حالت کلاسیک، هدف یافتن مجموعه‌ای از مسیرهای بهینه برای ناوگانی از وسایل نقلیه است که از یک انبار مرکزی حرکت کرده، مجموعه‌ای از مشتریان را با تقاضاهای مشخص سرویس‌دهی می‌نمایند و به انبار بازمی‌گردند. این مسئله به دلیل پیچیدگی محاسباتی بالا در دسته مسائل NP-Hard قرار می‌گیرد و در مقیاس‌های واقعی نیازمند الگوریتم‌های تقریبی و متاهیوریستیک است.</w:t>
      </w:r>
      <w:r>
        <w:rPr>
          <w:rFonts w:ascii="Tahoma" w:cs="Tahoma" w:eastAsia="Tahoma" w:hAnsi="Tahoma"/>
          <w:color w:val="185FA5"/>
          <w:sz w:val="18"/>
          <w:szCs w:val="18"/>
          <w:vertAlign w:val="superscript"/>
        </w:rPr>
        <w:t xml:space="preserve">[۱،۲]</w:t>
      </w:r>
    </w:p>
    <w:p>
      <w:pPr>
        <w:bidi/>
        <w:spacing w:after="80" w:before="80" w:line="360"/>
        <w:jc w:val="right"/>
      </w:pPr>
      <w:r>
        <w:rPr>
          <w:rFonts w:ascii="B Nazanin" w:cs="B Nazanin" w:eastAsia="B Nazanin" w:hAnsi="B Nazanin"/>
          <w:b w:val="false"/>
          <w:bCs w:val="false"/>
          <w:color w:val="000000"/>
          <w:sz w:val="26"/>
          <w:szCs w:val="26"/>
        </w:rPr>
        <w:t xml:space="preserve">مسئله مسیریابی وسایل نقلیه چندانباره (Multi-Depot Vehicle Routing Problem — MDVRP) وردانت مستقیمی از VRP کلاسیک است که با جایگزینی یک انبار واحد با مجموعه‌ای از </w:t>
      </w:r>
      <w:r>
        <w:rPr>
          <w:rFonts w:ascii="B Nazanin" w:cs="B Nazanin" w:eastAsia="B Nazanin" w:hAnsi="B Nazanin"/>
          <w:b/>
          <w:bCs/>
          <w:color w:val="0C447C"/>
          <w:sz w:val="26"/>
          <w:szCs w:val="26"/>
        </w:rPr>
        <w:t xml:space="preserve">انبارهای متعدد</w:t>
      </w:r>
      <w:r>
        <w:rPr>
          <w:rFonts w:ascii="B Nazanin" w:cs="B Nazanin" w:eastAsia="B Nazanin" w:hAnsi="B Nazanin"/>
          <w:b w:val="false"/>
          <w:bCs w:val="false"/>
          <w:color w:val="000000"/>
          <w:sz w:val="26"/>
          <w:szCs w:val="26"/>
        </w:rPr>
        <w:t xml:space="preserve">، واقعیت‌پذیری بیشتری برای محیط‌های توزیعی پیچیده فراهم می‌آورد. در بسیاری از موقعیت‌های دنیای واقعی — نظیر شبکه‌های توزیع خرده‌فروشی، سرویس‌های پستی، و ناوگان‌های شهری — وسایل نقلیه از چندین مرکز عملیاتی فعالیت می‌کنند. این واقعیت MDVRP را از دید کاربردی بسیار ارزشمندتر از VRP تک‌انباره می‌سازد، هرچند که پیچیدگی محاسباتی آن نیز به همان نسبت افزایش می‌یابد.</w:t>
      </w:r>
      <w:r>
        <w:rPr>
          <w:rFonts w:ascii="Tahoma" w:cs="Tahoma" w:eastAsia="Tahoma" w:hAnsi="Tahoma"/>
          <w:color w:val="185FA5"/>
          <w:sz w:val="18"/>
          <w:szCs w:val="18"/>
          <w:vertAlign w:val="superscript"/>
        </w:rPr>
        <w:t xml:space="preserve">[۳،۴]</w:t>
      </w:r>
    </w:p>
    <w:p>
      <w:pPr>
        <w:bidi/>
        <w:spacing w:after="80" w:before="80" w:line="360"/>
        <w:jc w:val="right"/>
      </w:pPr>
      <w:r>
        <w:rPr>
          <w:rFonts w:ascii="B Nazanin" w:cs="B Nazanin" w:eastAsia="B Nazanin" w:hAnsi="B Nazanin"/>
          <w:b w:val="false"/>
          <w:bCs w:val="false"/>
          <w:color w:val="000000"/>
          <w:sz w:val="26"/>
          <w:szCs w:val="26"/>
        </w:rPr>
        <w:t xml:space="preserve">طبقه‌بندی جامع وردانت‌های VRP و ویژگی‌های هر یک در بخش مجزایی از این گزارش ارائه شده است. در این بخش، تمرکز بر توصیف دقیق وردانت MDVRP پیاده‌سازی‌شده، مشخصات فنی آن، مجموعه داده‌های محک‌زنی به‌کاررفته، و تحلیل نتایج به‌دست‌آمده است.</w:t>
      </w:r>
    </w:p>
    <w:p>
      <w:pPr>
        <w:pStyle w:val="Heading2"/>
        <w:bidi/>
        <w:spacing w:after="100" w:before="280"/>
        <w:jc w:val="right"/>
      </w:pPr>
      <w:r>
        <w:rPr>
          <w:rFonts w:ascii="B Nazanin" w:cs="B Nazanin" w:eastAsia="B Nazanin" w:hAnsi="B Nazanin"/>
          <w:b/>
          <w:bCs/>
          <w:color w:val="185FA5"/>
          <w:sz w:val="30"/>
          <w:szCs w:val="30"/>
        </w:rPr>
        <w:t xml:space="preserve">۱.۱. فرمول‌بندی ریاضی</w:t>
      </w:r>
    </w:p>
    <w:p>
      <w:pPr>
        <w:bidi/>
        <w:spacing w:after="80" w:before="80" w:line="360"/>
        <w:jc w:val="right"/>
      </w:pPr>
      <w:r>
        <w:rPr>
          <w:rFonts w:ascii="B Nazanin" w:cs="B Nazanin" w:eastAsia="B Nazanin" w:hAnsi="B Nazanin"/>
          <w:b w:val="false"/>
          <w:bCs w:val="false"/>
          <w:color w:val="000000"/>
          <w:sz w:val="26"/>
          <w:szCs w:val="26"/>
        </w:rPr>
        <w:t xml:space="preserve">بر اساس فرمول‌بندی استاندارد ارائه‌شده توسط کوردو و همکاران</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MDVRP را می‌توان روی یک گراف کامل </w:t>
      </w:r>
      <w:r>
        <w:rPr>
          <w:rFonts w:ascii="B Nazanin" w:cs="B Nazanin" w:eastAsia="B Nazanin" w:hAnsi="B Nazanin"/>
          <w:i/>
          <w:iCs/>
          <w:sz w:val="26"/>
          <w:szCs w:val="26"/>
        </w:rPr>
        <w:t xml:space="preserve">G = (V, E)</w:t>
      </w:r>
      <w:r>
        <w:rPr>
          <w:rFonts w:ascii="B Nazanin" w:cs="B Nazanin" w:eastAsia="B Nazanin" w:hAnsi="B Nazanin"/>
          <w:b w:val="false"/>
          <w:bCs w:val="false"/>
          <w:color w:val="000000"/>
          <w:sz w:val="26"/>
          <w:szCs w:val="26"/>
        </w:rPr>
        <w:t xml:space="preserve"> تعریف کرد. در این گراف، </w:t>
      </w:r>
      <w:r>
        <w:rPr>
          <w:rFonts w:ascii="B Nazanin" w:cs="B Nazanin" w:eastAsia="B Nazanin" w:hAnsi="B Nazanin"/>
          <w:i/>
          <w:iCs/>
          <w:sz w:val="26"/>
          <w:szCs w:val="26"/>
        </w:rPr>
        <w:t xml:space="preserve">V = {v₁, …, vₙ, d₁, …, dₜ}</w:t>
      </w:r>
      <w:r>
        <w:rPr>
          <w:rFonts w:ascii="B Nazanin" w:cs="B Nazanin" w:eastAsia="B Nazanin" w:hAnsi="B Nazanin"/>
          <w:b w:val="false"/>
          <w:bCs w:val="false"/>
          <w:color w:val="000000"/>
          <w:sz w:val="26"/>
          <w:szCs w:val="26"/>
        </w:rPr>
        <w:t xml:space="preserve"> مجموعه گره‌ها شامل n مشتری و t انبار است. ماتریس هزینه </w:t>
      </w:r>
      <w:r>
        <w:rPr>
          <w:rFonts w:ascii="B Nazanin" w:cs="B Nazanin" w:eastAsia="B Nazanin" w:hAnsi="B Nazanin"/>
          <w:i/>
          <w:iCs/>
          <w:sz w:val="26"/>
          <w:szCs w:val="26"/>
        </w:rPr>
        <w:t xml:space="preserve">D = {dᵢⱼ}</w:t>
      </w:r>
      <w:r>
        <w:rPr>
          <w:rFonts w:ascii="B Nazanin" w:cs="B Nazanin" w:eastAsia="B Nazanin" w:hAnsi="B Nazanin"/>
          <w:b w:val="false"/>
          <w:bCs w:val="false"/>
          <w:color w:val="000000"/>
          <w:sz w:val="26"/>
          <w:szCs w:val="26"/>
        </w:rPr>
        <w:t xml:space="preserve"> بر اساس فاصله اقلیدسی تعریف می‌شود. هر مشتری </w:t>
      </w:r>
      <w:r>
        <w:rPr>
          <w:rFonts w:ascii="B Nazanin" w:cs="B Nazanin" w:eastAsia="B Nazanin" w:hAnsi="B Nazanin"/>
          <w:i/>
          <w:iCs/>
          <w:sz w:val="26"/>
          <w:szCs w:val="26"/>
        </w:rPr>
        <w:t xml:space="preserve">i</w:t>
      </w:r>
      <w:r>
        <w:rPr>
          <w:rFonts w:ascii="B Nazanin" w:cs="B Nazanin" w:eastAsia="B Nazanin" w:hAnsi="B Nazanin"/>
          <w:b w:val="false"/>
          <w:bCs w:val="false"/>
          <w:color w:val="000000"/>
          <w:sz w:val="26"/>
          <w:szCs w:val="26"/>
        </w:rPr>
        <w:t xml:space="preserve"> دارای تقاضای </w:t>
      </w:r>
      <w:r>
        <w:rPr>
          <w:rFonts w:ascii="B Nazanin" w:cs="B Nazanin" w:eastAsia="B Nazanin" w:hAnsi="B Nazanin"/>
          <w:i/>
          <w:iCs/>
          <w:sz w:val="26"/>
          <w:szCs w:val="26"/>
        </w:rPr>
        <w:t xml:space="preserve">qᵢ</w:t>
      </w:r>
      <w:r>
        <w:rPr>
          <w:rFonts w:ascii="B Nazanin" w:cs="B Nazanin" w:eastAsia="B Nazanin" w:hAnsi="B Nazanin"/>
          <w:b w:val="false"/>
          <w:bCs w:val="false"/>
          <w:color w:val="000000"/>
          <w:sz w:val="26"/>
          <w:szCs w:val="26"/>
        </w:rPr>
        <w:t xml:space="preserve"> است. تابع هدف کمینه‌سازی مجموع مسافت کل تمام مسیرها است:</w:t>
      </w:r>
    </w:p>
    <w:p>
      <w:pPr>
        <w:bidi/>
        <w:spacing w:after="120" w:before="120" w:line="360"/>
        <w:jc w:val="center"/>
      </w:pPr>
      <w:r>
        <w:rPr>
          <w:rFonts w:ascii="Tahoma" w:cs="Tahoma" w:eastAsia="Tahoma" w:hAnsi="Tahoma"/>
          <w:b/>
          <w:bCs/>
          <w:color w:val="0C447C"/>
          <w:sz w:val="28"/>
          <w:szCs w:val="28"/>
        </w:rPr>
        <w:t xml:space="preserve">min Z = Σₖ Σᵢ Σⱼ cᵢⱼ · xᵢⱼᵏ</w:t>
      </w:r>
    </w:p>
    <w:p>
      <w:pPr>
        <w:bidi/>
        <w:spacing w:after="80" w:before="80" w:line="360"/>
        <w:jc w:val="right"/>
      </w:pPr>
      <w:r>
        <w:rPr>
          <w:rFonts w:ascii="B Nazanin" w:cs="B Nazanin" w:eastAsia="B Nazanin" w:hAnsi="B Nazanin"/>
          <w:b w:val="false"/>
          <w:bCs w:val="false"/>
          <w:color w:val="000000"/>
          <w:sz w:val="26"/>
          <w:szCs w:val="26"/>
        </w:rPr>
        <w:t xml:space="preserve">به گونه‌ای که قیود زیر برقرار باشند: (الف) هر مشتری دقیقاً یک بار توسط یک وسیله نقلیه بازدید شود؛ (ب) هر مسیر از یک انبار آغاز و به همان انبار ختم شود؛ (ج) مجموع تقاضای مشتریان هر مسیر از ظرفیت وسیله نقلیه Q تجاوز نکند:</w:t>
      </w:r>
    </w:p>
    <w:p>
      <w:pPr>
        <w:bidi/>
        <w:spacing w:after="100" w:before="100" w:line="340"/>
        <w:jc w:val="center"/>
      </w:pPr>
      <w:r>
        <w:rPr>
          <w:rFonts w:ascii="Tahoma" w:cs="Tahoma" w:eastAsia="Tahoma" w:hAnsi="Tahoma"/>
          <w:b/>
          <w:bCs/>
          <w:color w:val="0C447C"/>
          <w:sz w:val="28"/>
          <w:szCs w:val="28"/>
        </w:rPr>
        <w:t xml:space="preserve">Σᵢ∈Rₖ qᵢ ≤ Q    ∀k</w:t>
      </w:r>
    </w:p>
    <w:p>
      <w:pPr>
        <w:bidi/>
        <w:spacing w:after="80" w:before="80" w:line="360"/>
        <w:jc w:val="right"/>
      </w:pPr>
      <w:r>
        <w:rPr>
          <w:rFonts w:ascii="B Nazanin" w:cs="B Nazanin" w:eastAsia="B Nazanin" w:hAnsi="B Nazanin"/>
          <w:b w:val="false"/>
          <w:bCs w:val="false"/>
          <w:color w:val="000000"/>
          <w:sz w:val="26"/>
          <w:szCs w:val="26"/>
        </w:rPr>
        <w:t xml:space="preserve">کوردو و همکاران</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نشان دادند که MDVRP را می‌توان به سه مرحله تصمیم‌گیری تجزیه کرد: (۱) </w:t>
      </w:r>
      <w:r>
        <w:rPr>
          <w:rFonts w:ascii="B Nazanin" w:cs="B Nazanin" w:eastAsia="B Nazanin" w:hAnsi="B Nazanin"/>
          <w:b/>
          <w:bCs/>
          <w:color w:val="0C447C"/>
          <w:sz w:val="26"/>
          <w:szCs w:val="26"/>
        </w:rPr>
        <w:t xml:space="preserve">خوشه‌بندی</w:t>
      </w:r>
      <w:r>
        <w:rPr>
          <w:rFonts w:ascii="B Nazanin" w:cs="B Nazanin" w:eastAsia="B Nazanin" w:hAnsi="B Nazanin"/>
          <w:b w:val="false"/>
          <w:bCs w:val="false"/>
          <w:color w:val="000000"/>
          <w:sz w:val="26"/>
          <w:szCs w:val="26"/>
        </w:rPr>
        <w:t xml:space="preserve"> — تخصیص مشتریان به انبارها بر اساس فاصله؛ (۲) </w:t>
      </w:r>
      <w:r>
        <w:rPr>
          <w:rFonts w:ascii="B Nazanin" w:cs="B Nazanin" w:eastAsia="B Nazanin" w:hAnsi="B Nazanin"/>
          <w:b/>
          <w:bCs/>
          <w:color w:val="0C447C"/>
          <w:sz w:val="26"/>
          <w:szCs w:val="26"/>
        </w:rPr>
        <w:t xml:space="preserve">مسیریابی</w:t>
      </w:r>
      <w:r>
        <w:rPr>
          <w:rFonts w:ascii="B Nazanin" w:cs="B Nazanin" w:eastAsia="B Nazanin" w:hAnsi="B Nazanin"/>
          <w:b w:val="false"/>
          <w:bCs w:val="false"/>
          <w:color w:val="000000"/>
          <w:sz w:val="26"/>
          <w:szCs w:val="26"/>
        </w:rPr>
        <w:t xml:space="preserve"> — ساخت مسیرهای بهینه برای هر انبار با رعایت قید ظرفیت؛ (۳) </w:t>
      </w:r>
      <w:r>
        <w:rPr>
          <w:rFonts w:ascii="B Nazanin" w:cs="B Nazanin" w:eastAsia="B Nazanin" w:hAnsi="B Nazanin"/>
          <w:b/>
          <w:bCs/>
          <w:color w:val="0C447C"/>
          <w:sz w:val="26"/>
          <w:szCs w:val="26"/>
        </w:rPr>
        <w:t xml:space="preserve">زمان‌بندی</w:t>
      </w:r>
      <w:r>
        <w:rPr>
          <w:rFonts w:ascii="B Nazanin" w:cs="B Nazanin" w:eastAsia="B Nazanin" w:hAnsi="B Nazanin"/>
          <w:b w:val="false"/>
          <w:bCs w:val="false"/>
          <w:color w:val="000000"/>
          <w:sz w:val="26"/>
          <w:szCs w:val="26"/>
        </w:rPr>
        <w:t xml:space="preserve"> — تعیین ترتیب بازدید مشتریان در هر مسیر. این تجزیه مفهومی، پایه اکثر الگوریتم‌های ارائه‌شده برای MDVRP است.</w:t>
      </w:r>
    </w:p>
    <w:p>
      <w:pPr>
        <w:pStyle w:val="Heading2"/>
        <w:bidi/>
        <w:spacing w:after="100" w:before="280"/>
        <w:jc w:val="right"/>
      </w:pPr>
      <w:r>
        <w:rPr>
          <w:rFonts w:ascii="B Nazanin" w:cs="B Nazanin" w:eastAsia="B Nazanin" w:hAnsi="B Nazanin"/>
          <w:b/>
          <w:bCs/>
          <w:color w:val="185FA5"/>
          <w:sz w:val="30"/>
          <w:szCs w:val="30"/>
        </w:rPr>
        <w:t xml:space="preserve">۱.۲. پیچیدگی محاسباتی و متاهیوریستیک‌ها</w:t>
      </w:r>
    </w:p>
    <w:p>
      <w:pPr>
        <w:bidi/>
        <w:spacing w:after="80" w:before="80" w:line="360"/>
        <w:jc w:val="right"/>
      </w:pPr>
      <w:r>
        <w:rPr>
          <w:rFonts w:ascii="B Nazanin" w:cs="B Nazanin" w:eastAsia="B Nazanin" w:hAnsi="B Nazanin"/>
          <w:b w:val="false"/>
          <w:bCs w:val="false"/>
          <w:color w:val="000000"/>
          <w:sz w:val="26"/>
          <w:szCs w:val="26"/>
        </w:rPr>
        <w:t xml:space="preserve">MDVRP مانند VRP کلاسیک، یک مسئله NP-Hard است.</w:t>
      </w:r>
      <w:r>
        <w:rPr>
          <w:rFonts w:ascii="Tahoma" w:cs="Tahoma" w:eastAsia="Tahoma" w:hAnsi="Tahoma"/>
          <w:color w:val="185FA5"/>
          <w:sz w:val="18"/>
          <w:szCs w:val="18"/>
          <w:vertAlign w:val="superscript"/>
        </w:rPr>
        <w:t xml:space="preserve">[۶]</w:t>
      </w:r>
      <w:r>
        <w:rPr>
          <w:rFonts w:ascii="B Nazanin" w:cs="B Nazanin" w:eastAsia="B Nazanin" w:hAnsi="B Nazanin"/>
          <w:b w:val="false"/>
          <w:bCs w:val="false"/>
          <w:color w:val="000000"/>
          <w:sz w:val="26"/>
          <w:szCs w:val="26"/>
        </w:rPr>
        <w:t xml:space="preserve"> روش‌های دقیق مانند برنامه‌ریزی صحیح، تولید ستون و شاخه‌وکران تنها برای نمونه‌های کوچک تا متوسط کاربردپذیرند.</w:t>
      </w:r>
      <w:r>
        <w:rPr>
          <w:rFonts w:ascii="Tahoma" w:cs="Tahoma" w:eastAsia="Tahoma" w:hAnsi="Tahoma"/>
          <w:color w:val="185FA5"/>
          <w:sz w:val="18"/>
          <w:szCs w:val="18"/>
          <w:vertAlign w:val="superscript"/>
        </w:rPr>
        <w:t xml:space="preserve">[۷]</w:t>
      </w:r>
      <w:r>
        <w:rPr>
          <w:rFonts w:ascii="B Nazanin" w:cs="B Nazanin" w:eastAsia="B Nazanin" w:hAnsi="B Nazanin"/>
          <w:b w:val="false"/>
          <w:bCs w:val="false"/>
          <w:color w:val="000000"/>
          <w:sz w:val="26"/>
          <w:szCs w:val="26"/>
        </w:rPr>
        <w:t xml:space="preserve"> پیسینگر و روپکه</w:t>
      </w:r>
      <w:r>
        <w:rPr>
          <w:rFonts w:ascii="Tahoma" w:cs="Tahoma" w:eastAsia="Tahoma" w:hAnsi="Tahoma"/>
          <w:color w:val="185FA5"/>
          <w:sz w:val="18"/>
          <w:szCs w:val="18"/>
          <w:vertAlign w:val="superscript"/>
        </w:rPr>
        <w:t xml:space="preserve">[۸]</w:t>
      </w:r>
      <w:r>
        <w:rPr>
          <w:rFonts w:ascii="B Nazanin" w:cs="B Nazanin" w:eastAsia="B Nazanin" w:hAnsi="B Nazanin"/>
          <w:b w:val="false"/>
          <w:bCs w:val="false"/>
          <w:color w:val="000000"/>
          <w:sz w:val="26"/>
          <w:szCs w:val="26"/>
        </w:rPr>
        <w:t xml:space="preserve"> یک هیوریستیک یکپارچه مبتنی بر ALNS پیشنهاد دادند. ویدال و همکاران</w:t>
      </w:r>
      <w:r>
        <w:rPr>
          <w:rFonts w:ascii="Tahoma" w:cs="Tahoma" w:eastAsia="Tahoma" w:hAnsi="Tahoma"/>
          <w:color w:val="185FA5"/>
          <w:sz w:val="18"/>
          <w:szCs w:val="18"/>
          <w:vertAlign w:val="superscript"/>
        </w:rPr>
        <w:t xml:space="preserve">[۹]</w:t>
      </w:r>
      <w:r>
        <w:rPr>
          <w:rFonts w:ascii="B Nazanin" w:cs="B Nazanin" w:eastAsia="B Nazanin" w:hAnsi="B Nazanin"/>
          <w:b w:val="false"/>
          <w:bCs w:val="false"/>
          <w:color w:val="000000"/>
          <w:sz w:val="26"/>
          <w:szCs w:val="26"/>
        </w:rPr>
        <w:t xml:space="preserve"> یک الگوریتم ژنتیک ترکیبی طراحی کردند که نتایجی در سطح بهترین جواب‌های شناخته‌شده به دست آوردند. ازگوو و همکاران</w:t>
      </w:r>
      <w:r>
        <w:rPr>
          <w:rFonts w:ascii="Tahoma" w:cs="Tahoma" w:eastAsia="Tahoma" w:hAnsi="Tahoma"/>
          <w:color w:val="185FA5"/>
          <w:sz w:val="18"/>
          <w:szCs w:val="18"/>
          <w:vertAlign w:val="superscript"/>
        </w:rPr>
        <w:t xml:space="preserve">[۱۰]</w:t>
      </w:r>
      <w:r>
        <w:rPr>
          <w:rFonts w:ascii="B Nazanin" w:cs="B Nazanin" w:eastAsia="B Nazanin" w:hAnsi="B Nazanin"/>
          <w:b w:val="false"/>
          <w:bCs w:val="false"/>
          <w:color w:val="000000"/>
          <w:sz w:val="26"/>
          <w:szCs w:val="26"/>
        </w:rPr>
        <w:t xml:space="preserve"> الگوریتم قطرات آب هوشمند (IWD) را با آنیل‌کاری شبیه‌سازی‌شده ترکیب کردند و روی همان ۳۳ نمونه استاندارد کوردو نتایج رقابت‌پذیری گزارش کردند.</w:t>
      </w:r>
    </w:p>
    <w:p>
      <w:pPr>
        <w:pStyle w:val="Heading2"/>
        <w:bidi/>
        <w:spacing w:after="100" w:before="280"/>
        <w:jc w:val="right"/>
      </w:pPr>
      <w:r>
        <w:rPr>
          <w:rFonts w:ascii="B Nazanin" w:cs="B Nazanin" w:eastAsia="B Nazanin" w:hAnsi="B Nazanin"/>
          <w:b/>
          <w:bCs/>
          <w:color w:val="185FA5"/>
          <w:sz w:val="30"/>
          <w:szCs w:val="30"/>
        </w:rPr>
        <w:t xml:space="preserve">۱.۳. ویژگی‌های وردانت پیاده‌سازی‌شده</w:t>
      </w:r>
    </w:p>
    <w:p>
      <w:pPr>
        <w:bidi/>
        <w:spacing w:after="80" w:before="80" w:line="360"/>
        <w:jc w:val="right"/>
      </w:pPr>
      <w:r>
        <w:rPr>
          <w:rFonts w:ascii="B Nazanin" w:cs="B Nazanin" w:eastAsia="B Nazanin" w:hAnsi="B Nazanin"/>
          <w:b w:val="false"/>
          <w:bCs w:val="false"/>
          <w:color w:val="000000"/>
          <w:sz w:val="26"/>
          <w:szCs w:val="26"/>
        </w:rPr>
        <w:t xml:space="preserve">وردانت پیاده‌سازی‌شده در این پژوهش، </w:t>
      </w:r>
      <w:r>
        <w:rPr>
          <w:rFonts w:ascii="B Nazanin" w:cs="B Nazanin" w:eastAsia="B Nazanin" w:hAnsi="B Nazanin"/>
          <w:b/>
          <w:bCs/>
          <w:color w:val="0C447C"/>
          <w:sz w:val="26"/>
          <w:szCs w:val="26"/>
        </w:rPr>
        <w:t xml:space="preserve">MDVRP کلاسیک با قید ظرفیت</w:t>
      </w:r>
      <w:r>
        <w:rPr>
          <w:rFonts w:ascii="B Nazanin" w:cs="B Nazanin" w:eastAsia="B Nazanin" w:hAnsi="B Nazanin"/>
          <w:b w:val="false"/>
          <w:bCs w:val="false"/>
          <w:color w:val="000000"/>
          <w:sz w:val="26"/>
          <w:szCs w:val="26"/>
        </w:rPr>
        <w:t xml:space="preserve"> است که منطبق با تعریف استاندارد کوردو و همکاران</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و نمونه‌های نوع ۲ مجموعه داده آن‌هاست. مشخصات کلیدی این وردانت به شرح زیر است:</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ناوگان همگن: </w:t>
      </w:r>
      <w:r>
        <w:rPr>
          <w:rFonts w:ascii="B Nazanin" w:cs="B Nazanin" w:eastAsia="B Nazanin" w:hAnsi="B Nazanin"/>
          <w:b w:val="false"/>
          <w:bCs w:val="false"/>
          <w:color w:val="000000"/>
          <w:sz w:val="26"/>
          <w:szCs w:val="26"/>
        </w:rPr>
        <w:t xml:space="preserve">تمام وسایل نقلیه در تمام انبارها ظرفیت یکسان Q دارند. این فرض سادگی مدل را حفظ کرده و با تعریف اصلی نمونه‌های کوردو مطابقت دارد.</w:t>
      </w:r>
      <w:r>
        <w:rPr>
          <w:rFonts w:ascii="Tahoma" w:cs="Tahoma" w:eastAsia="Tahoma" w:hAnsi="Tahoma"/>
          <w:color w:val="185FA5"/>
          <w:sz w:val="18"/>
          <w:szCs w:val="18"/>
          <w:vertAlign w:val="superscript"/>
        </w:rPr>
        <w:t xml:space="preserve">[۵]</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تخصیص آزاد مشتری به انبار: </w:t>
      </w:r>
      <w:r>
        <w:rPr>
          <w:rFonts w:ascii="B Nazanin" w:cs="B Nazanin" w:eastAsia="B Nazanin" w:hAnsi="B Nazanin"/>
          <w:b w:val="false"/>
          <w:bCs w:val="false"/>
          <w:color w:val="000000"/>
          <w:sz w:val="26"/>
          <w:szCs w:val="26"/>
        </w:rPr>
        <w:t xml:space="preserve">هیچ پیش‌تخصیصی از مشتریان به انبارها انجام نمی‌شود. هر حل‌کننده آزادانه تصمیم می‌گیرد کدام انبار هر مسیر را پوشش دهد. این ویژگی با تعریف کلاسیک MDVRP مطابقت دارد.</w:t>
      </w:r>
      <w:r>
        <w:rPr>
          <w:rFonts w:ascii="Tahoma" w:cs="Tahoma" w:eastAsia="Tahoma" w:hAnsi="Tahoma"/>
          <w:color w:val="185FA5"/>
          <w:sz w:val="18"/>
          <w:szCs w:val="18"/>
          <w:vertAlign w:val="superscript"/>
        </w:rPr>
        <w:t xml:space="preserve">[۵،۹]</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بدون پنجره زمانی: </w:t>
      </w:r>
      <w:r>
        <w:rPr>
          <w:rFonts w:ascii="B Nazanin" w:cs="B Nazanin" w:eastAsia="B Nazanin" w:hAnsi="B Nazanin"/>
          <w:b w:val="false"/>
          <w:bCs w:val="false"/>
          <w:color w:val="000000"/>
          <w:sz w:val="26"/>
          <w:szCs w:val="26"/>
        </w:rPr>
        <w:t xml:space="preserve">محدودیت‌های زمانی برای سرویس‌دهی به مشتریان در نظر گرفته نشده است. پارامتر مدت مسیر (D) در فایل‌های نمونه موجود است اما نادیده گرفته می‌شود.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تعداد وسایل نقلیه آزاد: </w:t>
      </w:r>
      <w:r>
        <w:rPr>
          <w:rFonts w:ascii="B Nazanin" w:cs="B Nazanin" w:eastAsia="B Nazanin" w:hAnsi="B Nazanin"/>
          <w:b w:val="false"/>
          <w:bCs w:val="false"/>
          <w:color w:val="000000"/>
          <w:sz w:val="26"/>
          <w:szCs w:val="26"/>
        </w:rPr>
        <w:t xml:space="preserve">تعداد مسیرهای استفاده‌شده بخشی از جواب بهینه است و از پیش ثابت نیست.</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بازگشت به انبار مبدأ: </w:t>
      </w:r>
      <w:r>
        <w:rPr>
          <w:rFonts w:ascii="B Nazanin" w:cs="B Nazanin" w:eastAsia="B Nazanin" w:hAnsi="B Nazanin"/>
          <w:b w:val="false"/>
          <w:bCs w:val="false"/>
          <w:color w:val="000000"/>
          <w:sz w:val="26"/>
          <w:szCs w:val="26"/>
        </w:rPr>
        <w:t xml:space="preserve">هر مسیر از همان انباری آغاز و به همان انبار پایان می‌یابد. مسیرهای باز پشتیبانی نمی‌شوند.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ماتریس فاصله اقلیدسی گرد شده (EUC_2D): </w:t>
      </w:r>
      <w:r>
        <w:rPr>
          <w:rFonts w:ascii="B Nazanin" w:cs="B Nazanin" w:eastAsia="B Nazanin" w:hAnsi="B Nazanin"/>
          <w:b w:val="false"/>
          <w:bCs w:val="false"/>
          <w:color w:val="000000"/>
          <w:sz w:val="26"/>
          <w:szCs w:val="26"/>
        </w:rPr>
        <w:t xml:space="preserve">فاصله بین هر دو گره به‌صورت اقلیدسی محاسبه شده و به نزدیک‌ترین عدد صحیح گرد می‌شود. این قرارداد با استاندارد TSPLIB و CVRP مطابقت دارد.</w:t>
      </w:r>
      <w:r>
        <w:rPr>
          <w:rFonts w:ascii="Tahoma" w:cs="Tahoma" w:eastAsia="Tahoma" w:hAnsi="Tahoma"/>
          <w:color w:val="185FA5"/>
          <w:sz w:val="18"/>
          <w:szCs w:val="18"/>
          <w:vertAlign w:val="superscript"/>
        </w:rPr>
        <w:t xml:space="preserve">[۱۱]</w:t>
      </w:r>
    </w:p>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تفاوت‌های اصلی این وردانت با سایر وردانت‌ها عبارت‌اند از: فقدان پنجره زمانی (در مقابل MDVRPTW)، همگن بودن ناوگان (در مقابل HMDVRP)، الزام بازگشت به انبار مبدأ (در مقابل Open MDVRP) و نبود تقاضاهای دوره‌ای (در مقابل PVRP). تات و ویگو</w:t>
      </w:r>
      <w:r>
        <w:rPr>
          <w:rFonts w:ascii="Tahoma" w:cs="Tahoma" w:eastAsia="Tahoma" w:hAnsi="Tahoma"/>
          <w:color w:val="185FA5"/>
          <w:sz w:val="18"/>
          <w:szCs w:val="18"/>
          <w:vertAlign w:val="superscript"/>
        </w:rPr>
        <w:t xml:space="preserve">[۱۲]</w:t>
      </w:r>
      <w:r>
        <w:rPr>
          <w:rFonts w:ascii="B Nazanin" w:cs="B Nazanin" w:eastAsia="B Nazanin" w:hAnsi="B Nazanin"/>
          <w:b w:val="false"/>
          <w:bCs w:val="false"/>
          <w:color w:val="000000"/>
          <w:sz w:val="26"/>
          <w:szCs w:val="26"/>
        </w:rPr>
        <w:t xml:space="preserve"> نشان دادند که این وردانت ساده‌ترین و پایه‌ای‌ترین شکل MDVRP است و بنابراین بهترین پایه برای مقایسه الگوریتم‌های مختلف محسوب می‌شود.</w:t>
      </w:r>
    </w:p>
    <w:p>
      <w:pPr>
        <w:bidi/>
        <w:spacing w:after="40" w:before="40"/>
        <w:jc w:val="right"/>
      </w:pPr>
      <w:r>
        <w:t xml:space="preserve"/>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۲. مجموعه داده‌های محک‌زنی</w:t>
      </w:r>
    </w:p>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برای ارزیابی عملکرد حل‌کننده‌ها، از مجموعه استاندارد نمونه‌های MDVRP کوردو استفاده شده است. این مجموعه که در سال ۱۹۹۷ توسط کوردو، ژندرو و لاپورت</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معرفی شد، به‌طور گسترده در ادبیات MDVRP به عنوان مرجع اصلی ارزیابی مورد استفاده قرار گرفته است. محققانی نظیر پیسینگر و روپکه</w:t>
      </w:r>
      <w:r>
        <w:rPr>
          <w:rFonts w:ascii="Tahoma" w:cs="Tahoma" w:eastAsia="Tahoma" w:hAnsi="Tahoma"/>
          <w:color w:val="185FA5"/>
          <w:sz w:val="18"/>
          <w:szCs w:val="18"/>
          <w:vertAlign w:val="superscript"/>
        </w:rPr>
        <w:t xml:space="preserve">[۸]</w:t>
      </w:r>
      <w:r>
        <w:rPr>
          <w:rFonts w:ascii="B Nazanin" w:cs="B Nazanin" w:eastAsia="B Nazanin" w:hAnsi="B Nazanin"/>
          <w:b w:val="false"/>
          <w:bCs w:val="false"/>
          <w:color w:val="000000"/>
          <w:sz w:val="26"/>
          <w:szCs w:val="26"/>
        </w:rPr>
        <w:t xml:space="preserve">، ویدال و همکاران</w:t>
      </w:r>
      <w:r>
        <w:rPr>
          <w:rFonts w:ascii="Tahoma" w:cs="Tahoma" w:eastAsia="Tahoma" w:hAnsi="Tahoma"/>
          <w:color w:val="185FA5"/>
          <w:sz w:val="18"/>
          <w:szCs w:val="18"/>
          <w:vertAlign w:val="superscript"/>
        </w:rPr>
        <w:t xml:space="preserve">[۹]</w:t>
      </w:r>
      <w:r>
        <w:rPr>
          <w:rFonts w:ascii="B Nazanin" w:cs="B Nazanin" w:eastAsia="B Nazanin" w:hAnsi="B Nazanin"/>
          <w:b w:val="false"/>
          <w:bCs w:val="false"/>
          <w:color w:val="000000"/>
          <w:sz w:val="26"/>
          <w:szCs w:val="26"/>
        </w:rPr>
        <w:t xml:space="preserve">، خوان و همکاران</w:t>
      </w:r>
      <w:r>
        <w:rPr>
          <w:rFonts w:ascii="Tahoma" w:cs="Tahoma" w:eastAsia="Tahoma" w:hAnsi="Tahoma"/>
          <w:color w:val="185FA5"/>
          <w:sz w:val="18"/>
          <w:szCs w:val="18"/>
          <w:vertAlign w:val="superscript"/>
        </w:rPr>
        <w:t xml:space="preserve">[۱۳]</w:t>
      </w:r>
      <w:r>
        <w:rPr>
          <w:rFonts w:ascii="B Nazanin" w:cs="B Nazanin" w:eastAsia="B Nazanin" w:hAnsi="B Nazanin"/>
          <w:b w:val="false"/>
          <w:bCs w:val="false"/>
          <w:color w:val="000000"/>
          <w:sz w:val="26"/>
          <w:szCs w:val="26"/>
        </w:rPr>
        <w:t xml:space="preserve"> و ازگوو و همکاران</w:t>
      </w:r>
      <w:r>
        <w:rPr>
          <w:rFonts w:ascii="Tahoma" w:cs="Tahoma" w:eastAsia="Tahoma" w:hAnsi="Tahoma"/>
          <w:color w:val="185FA5"/>
          <w:sz w:val="18"/>
          <w:szCs w:val="18"/>
          <w:vertAlign w:val="superscript"/>
        </w:rPr>
        <w:t xml:space="preserve">[۱۰]</w:t>
      </w:r>
      <w:r>
        <w:rPr>
          <w:rFonts w:ascii="B Nazanin" w:cs="B Nazanin" w:eastAsia="B Nazanin" w:hAnsi="B Nazanin"/>
          <w:b w:val="false"/>
          <w:bCs w:val="false"/>
          <w:color w:val="000000"/>
          <w:sz w:val="26"/>
          <w:szCs w:val="26"/>
        </w:rPr>
        <w:t xml:space="preserve"> همگی نتایج خود را روی همین مجموعه داده گزارش کرده‌اند، که مقایسه بین‌روشی را ممکن می‌سازد.</w:t>
      </w:r>
    </w:p>
    <w:p>
      <w:pPr>
        <w:pStyle w:val="Heading2"/>
        <w:bidi/>
        <w:spacing w:after="100" w:before="280"/>
        <w:jc w:val="right"/>
      </w:pPr>
      <w:r>
        <w:rPr>
          <w:rFonts w:ascii="B Nazanin" w:cs="B Nazanin" w:eastAsia="B Nazanin" w:hAnsi="B Nazanin"/>
          <w:b/>
          <w:bCs/>
          <w:color w:val="185FA5"/>
          <w:sz w:val="30"/>
          <w:szCs w:val="30"/>
        </w:rPr>
        <w:t xml:space="preserve">۲.۱. ساختار مجموعه داده</w:t>
      </w:r>
    </w:p>
    <w:p>
      <w:pPr>
        <w:bidi/>
        <w:spacing w:after="80" w:before="80" w:line="360"/>
        <w:jc w:val="right"/>
      </w:pPr>
      <w:r>
        <w:rPr>
          <w:rFonts w:ascii="B Nazanin" w:cs="B Nazanin" w:eastAsia="B Nazanin" w:hAnsi="B Nazanin"/>
          <w:b w:val="false"/>
          <w:bCs w:val="false"/>
          <w:color w:val="000000"/>
          <w:sz w:val="26"/>
          <w:szCs w:val="26"/>
        </w:rPr>
        <w:t xml:space="preserve">مجموعه داده کوردو شامل ۳۳ نمونه در دو زیرمجموعه است:</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زیرمجموعه قدیمی (p01 تا p23): </w:t>
      </w:r>
      <w:r>
        <w:rPr>
          <w:rFonts w:ascii="B Nazanin" w:cs="B Nazanin" w:eastAsia="B Nazanin" w:hAnsi="B Nazanin"/>
          <w:b w:val="false"/>
          <w:bCs w:val="false"/>
          <w:color w:val="000000"/>
          <w:sz w:val="26"/>
          <w:szCs w:val="26"/>
        </w:rPr>
        <w:t xml:space="preserve">شامل ۲۳ نمونه با دامنه‌ای از ۵۰ تا ۳۶۰ مشتری و ۲ تا ۹ انبار. این زیرمجموعه طیف وسیعی از اندازه‌های مسئله را پوشش می‌دهد.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زیرمجموعه جدید (pr01 تا pr10): </w:t>
      </w:r>
      <w:r>
        <w:rPr>
          <w:rFonts w:ascii="B Nazanin" w:cs="B Nazanin" w:eastAsia="B Nazanin" w:hAnsi="B Nazanin"/>
          <w:b w:val="false"/>
          <w:bCs w:val="false"/>
          <w:color w:val="000000"/>
          <w:sz w:val="26"/>
          <w:szCs w:val="26"/>
        </w:rPr>
        <w:t xml:space="preserve">شامل ۱۰ نمونه با ۴۸ تا ۲۸۸ مشتری و ۴ یا ۶ انبار. این زیرمجموعه در دو سری ترتیبی سازمان‌دهی شده است که امکان بررسی رفتار مقیاس‌پذیری الگوریتم را فراهم می‌کند.</w:t>
      </w:r>
    </w:p>
    <w:p>
      <w:pPr>
        <w:bidi/>
        <w:spacing w:after="40" w:before="40"/>
        <w:jc w:val="right"/>
      </w:pPr>
      <w:r>
        <w:t xml:space="preserve"/>
      </w:r>
    </w:p>
    <w:p>
      <w:pPr>
        <w:bidi/>
        <w:spacing w:after="80" w:before="200"/>
        <w:jc w:val="center"/>
      </w:pPr>
      <w:r>
        <w:rPr>
          <w:rFonts w:ascii="B Nazanin" w:cs="B Nazanin" w:eastAsia="B Nazanin" w:hAnsi="B Nazanin"/>
          <w:b/>
          <w:bCs/>
          <w:color w:val="0C447C"/>
          <w:sz w:val="28"/>
          <w:szCs w:val="28"/>
        </w:rPr>
        <w:t xml:space="preserve">جدول ۱: خلاصه مشخصات مجموعه داده‌های محک‌زنی MDVRP کوردو</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400"/>
        <w:gridCol w:w="1800"/>
        <w:gridCol w:w="1800"/>
        <w:gridCol w:w="1600"/>
      </w:tblGrid>
      <w:tr>
        <w:trPr>
          <w:tblHeader/>
        </w:trPr>
        <w:tc>
          <w:tcPr>
            <w:tcW w:type="dxa" w:w="19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زیرمجموعه</w:t>
            </w:r>
          </w:p>
        </w:tc>
        <w:tc>
          <w:tcPr>
            <w:tcW w:type="dxa" w:w="17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فایل‌ها</w:t>
            </w:r>
          </w:p>
        </w:tc>
        <w:tc>
          <w:tcPr>
            <w:tcW w:type="dxa" w:w="14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تعداد</w:t>
            </w:r>
          </w:p>
        </w:tc>
        <w:tc>
          <w:tcPr>
            <w:tcW w:type="dxa" w:w="18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محدوده n</w:t>
            </w:r>
          </w:p>
        </w:tc>
        <w:tc>
          <w:tcPr>
            <w:tcW w:type="dxa" w:w="18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محدوده t</w:t>
            </w:r>
          </w:p>
        </w:tc>
        <w:tc>
          <w:tcPr>
            <w:tcW w:type="dxa" w:w="16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مرجع</w:t>
            </w:r>
          </w:p>
        </w:tc>
      </w:tr>
      <w:tr>
        <w:tc>
          <w:tcPr>
            <w:tcW w:type="dxa" w:w="19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قدیمی</w:t>
            </w:r>
          </w:p>
        </w:tc>
        <w:tc>
          <w:tcPr>
            <w:tcW w:type="dxa" w:w="17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p01 – p23</w:t>
            </w:r>
          </w:p>
        </w:tc>
        <w:tc>
          <w:tcPr>
            <w:tcW w:type="dxa" w:w="14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۲۳</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۵۰ – ۳۶۰</w:t>
            </w:r>
          </w:p>
        </w:tc>
        <w:tc>
          <w:tcPr>
            <w:tcW w:type="dxa" w:w="18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۲ – ۹</w:t>
            </w:r>
          </w:p>
        </w:tc>
        <w:tc>
          <w:tcPr>
            <w:tcW w:type="dxa" w:w="16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Cordeau 1997</w:t>
            </w:r>
          </w:p>
        </w:tc>
      </w:tr>
      <w:tr>
        <w:tc>
          <w:tcPr>
            <w:tcW w:type="dxa" w:w="19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جدید</w:t>
            </w:r>
          </w:p>
        </w:tc>
        <w:tc>
          <w:tcPr>
            <w:tcW w:type="dxa" w:w="17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pr01 – pr10</w:t>
            </w:r>
          </w:p>
        </w:tc>
        <w:tc>
          <w:tcPr>
            <w:tcW w:type="dxa" w:w="14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۱۰</w:t>
            </w:r>
          </w:p>
        </w:tc>
        <w:tc>
          <w:tcPr>
            <w:tcW w:type="dxa" w:w="18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۴۸ – ۲۸۸</w:t>
            </w:r>
          </w:p>
        </w:tc>
        <w:tc>
          <w:tcPr>
            <w:tcW w:type="dxa" w:w="18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۴ – ۶</w:t>
            </w:r>
          </w:p>
        </w:tc>
        <w:tc>
          <w:tcPr>
            <w:tcW w:type="dxa" w:w="16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Cordeau 1997</w:t>
            </w:r>
          </w:p>
        </w:tc>
      </w:tr>
      <w:tr>
        <w:trPr>
          <w:tblHeader/>
        </w:trPr>
        <w:tc>
          <w:tcPr>
            <w:tcW w:type="dxa" w:w="1900"/>
            <w:tcBorders>
              <w:top w:val="single" w:color="CCCCCC" w:sz="1"/>
              <w:left w:val="single" w:color="CCCCCC" w:sz="1"/>
              <w:bottom w:val="single" w:color="CCCCCC" w:sz="1"/>
              <w:right w:val="single" w:color="CCCCCC" w:sz="1"/>
            </w:tcBorders>
            <w:shd w:fill="2E5E8E"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جمع کل</w:t>
            </w:r>
          </w:p>
        </w:tc>
        <w:tc>
          <w:tcPr>
            <w:tcW w:type="dxa" w:w="1700"/>
            <w:tcBorders>
              <w:top w:val="single" w:color="CCCCCC" w:sz="1"/>
              <w:left w:val="single" w:color="CCCCCC" w:sz="1"/>
              <w:bottom w:val="single" w:color="CCCCCC" w:sz="1"/>
              <w:right w:val="single" w:color="CCCCCC" w:sz="1"/>
            </w:tcBorders>
            <w:shd w:fill="2E5E8E"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۳۳ نمونه</w:t>
            </w:r>
          </w:p>
        </w:tc>
        <w:tc>
          <w:tcPr>
            <w:tcW w:type="dxa" w:w="1400"/>
            <w:tcBorders>
              <w:top w:val="single" w:color="CCCCCC" w:sz="1"/>
              <w:left w:val="single" w:color="CCCCCC" w:sz="1"/>
              <w:bottom w:val="single" w:color="CCCCCC" w:sz="1"/>
              <w:right w:val="single" w:color="CCCCCC" w:sz="1"/>
            </w:tcBorders>
            <w:shd w:fill="2E5E8E"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۳۳</w:t>
            </w:r>
          </w:p>
        </w:tc>
        <w:tc>
          <w:tcPr>
            <w:tcW w:type="dxa" w:w="1800"/>
            <w:tcBorders>
              <w:top w:val="single" w:color="CCCCCC" w:sz="1"/>
              <w:left w:val="single" w:color="CCCCCC" w:sz="1"/>
              <w:bottom w:val="single" w:color="CCCCCC" w:sz="1"/>
              <w:right w:val="single" w:color="CCCCCC" w:sz="1"/>
            </w:tcBorders>
            <w:shd w:fill="2E5E8E"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۴۸ – ۳۶۰</w:t>
            </w:r>
          </w:p>
        </w:tc>
        <w:tc>
          <w:tcPr>
            <w:tcW w:type="dxa" w:w="1800"/>
            <w:tcBorders>
              <w:top w:val="single" w:color="CCCCCC" w:sz="1"/>
              <w:left w:val="single" w:color="CCCCCC" w:sz="1"/>
              <w:bottom w:val="single" w:color="CCCCCC" w:sz="1"/>
              <w:right w:val="single" w:color="CCCCCC" w:sz="1"/>
            </w:tcBorders>
            <w:shd w:fill="2E5E8E"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۲ – ۹</w:t>
            </w:r>
          </w:p>
        </w:tc>
        <w:tc>
          <w:tcPr>
            <w:tcW w:type="dxa" w:w="1600"/>
            <w:tcBorders>
              <w:top w:val="single" w:color="CCCCCC" w:sz="1"/>
              <w:left w:val="single" w:color="CCCCCC" w:sz="1"/>
              <w:bottom w:val="single" w:color="CCCCCC" w:sz="1"/>
              <w:right w:val="single" w:color="CCCCCC" w:sz="1"/>
            </w:tcBorders>
            <w:shd w:fill="2E5E8E"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w:t>
            </w:r>
          </w:p>
        </w:tc>
      </w:tr>
    </w:tbl>
    <w:p>
      <w:pPr>
        <w:bidi/>
        <w:spacing w:after="40" w:before="40"/>
        <w:jc w:val="right"/>
      </w:pPr>
      <w:r>
        <w:t xml:space="preserve"/>
      </w:r>
    </w:p>
    <w:p>
      <w:pPr>
        <w:pStyle w:val="Heading2"/>
        <w:bidi/>
        <w:spacing w:after="100" w:before="280"/>
        <w:jc w:val="right"/>
      </w:pPr>
      <w:r>
        <w:rPr>
          <w:rFonts w:ascii="B Nazanin" w:cs="B Nazanin" w:eastAsia="B Nazanin" w:hAnsi="B Nazanin"/>
          <w:b/>
          <w:bCs/>
          <w:color w:val="185FA5"/>
          <w:sz w:val="30"/>
          <w:szCs w:val="30"/>
        </w:rPr>
        <w:t xml:space="preserve">۲.۲. فرمت فایل و ساختار داده</w:t>
      </w:r>
    </w:p>
    <w:p>
      <w:pPr>
        <w:bidi/>
        <w:spacing w:after="80" w:before="80" w:line="360"/>
        <w:jc w:val="right"/>
      </w:pPr>
      <w:r>
        <w:rPr>
          <w:rFonts w:ascii="B Nazanin" w:cs="B Nazanin" w:eastAsia="B Nazanin" w:hAnsi="B Nazanin"/>
          <w:b w:val="false"/>
          <w:bCs w:val="false"/>
          <w:color w:val="000000"/>
          <w:sz w:val="26"/>
          <w:szCs w:val="26"/>
        </w:rPr>
        <w:t xml:space="preserve">فایل‌های نمونه از فرمت متنی کوردو با ساختار جریان توکن استفاده می‌کنند.</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هر فایل با یک سربرگ آغاز می‌شود که شامل نوع مسئله، تعداد مشتریان (n) و تعداد انبارها (t) است. سپس t خط برای مشخصات انبارها (مدت مجاز مسیر D و ظرفیت وسیله نقلیه Q) می‌آید. در ادامه n خط برای مشتریان و در پایان t خط مختصات انبارها ثبت شده است. یک ویژگی مهم این فرمت، تغییرپذیری طول هر خط مشتری است: هر خط علاوه بر اطلاعات پایه، شامل تعداد متغیری از کدهای ترکیبی انبار (ncombi) است که مستقیماً به t بستگی دارد.</w:t>
      </w:r>
    </w:p>
    <w:p>
      <w:pPr>
        <w:pStyle w:val="Heading2"/>
        <w:bidi/>
        <w:spacing w:after="100" w:before="280"/>
        <w:jc w:val="right"/>
      </w:pPr>
      <w:r>
        <w:rPr>
          <w:rFonts w:ascii="B Nazanin" w:cs="B Nazanin" w:eastAsia="B Nazanin" w:hAnsi="B Nazanin"/>
          <w:b/>
          <w:bCs/>
          <w:color w:val="185FA5"/>
          <w:sz w:val="30"/>
          <w:szCs w:val="30"/>
        </w:rPr>
        <w:t xml:space="preserve">۲.۳. رفع خطای مهم در تجزیه فایل</w:t>
      </w:r>
    </w:p>
    <w:p>
      <w:pPr>
        <w:bidi/>
        <w:spacing w:after="80" w:before="80" w:line="360"/>
        <w:jc w:val="right"/>
      </w:pPr>
      <w:r>
        <w:rPr>
          <w:rFonts w:ascii="B Nazanin" w:cs="B Nazanin" w:eastAsia="B Nazanin" w:hAnsi="B Nazanin"/>
          <w:b w:val="false"/>
          <w:bCs w:val="false"/>
          <w:color w:val="000000"/>
          <w:sz w:val="26"/>
          <w:szCs w:val="26"/>
        </w:rPr>
        <w:t xml:space="preserve">در پیاده‌سازی اولیه، یک خطای منطقی در پارسر فایل‌های نمونه شناسایی و اصلاح شد. پارسر اولیه به‌اشتباه فرض می‌کرد که هر خط مشتری دقیقاً ۶ توکن پایانی دارد — فرضی که تنها برای نمونه‌هایی با t=4 انبار صحیح است. این خطا دو دسته مشکل جدی ایجاد می‌کرد: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برای نمونه‌های با t&lt;4: </w:t>
      </w:r>
      <w:r>
        <w:rPr>
          <w:rFonts w:ascii="B Nazanin" w:cs="B Nazanin" w:eastAsia="B Nazanin" w:hAnsi="B Nazanin"/>
          <w:b w:val="false"/>
          <w:bCs w:val="false"/>
          <w:color w:val="000000"/>
          <w:sz w:val="26"/>
          <w:szCs w:val="26"/>
        </w:rPr>
        <w:t xml:space="preserve">پارسر تلاش می‌کرد توکن‌هایی را بخواند که وجود ندارند، که منجر به خطای اجرایی StopIteration و توقف کامل برنامه می‌شد.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برای نمونه‌های با t&gt;4: </w:t>
      </w:r>
      <w:r>
        <w:rPr>
          <w:rFonts w:ascii="B Nazanin" w:cs="B Nazanin" w:eastAsia="B Nazanin" w:hAnsi="B Nazanin"/>
          <w:b w:val="false"/>
          <w:bCs w:val="false"/>
          <w:color w:val="000000"/>
          <w:sz w:val="26"/>
          <w:szCs w:val="26"/>
        </w:rPr>
        <w:t xml:space="preserve">پارسر کمتر از تعداد لازم توکن را رد می‌کرد و مختصات انبارها را اشتباه می‌خواند. این خطای خاموش (Silent Error) هیچ پیغامی تولید نمی‌کرد اما تابع هدف را به‌طور سیستماتیک دچار اشتباه می‌نمود.</w:t>
      </w:r>
    </w:p>
    <w:p>
      <w:pPr>
        <w:bidi/>
        <w:spacing w:after="80" w:before="80" w:line="360"/>
        <w:jc w:val="right"/>
      </w:pPr>
      <w:r>
        <w:rPr>
          <w:rFonts w:ascii="B Nazanin" w:cs="B Nazanin" w:eastAsia="B Nazanin" w:hAnsi="B Nazanin"/>
          <w:b w:val="false"/>
          <w:bCs w:val="false"/>
          <w:color w:val="000000"/>
          <w:sz w:val="26"/>
          <w:szCs w:val="26"/>
        </w:rPr>
        <w:t xml:space="preserve">اصلاح انجام‌شده با خواندن مقدار ncombi از هر خط و رد کردن دقیقاً همان تعداد توکن، این مشکل را برطرف کرد. </w:t>
      </w:r>
      <w:r>
        <w:rPr>
          <w:rFonts w:ascii="B Nazanin" w:cs="B Nazanin" w:eastAsia="B Nazanin" w:hAnsi="B Nazanin"/>
          <w:b/>
          <w:bCs/>
          <w:color w:val="0C447C"/>
          <w:sz w:val="26"/>
          <w:szCs w:val="26"/>
        </w:rPr>
        <w:t xml:space="preserve">کشف و اصلاح این خطا برای صحت نتایج تمام ۳۳ نمونه ضروری بود</w:t>
      </w:r>
      <w:r>
        <w:rPr>
          <w:rFonts w:ascii="B Nazanin" w:cs="B Nazanin" w:eastAsia="B Nazanin" w:hAnsi="B Nazanin"/>
          <w:b w:val="false"/>
          <w:bCs w:val="false"/>
          <w:color w:val="000000"/>
          <w:sz w:val="26"/>
          <w:szCs w:val="26"/>
        </w:rPr>
        <w:t xml:space="preserve"> و نشان‌دهنده اهمیت اعتبارسنجی دقیق پارسر داده‌ها در پژوهش‌های محک‌زنی است.</w:t>
      </w:r>
    </w:p>
    <w:p>
      <w:pPr>
        <w:bidi/>
        <w:spacing w:after="40" w:before="40"/>
        <w:jc w:val="right"/>
      </w:pPr>
      <w:r>
        <w:t xml:space="preserve"/>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۳. الگوریتم‌ها و تنظیمات آزمایش</w:t>
      </w:r>
    </w:p>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سه حل‌کننده متاهیوریستیک برای حل MDVRP در این پژوهش مورد استفاده قرار گرفتند. شرح کامل ساختار الگوریتمی و مکانیزم‌های درونی هر حل‌کننده در بخش مجزایی از این گزارش ارائه شده است. در اینجا، تمرکز بر دو جنبه است: (الف) نحوه سازگارسازی هر حل‌کننده با ساختار چندانباره‌ای MDVRP، و (ب) پارامترها و شرایط مشترک آزمایش که امکان مقایسه منصفانه بین حل‌کننده‌ها را فراهم می‌کند.</w:t>
      </w:r>
    </w:p>
    <w:p>
      <w:pPr>
        <w:pStyle w:val="Heading2"/>
        <w:bidi/>
        <w:spacing w:after="100" w:before="280"/>
        <w:jc w:val="right"/>
      </w:pPr>
      <w:r>
        <w:rPr>
          <w:rFonts w:ascii="B Nazanin" w:cs="B Nazanin" w:eastAsia="B Nazanin" w:hAnsi="B Nazanin"/>
          <w:b/>
          <w:bCs/>
          <w:color w:val="185FA5"/>
          <w:sz w:val="30"/>
          <w:szCs w:val="30"/>
        </w:rPr>
        <w:t xml:space="preserve">۳.۱. سازگارسازی حل‌کننده‌ها با MDVRP</w:t>
      </w:r>
    </w:p>
    <w:p>
      <w:pPr>
        <w:bidi/>
        <w:spacing w:after="80" w:before="80" w:line="360"/>
        <w:jc w:val="right"/>
      </w:pPr>
      <w:r>
        <w:rPr>
          <w:rFonts w:ascii="B Nazanin" w:cs="B Nazanin" w:eastAsia="B Nazanin" w:hAnsi="B Nazanin"/>
          <w:b w:val="false"/>
          <w:bCs w:val="false"/>
          <w:color w:val="000000"/>
          <w:sz w:val="26"/>
          <w:szCs w:val="26"/>
        </w:rPr>
        <w:t xml:space="preserve">یکی از نتایج مهم این پیاده‌سازی آن است که هیچ‌یک از سه حل‌کننده نیاز به پیاده‌سازی الگوریتم جدیدی نداشت. هر سه به‌صورت بومی از ساختار چندانباره پشتیبانی می‌کنند و سازگارسازی تنها در سطح مدل‌سازی انجام شد. این رویکرد کد را ساده‌تر، قابل‌نگهداری‌تر و کمتر مستعد خطا می‌سازد.</w:t>
      </w:r>
    </w:p>
    <w:p>
      <w:pPr>
        <w:pStyle w:val="Heading3"/>
        <w:bidi/>
        <w:spacing w:after="80" w:before="200"/>
        <w:jc w:val="right"/>
      </w:pPr>
      <w:r>
        <w:rPr>
          <w:rFonts w:ascii="B Nazanin" w:cs="B Nazanin" w:eastAsia="B Nazanin" w:hAnsi="B Nazanin"/>
          <w:b/>
          <w:bCs/>
          <w:color w:val="0C447C"/>
          <w:sz w:val="28"/>
          <w:szCs w:val="28"/>
        </w:rPr>
        <w:t xml:space="preserve">PyVRP (جستجوی ژنتیک ترکیبی + ALNS)</w:t>
      </w:r>
    </w:p>
    <w:p>
      <w:pPr>
        <w:bidi/>
        <w:spacing w:after="80" w:before="80" w:line="360"/>
        <w:jc w:val="right"/>
      </w:pPr>
      <w:r>
        <w:rPr>
          <w:rFonts w:ascii="B Nazanin" w:cs="B Nazanin" w:eastAsia="B Nazanin" w:hAnsi="B Nazanin"/>
          <w:b w:val="false"/>
          <w:bCs w:val="false"/>
          <w:color w:val="000000"/>
          <w:sz w:val="26"/>
          <w:szCs w:val="26"/>
        </w:rPr>
        <w:t xml:space="preserve">PyVRP مبتنی بر الگوریتم جستجوی ژنتیک ترکیبی است که با ALNS ترکیب شده</w:t>
      </w:r>
      <w:r>
        <w:rPr>
          <w:rFonts w:ascii="Tahoma" w:cs="Tahoma" w:eastAsia="Tahoma" w:hAnsi="Tahoma"/>
          <w:color w:val="185FA5"/>
          <w:sz w:val="18"/>
          <w:szCs w:val="18"/>
          <w:vertAlign w:val="superscript"/>
        </w:rPr>
        <w:t xml:space="preserve">[۱۴]</w:t>
      </w:r>
      <w:r>
        <w:rPr>
          <w:rFonts w:ascii="B Nazanin" w:cs="B Nazanin" w:eastAsia="B Nazanin" w:hAnsi="B Nazanin"/>
          <w:b w:val="false"/>
          <w:bCs w:val="false"/>
          <w:color w:val="000000"/>
          <w:sz w:val="26"/>
          <w:szCs w:val="26"/>
        </w:rPr>
        <w:t xml:space="preserve"> و از کاراترین حل‌کننده‌های متن‌باز برای VRP محسوب می‌شود. برای مدل‌سازی MDVRP در PyVRP، برای هر انبار یک شیء مستقل Depot تعریف شد. سپس یک شیء VehicleType با پارامترهای start_depot و end_depot متناظر ایجاد گردید. پس از حل، متد Route.start_depot() برای بازیابی انبار مبدأ هر مسیر به کار رفت.</w:t>
      </w:r>
    </w:p>
    <w:p>
      <w:pPr>
        <w:pStyle w:val="Heading3"/>
        <w:bidi/>
        <w:spacing w:after="80" w:before="200"/>
        <w:jc w:val="right"/>
      </w:pPr>
      <w:r>
        <w:rPr>
          <w:rFonts w:ascii="B Nazanin" w:cs="B Nazanin" w:eastAsia="B Nazanin" w:hAnsi="B Nazanin"/>
          <w:b/>
          <w:bCs/>
          <w:color w:val="0C447C"/>
          <w:sz w:val="28"/>
          <w:szCs w:val="28"/>
        </w:rPr>
        <w:t xml:space="preserve">OR-Tools (CP-SAT / جستجوی محلی هدایت‌شده)</w:t>
      </w:r>
    </w:p>
    <w:p>
      <w:pPr>
        <w:bidi/>
        <w:spacing w:after="80" w:before="80" w:line="360"/>
        <w:jc w:val="right"/>
      </w:pPr>
      <w:r>
        <w:rPr>
          <w:rFonts w:ascii="B Nazanin" w:cs="B Nazanin" w:eastAsia="B Nazanin" w:hAnsi="B Nazanin"/>
          <w:b w:val="false"/>
          <w:bCs w:val="false"/>
          <w:color w:val="000000"/>
          <w:sz w:val="26"/>
          <w:szCs w:val="26"/>
        </w:rPr>
        <w:t xml:space="preserve">مدل CP-SAT گوگل یکی از قوی‌ترین حل‌کننده‌های محدودیت‌محور موجود است.</w:t>
      </w:r>
      <w:r>
        <w:rPr>
          <w:rFonts w:ascii="Tahoma" w:cs="Tahoma" w:eastAsia="Tahoma" w:hAnsi="Tahoma"/>
          <w:color w:val="185FA5"/>
          <w:sz w:val="18"/>
          <w:szCs w:val="18"/>
          <w:vertAlign w:val="superscript"/>
        </w:rPr>
        <w:t xml:space="preserve">[۱۵]</w:t>
      </w:r>
      <w:r>
        <w:rPr>
          <w:rFonts w:ascii="B Nazanin" w:cs="B Nazanin" w:eastAsia="B Nazanin" w:hAnsi="B Nazanin"/>
          <w:b w:val="false"/>
          <w:bCs w:val="false"/>
          <w:color w:val="000000"/>
          <w:sz w:val="26"/>
          <w:szCs w:val="26"/>
        </w:rPr>
        <w:t xml:space="preserve"> در OR-Tools، آرایه‌های starts و ends در مدل CP-SAT به‌گونه‌ای تنظیم شدند که هر موقعیت وسیله نقلیه به گره مربوط به انبار مربوطه اشاره کند. تنظیم صحیح این آرایه‌ها برای MDVRP نیازمند دقت بیشتری در شاخص‌گذاری گره‌های انبار بود.</w:t>
      </w:r>
    </w:p>
    <w:p>
      <w:pPr>
        <w:pStyle w:val="Heading3"/>
        <w:bidi/>
        <w:spacing w:after="80" w:before="200"/>
        <w:jc w:val="right"/>
      </w:pPr>
      <w:r>
        <w:rPr>
          <w:rFonts w:ascii="B Nazanin" w:cs="B Nazanin" w:eastAsia="B Nazanin" w:hAnsi="B Nazanin"/>
          <w:b/>
          <w:bCs/>
          <w:color w:val="0C447C"/>
          <w:sz w:val="28"/>
          <w:szCs w:val="28"/>
        </w:rPr>
        <w:t xml:space="preserve">VROOM (جستجوی محلی سبک‌وزن)</w:t>
      </w:r>
    </w:p>
    <w:p>
      <w:pPr>
        <w:bidi/>
        <w:spacing w:after="80" w:before="80" w:line="360"/>
        <w:jc w:val="right"/>
      </w:pPr>
      <w:r>
        <w:rPr>
          <w:rFonts w:ascii="B Nazanin" w:cs="B Nazanin" w:eastAsia="B Nazanin" w:hAnsi="B Nazanin"/>
          <w:b w:val="false"/>
          <w:bCs w:val="false"/>
          <w:color w:val="000000"/>
          <w:sz w:val="26"/>
          <w:szCs w:val="26"/>
        </w:rPr>
        <w:t xml:space="preserve">VROOM یک حل‌کننده جستجوی محلی است</w:t>
      </w:r>
      <w:r>
        <w:rPr>
          <w:rFonts w:ascii="Tahoma" w:cs="Tahoma" w:eastAsia="Tahoma" w:hAnsi="Tahoma"/>
          <w:color w:val="185FA5"/>
          <w:sz w:val="18"/>
          <w:szCs w:val="18"/>
          <w:vertAlign w:val="superscript"/>
        </w:rPr>
        <w:t xml:space="preserve">[۱۶]</w:t>
      </w:r>
      <w:r>
        <w:rPr>
          <w:rFonts w:ascii="B Nazanin" w:cs="B Nazanin" w:eastAsia="B Nazanin" w:hAnsi="B Nazanin"/>
          <w:b w:val="false"/>
          <w:bCs w:val="false"/>
          <w:color w:val="000000"/>
          <w:sz w:val="26"/>
          <w:szCs w:val="26"/>
        </w:rPr>
        <w:t xml:space="preserve"> که برای سرعت اجرا بهینه‌سازی شده. پارامترهای start و end برای هر وسیله نقلیه به‌طور جداگانه با موقعیت انبار مربوطه تنظیم شد. VROOM در نمونه‌های کوچک زمان محاسباتی بسیار کمتری نسبت به دو حل‌کننده دیگر نیاز دارد.</w:t>
      </w:r>
    </w:p>
    <w:p>
      <w:pPr>
        <w:bidi/>
        <w:spacing w:after="80" w:before="80" w:line="360"/>
        <w:jc w:val="right"/>
      </w:pPr>
      <w:r>
        <w:rPr>
          <w:rFonts w:ascii="B Nazanin" w:cs="B Nazanin" w:eastAsia="B Nazanin" w:hAnsi="B Nazanin"/>
          <w:b w:val="false"/>
          <w:bCs w:val="false"/>
          <w:color w:val="000000"/>
          <w:sz w:val="26"/>
          <w:szCs w:val="26"/>
        </w:rPr>
        <w:t xml:space="preserve">قابل ذکر است که VRPSolverEasy (حل‌کننده دقیق مبتنی بر BCP) به‌طور آگاهانه از مجموعه حل‌کننده‌ها حذف شد، زیرا مجوز رایگان آن پشتیبانی واضحی از ساختار چند‌نوع وسیله نقلیه/چند انبار ندارد.</w:t>
      </w:r>
    </w:p>
    <w:p>
      <w:pPr>
        <w:pStyle w:val="Heading2"/>
        <w:bidi/>
        <w:spacing w:after="100" w:before="280"/>
        <w:jc w:val="right"/>
      </w:pPr>
      <w:r>
        <w:rPr>
          <w:rFonts w:ascii="B Nazanin" w:cs="B Nazanin" w:eastAsia="B Nazanin" w:hAnsi="B Nazanin"/>
          <w:b/>
          <w:bCs/>
          <w:color w:val="185FA5"/>
          <w:sz w:val="30"/>
          <w:szCs w:val="30"/>
        </w:rPr>
        <w:t xml:space="preserve">۳.۲. محاسبه تعداد وسایل نقلیه</w:t>
      </w:r>
    </w:p>
    <w:p>
      <w:pPr>
        <w:bidi/>
        <w:spacing w:after="80" w:before="80" w:line="360"/>
        <w:jc w:val="right"/>
      </w:pPr>
      <w:r>
        <w:rPr>
          <w:rFonts w:ascii="B Nazanin" w:cs="B Nazanin" w:eastAsia="B Nazanin" w:hAnsi="B Nazanin"/>
          <w:b w:val="false"/>
          <w:bCs w:val="false"/>
          <w:color w:val="000000"/>
          <w:sz w:val="26"/>
          <w:szCs w:val="26"/>
        </w:rPr>
        <w:t xml:space="preserve">یکی از چالش‌های اصلی در سازگارسازی حل‌کننده‌های عمومی با MDVRP، تعیین تعداد مناسب وسایل نقلیه برای هر انبار است. رویکرد اتخاذشده بر کران پایین نظری استوار است:</w:t>
      </w:r>
    </w:p>
    <w:p>
      <w:pPr>
        <w:bidi/>
        <w:spacing w:after="120" w:before="120" w:line="340"/>
        <w:jc w:val="center"/>
      </w:pPr>
      <w:r>
        <w:rPr>
          <w:rFonts w:ascii="Tahoma" w:cs="Tahoma" w:eastAsia="Tahoma" w:hAnsi="Tahoma"/>
          <w:b/>
          <w:bCs/>
          <w:color w:val="0C447C"/>
          <w:sz w:val="28"/>
          <w:szCs w:val="28"/>
        </w:rPr>
        <w:t xml:space="preserve">R = ⌈(مجموع تقاضای کل) / ظرفیت وسیله نقلیه Q⌉</w:t>
      </w:r>
    </w:p>
    <w:p>
      <w:pPr>
        <w:bidi/>
        <w:spacing w:after="80" w:before="80" w:line="360"/>
        <w:jc w:val="right"/>
      </w:pPr>
      <w:r>
        <w:rPr>
          <w:rFonts w:ascii="B Nazanin" w:cs="B Nazanin" w:eastAsia="B Nazanin" w:hAnsi="B Nazanin"/>
          <w:b w:val="false"/>
          <w:bCs w:val="false"/>
          <w:color w:val="000000"/>
          <w:sz w:val="26"/>
          <w:szCs w:val="26"/>
        </w:rPr>
        <w:t xml:space="preserve">هر انبار دقیقاً R موقعیت وسیله نقلیه دریافت می‌کند و مجموع کل موقعیت‌ها برابر t×R خواهد بود. این رویکرد دارای دو ویژگی کلیدی است:</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تضمین شدنی‌پذیری: </w:t>
      </w:r>
      <w:r>
        <w:rPr>
          <w:rFonts w:ascii="B Nazanin" w:cs="B Nazanin" w:eastAsia="B Nazanin" w:hAnsi="B Nazanin"/>
          <w:b w:val="false"/>
          <w:bCs w:val="false"/>
          <w:color w:val="000000"/>
          <w:sz w:val="26"/>
          <w:szCs w:val="26"/>
        </w:rPr>
        <w:t xml:space="preserve">از آنجا که R کران پایین تعداد مسیرهای لازم است، ساختار t×R مسیر تضمین می‌کند که هر چیدمان ممکنی از مشتریان در این مجموعه جای می‌گیرد.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جلوگیری از انفجار محاسباتی: </w:t>
      </w:r>
      <w:r>
        <w:rPr>
          <w:rFonts w:ascii="B Nazanin" w:cs="B Nazanin" w:eastAsia="B Nazanin" w:hAnsi="B Nazanin"/>
          <w:b w:val="false"/>
          <w:bCs w:val="false"/>
          <w:color w:val="000000"/>
          <w:sz w:val="26"/>
          <w:szCs w:val="26"/>
        </w:rPr>
        <w:t xml:space="preserve">استفاده از یک وسیله نقلیه برای هر مشتری باعث می‌شود OR-Tools و VROOM در مرحله ساخت جواب اولیه به محدودیت زمانی برخورد کنند. رویکرد مبتنی بر R این مشکل را برطرف می‌کند.</w:t>
      </w:r>
    </w:p>
    <w:p>
      <w:pPr>
        <w:pStyle w:val="Heading2"/>
        <w:bidi/>
        <w:spacing w:after="100" w:before="280"/>
        <w:jc w:val="right"/>
      </w:pPr>
      <w:r>
        <w:rPr>
          <w:rFonts w:ascii="B Nazanin" w:cs="B Nazanin" w:eastAsia="B Nazanin" w:hAnsi="B Nazanin"/>
          <w:b/>
          <w:bCs/>
          <w:color w:val="185FA5"/>
          <w:sz w:val="30"/>
          <w:szCs w:val="30"/>
        </w:rPr>
        <w:t xml:space="preserve">۳.۳. پارامترها و شرایط آزمایش</w:t>
      </w:r>
    </w:p>
    <w:p>
      <w:pPr>
        <w:bidi/>
        <w:spacing w:after="80" w:before="80" w:line="360"/>
        <w:jc w:val="right"/>
      </w:pPr>
      <w:r>
        <w:rPr>
          <w:rFonts w:ascii="B Nazanin" w:cs="B Nazanin" w:eastAsia="B Nazanin" w:hAnsi="B Nazanin"/>
          <w:b w:val="false"/>
          <w:bCs w:val="false"/>
          <w:color w:val="000000"/>
          <w:sz w:val="26"/>
          <w:szCs w:val="26"/>
        </w:rPr>
        <w:t xml:space="preserve">برای اطمینان از مقایسه منصفانه، تمام آزمایش‌ها تحت شرایط یکسان اجرا شدند. جدول ۲ پارامترهای مشترک را نشان می‌دهد.</w:t>
      </w:r>
    </w:p>
    <w:p>
      <w:pPr>
        <w:bidi/>
        <w:spacing w:after="40" w:before="40"/>
        <w:jc w:val="right"/>
      </w:pPr>
      <w:r>
        <w:t xml:space="preserve"/>
      </w:r>
    </w:p>
    <w:p>
      <w:pPr>
        <w:bidi/>
        <w:spacing w:after="80" w:before="200"/>
        <w:jc w:val="center"/>
      </w:pPr>
      <w:r>
        <w:rPr>
          <w:rFonts w:ascii="B Nazanin" w:cs="B Nazanin" w:eastAsia="B Nazanin" w:hAnsi="B Nazanin"/>
          <w:b/>
          <w:bCs/>
          <w:color w:val="0C447C"/>
          <w:sz w:val="28"/>
          <w:szCs w:val="28"/>
        </w:rPr>
        <w:t xml:space="preserve">جدول ۲: پارامترهای مشترک آزمایش محک‌زنی</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پارامتر</w:t>
            </w:r>
          </w:p>
        </w:tc>
        <w:tc>
          <w:tcPr>
            <w:tcW w:type="dxa" w:w="5200"/>
            <w:tcBorders>
              <w:top w:val="single" w:color="CCCCCC" w:sz="1"/>
              <w:left w:val="single" w:color="CCCCCC" w:sz="1"/>
              <w:bottom w:val="single" w:color="CCCCCC" w:sz="1"/>
              <w:right w:val="single" w:color="CCCCCC" w:sz="1"/>
            </w:tcBorders>
            <w:shd w:fill="1A4070" w:val="clear"/>
            <w:tcMar>
              <w:top w:type="dxa" w:w="80"/>
              <w:left w:type="dxa" w:w="100"/>
              <w:bottom w:type="dxa" w:w="80"/>
              <w:right w:type="dxa" w:w="100"/>
            </w:tcMar>
            <w:vAlign w:val="center"/>
          </w:tcPr>
          <w:p>
            <w:pPr>
              <w:bidi/>
              <w:jc w:val="center"/>
            </w:pPr>
            <w:r>
              <w:rPr>
                <w:rFonts w:ascii="Tahoma" w:cs="Tahoma" w:eastAsia="Tahoma" w:hAnsi="Tahoma"/>
                <w:b/>
                <w:bCs/>
                <w:color w:val="FFFFFF"/>
                <w:sz w:val="22"/>
                <w:szCs w:val="22"/>
              </w:rPr>
              <w:t xml:space="preserve">مقدار / توضیح</w:t>
            </w:r>
          </w:p>
        </w:tc>
      </w:tr>
      <w:tr>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تعداد اجرای مستقل</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۱۰ اجرا با بذرهای ۰ تا ۹</w:t>
            </w:r>
          </w:p>
        </w:tc>
      </w:tr>
      <w:tr>
        <w:tc>
          <w:tcPr>
            <w:tcW w:type="dxa" w:w="40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بودجه زمانی هر اجرا</w:t>
            </w:r>
          </w:p>
        </w:tc>
        <w:tc>
          <w:tcPr>
            <w:tcW w:type="dxa" w:w="52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۱۰ ثانیه ثابت برای تمام نمونه‌ها</w:t>
            </w:r>
          </w:p>
        </w:tc>
      </w:tr>
      <w:tr>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مقدار گزارش‌شده</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میانگین تابع هدف و زمان در ۱۰ اجرا</w:t>
            </w:r>
          </w:p>
        </w:tc>
      </w:tr>
      <w:tr>
        <w:tc>
          <w:tcPr>
            <w:tcW w:type="dxa" w:w="40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تابع هدف</w:t>
            </w:r>
          </w:p>
        </w:tc>
        <w:tc>
          <w:tcPr>
            <w:tcW w:type="dxa" w:w="52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مجموع مسافت اقلیدسی گرد شده (EUC_2D)</w:t>
            </w:r>
          </w:p>
        </w:tc>
      </w:tr>
      <w:tr>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نرخ موفقیت</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۱۰ از ۱۰ برای تمام ۹۹ سلول</w:t>
            </w:r>
          </w:p>
        </w:tc>
      </w:tr>
      <w:tr>
        <w:tc>
          <w:tcPr>
            <w:tcW w:type="dxa" w:w="40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زبان پیاده‌سازی</w:t>
            </w:r>
          </w:p>
        </w:tc>
        <w:tc>
          <w:tcPr>
            <w:tcW w:type="dxa" w:w="5200"/>
            <w:tcBorders>
              <w:top w:val="single" w:color="CCCCCC" w:sz="1"/>
              <w:left w:val="single" w:color="CCCCCC" w:sz="1"/>
              <w:bottom w:val="single" w:color="CCCCCC" w:sz="1"/>
              <w:right w:val="single" w:color="CCCCCC" w:sz="1"/>
            </w:tcBorders>
            <w:shd w:fill="EDF4FB" w:val="clear"/>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Python / VS Code</w:t>
            </w:r>
          </w:p>
        </w:tc>
      </w:tr>
      <w:tr>
        <w:tc>
          <w:tcPr>
            <w:tcW w:type="dxa" w:w="40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مقایسه با BKS</w:t>
            </w:r>
          </w:p>
        </w:tc>
        <w:tc>
          <w:tcPr>
            <w:tcW w:type="dxa" w:w="5200"/>
            <w:tcBorders>
              <w:top w:val="single" w:color="CCCCCC" w:sz="1"/>
              <w:left w:val="single" w:color="CCCCCC" w:sz="1"/>
              <w:bottom w:val="single" w:color="CCCCCC" w:sz="1"/>
              <w:right w:val="single" w:color="CCCCCC" w:sz="1"/>
            </w:tcBorders>
            <w:tcMar>
              <w:top w:type="dxa" w:w="80"/>
              <w:left w:type="dxa" w:w="100"/>
              <w:bottom w:type="dxa" w:w="80"/>
              <w:right w:type="dxa" w:w="100"/>
            </w:tcMar>
            <w:vAlign w:val="center"/>
          </w:tcPr>
          <w:p>
            <w:pPr>
              <w:bidi/>
              <w:jc w:val="center"/>
            </w:pPr>
            <w:r>
              <w:rPr>
                <w:rFonts w:ascii="Tahoma" w:cs="Tahoma" w:eastAsia="Tahoma" w:hAnsi="Tahoma"/>
                <w:b w:val="false"/>
                <w:bCs w:val="false"/>
                <w:color w:val="111111"/>
                <w:sz w:val="22"/>
                <w:szCs w:val="22"/>
              </w:rPr>
              <w:t xml:space="preserve">در دسترس نیست — BKS برای MDVRP ثبت نشده</w:t>
            </w:r>
          </w:p>
        </w:tc>
      </w:tr>
    </w:tbl>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انتخاب بودجه زمانی ۱۰ ثانیه ثابت یک تصمیم آگاهانه است که مقایسه را ساده می‌کند. اما باید توجه داشت که این زمان برای نمونه‌های بزرگ کافی نیست. در پژوهش ازگوو و همکاران</w:t>
      </w:r>
      <w:r>
        <w:rPr>
          <w:rFonts w:ascii="Tahoma" w:cs="Tahoma" w:eastAsia="Tahoma" w:hAnsi="Tahoma"/>
          <w:color w:val="185FA5"/>
          <w:sz w:val="18"/>
          <w:szCs w:val="18"/>
          <w:vertAlign w:val="superscript"/>
        </w:rPr>
        <w:t xml:space="preserve">[۱۰]</w:t>
      </w:r>
      <w:r>
        <w:rPr>
          <w:rFonts w:ascii="B Nazanin" w:cs="B Nazanin" w:eastAsia="B Nazanin" w:hAnsi="B Nazanin"/>
          <w:b w:val="false"/>
          <w:bCs w:val="false"/>
          <w:color w:val="000000"/>
          <w:sz w:val="26"/>
          <w:szCs w:val="26"/>
        </w:rPr>
        <w:t xml:space="preserve"> زمان‌های محاسباتی صدها تا هزاران ثانیه برای همین نمونه‌ها گزارش شده است. بنابراین نتایج این پژوهش در محدودیت ۱۰ ثانیه باید با در نظر داشتن این تفاوت تفسیر شوند.</w:t>
      </w:r>
    </w:p>
    <w:p>
      <w:pPr>
        <w:bidi/>
        <w:spacing w:after="40" w:before="40"/>
        <w:jc w:val="right"/>
      </w:pPr>
      <w:r>
        <w:t xml:space="preserve"/>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۴. نتایج محک‌زنی — زیرمجموعه قدیمی (p01–p23)</w:t>
      </w:r>
    </w:p>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جدول ۳ نتایج کامل اجرای سه حل‌کننده روی ۲۳ نمونه زیرمجموعه قدیمی را نشان می‌دهد. مقادیر گزارش‌شده میانگین تابع هدف (مجموع مسافت کل) و میانگین زمان اجرا در ۱۰ اجرای مستقل است. نرخ موفقیت برای تمام سلول‌ها ۱۰ از ۱۰ بود و هیچ اجرایی به جواب غیرشدنی نرسید.</w:t>
      </w:r>
    </w:p>
    <w:p>
      <w:pPr>
        <w:bidi/>
        <w:spacing w:after="40" w:before="40"/>
        <w:jc w:val="right"/>
      </w:pPr>
      <w:r>
        <w:t xml:space="preserve"/>
      </w:r>
    </w:p>
    <w:p>
      <w:pPr>
        <w:bidi/>
        <w:spacing w:after="80" w:before="200"/>
        <w:jc w:val="center"/>
      </w:pPr>
      <w:r>
        <w:rPr>
          <w:rFonts w:ascii="B Nazanin" w:cs="B Nazanin" w:eastAsia="B Nazanin" w:hAnsi="B Nazanin"/>
          <w:b/>
          <w:bCs/>
          <w:color w:val="0C447C"/>
          <w:sz w:val="28"/>
          <w:szCs w:val="28"/>
        </w:rPr>
        <w:t xml:space="preserve">جدول ۳: نتایج زیرمجموعه قدیمی — میانگین ۱۰ اجرای مستقل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50"/>
        <w:gridCol w:w="580"/>
        <w:gridCol w:w="500"/>
        <w:gridCol w:w="940"/>
        <w:gridCol w:w="780"/>
        <w:gridCol w:w="940"/>
        <w:gridCol w:w="780"/>
        <w:gridCol w:w="880"/>
        <w:gridCol w:w="780"/>
        <w:gridCol w:w="1070"/>
      </w:tblGrid>
      <w:tr>
        <w:trPr>
          <w:tblHeader/>
        </w:trPr>
        <w:tc>
          <w:tcPr>
            <w:tcW w:type="dxa" w:w="75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نمونه</w:t>
            </w:r>
          </w:p>
        </w:tc>
        <w:tc>
          <w:tcPr>
            <w:tcW w:type="dxa" w:w="5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n</w:t>
            </w:r>
          </w:p>
        </w:tc>
        <w:tc>
          <w:tcPr>
            <w:tcW w:type="dxa" w:w="50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t</w:t>
            </w:r>
          </w:p>
        </w:tc>
        <w:tc>
          <w:tcPr>
            <w:tcW w:type="dxa" w:w="94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PyVRP (میانگین)</w:t>
            </w:r>
          </w:p>
        </w:tc>
        <w:tc>
          <w:tcPr>
            <w:tcW w:type="dxa" w:w="7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PyVRP (ثانیه)</w:t>
            </w:r>
          </w:p>
        </w:tc>
        <w:tc>
          <w:tcPr>
            <w:tcW w:type="dxa" w:w="94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OR-Tools (میانگین)</w:t>
            </w:r>
          </w:p>
        </w:tc>
        <w:tc>
          <w:tcPr>
            <w:tcW w:type="dxa" w:w="7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OR-Tools (ثانیه)</w:t>
            </w:r>
          </w:p>
        </w:tc>
        <w:tc>
          <w:tcPr>
            <w:tcW w:type="dxa" w:w="8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VROOM (میانگین)</w:t>
            </w:r>
          </w:p>
        </w:tc>
        <w:tc>
          <w:tcPr>
            <w:tcW w:type="dxa" w:w="7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VROOM (ثانیه)</w:t>
            </w:r>
          </w:p>
        </w:tc>
        <w:tc>
          <w:tcPr>
            <w:tcW w:type="dxa" w:w="107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بهترین</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p01</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576.0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584.0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576.0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0.81</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 / VROOM</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p02</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50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471.0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481.0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472.0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0.53</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p03</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75</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632.0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656.0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640.0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1.72</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p04</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992.7</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1093.0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998.0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2.23</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p05</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738.3</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767.0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744.0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2.49</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p06</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866.5</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962.0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877.0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2.68</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p07</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874.9</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917.0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889.0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2.73</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p08</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249</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4360.8</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4975.0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4453.0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10.05</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p09</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3892.7</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4435.8</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3971.9</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10.13</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p10</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249</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3635.3</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4319.0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3750.1</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10.17</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p11</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249</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3575.0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4399.0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3683.5</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10.22</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p12</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80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1314.0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1330.0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1321.0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0.98</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p13</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80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1314.0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1330.0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1321.0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0.99</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p14</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80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1314.0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1330.0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1321.0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0.99</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p15</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160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2494.0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2735.0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2541.0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5.28</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p16</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160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2494.0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2735.0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2541.0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5.39</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p17</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160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2494.0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2735.0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2541.0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5.37</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p18</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240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3707.3</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4305.0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3802.2</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9.86</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p19</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3706.3</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4305.0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3802.2</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9.87</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p20</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240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3710.2</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4305.0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3802.6</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9.88</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p21</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360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9</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5614.0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10.02</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6239.6</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5762.0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9.79</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p22</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360</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5613.2</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10.03</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6268.5</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5762.0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9.76</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p23</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360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9</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5613.3</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10.02</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6239.6</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5762.0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9.73</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bl>
    <w:p>
      <w:pPr>
        <w:bidi/>
        <w:spacing w:after="40" w:before="40"/>
        <w:jc w:val="right"/>
      </w:pPr>
      <w:r>
        <w:t xml:space="preserve"/>
      </w:r>
    </w:p>
    <w:p>
      <w:pPr>
        <w:pStyle w:val="Heading2"/>
        <w:bidi/>
        <w:spacing w:after="100" w:before="280"/>
        <w:jc w:val="right"/>
      </w:pPr>
      <w:r>
        <w:rPr>
          <w:rFonts w:ascii="B Nazanin" w:cs="B Nazanin" w:eastAsia="B Nazanin" w:hAnsi="B Nazanin"/>
          <w:b/>
          <w:bCs/>
          <w:color w:val="185FA5"/>
          <w:sz w:val="30"/>
          <w:szCs w:val="30"/>
        </w:rPr>
        <w:t xml:space="preserve">تحلیل نتایج زیرمجموعه قدیمی</w:t>
      </w:r>
    </w:p>
    <w:p>
      <w:pPr>
        <w:bidi/>
        <w:spacing w:after="80" w:before="80" w:line="360"/>
        <w:jc w:val="right"/>
      </w:pPr>
      <w:r>
        <w:rPr>
          <w:rFonts w:ascii="B Nazanin" w:cs="B Nazanin" w:eastAsia="B Nazanin" w:hAnsi="B Nazanin"/>
          <w:b/>
          <w:bCs/>
          <w:color w:val="0C447C"/>
          <w:sz w:val="26"/>
          <w:szCs w:val="26"/>
        </w:rPr>
        <w:t xml:space="preserve">برتری پایدار PyVRP: </w:t>
      </w:r>
      <w:r>
        <w:rPr>
          <w:rFonts w:ascii="B Nazanin" w:cs="B Nazanin" w:eastAsia="B Nazanin" w:hAnsi="B Nazanin"/>
          <w:b w:val="false"/>
          <w:bCs w:val="false"/>
          <w:color w:val="000000"/>
          <w:sz w:val="26"/>
          <w:szCs w:val="26"/>
        </w:rPr>
        <w:t xml:space="preserve">PyVRP در ۲۲ نمونه از ۲۳ نمونه بهترین نتیجه را به دست آورد و تنها در p01 با VROOM مساوی شد. برای نمونه، در p08 (249 مشتری)، PyVRP با مسافت 4360.8 در برابر 4453.0 برای VROOM و 4975.0 برای OR-Tools بهترین جواب را داد.</w:t>
      </w:r>
    </w:p>
    <w:p>
      <w:pPr>
        <w:bidi/>
        <w:spacing w:after="80" w:before="80" w:line="360"/>
        <w:jc w:val="right"/>
      </w:pPr>
      <w:r>
        <w:rPr>
          <w:rFonts w:ascii="B Nazanin" w:cs="B Nazanin" w:eastAsia="B Nazanin" w:hAnsi="B Nazanin"/>
          <w:b/>
          <w:bCs/>
          <w:color w:val="0C447C"/>
          <w:sz w:val="26"/>
          <w:szCs w:val="26"/>
        </w:rPr>
        <w:t xml:space="preserve">ضعف مداوم OR-Tools: </w:t>
      </w:r>
      <w:r>
        <w:rPr>
          <w:rFonts w:ascii="B Nazanin" w:cs="B Nazanin" w:eastAsia="B Nazanin" w:hAnsi="B Nazanin"/>
          <w:b w:val="false"/>
          <w:bCs w:val="false"/>
          <w:color w:val="000000"/>
          <w:sz w:val="26"/>
          <w:szCs w:val="26"/>
        </w:rPr>
        <w:t xml:space="preserve">OR-Tools در تمام ۲۳ نمونه ضعیف‌ترین عملکرد را داشت. اختلاف آن با PyVRP در نمونه‌های بزرگ (p21–p23 با ۳۶۰ مشتری) از ۱۰ تا ۱۱ درصد می‌رسد.</w:t>
      </w:r>
    </w:p>
    <w:p>
      <w:pPr>
        <w:bidi/>
        <w:spacing w:after="80" w:before="80" w:line="360"/>
        <w:jc w:val="right"/>
      </w:pPr>
      <w:r>
        <w:rPr>
          <w:rFonts w:ascii="B Nazanin" w:cs="B Nazanin" w:eastAsia="B Nazanin" w:hAnsi="B Nazanin"/>
          <w:b/>
          <w:bCs/>
          <w:color w:val="0C447C"/>
          <w:sz w:val="26"/>
          <w:szCs w:val="26"/>
        </w:rPr>
        <w:t xml:space="preserve">الگوی گروه‌های سه‌تایی: </w:t>
      </w:r>
      <w:r>
        <w:rPr>
          <w:rFonts w:ascii="B Nazanin" w:cs="B Nazanin" w:eastAsia="B Nazanin" w:hAnsi="B Nazanin"/>
          <w:b w:val="false"/>
          <w:bCs w:val="false"/>
          <w:color w:val="000000"/>
          <w:sz w:val="26"/>
          <w:szCs w:val="26"/>
        </w:rPr>
        <w:t xml:space="preserve">نمونه‌های p12–p14، p15–p17، و p18–p20 هر گروه نتایج یکسانی برای هر سه حل‌کننده تولید کردند. این رفتار انتظار می‌رود زیرا هر گروه نمونه‌های مشابه از یک خانواده مسئله هستند.</w:t>
      </w:r>
      <w:r>
        <w:rPr>
          <w:rFonts w:ascii="Tahoma" w:cs="Tahoma" w:eastAsia="Tahoma" w:hAnsi="Tahoma"/>
          <w:color w:val="185FA5"/>
          <w:sz w:val="18"/>
          <w:szCs w:val="18"/>
          <w:vertAlign w:val="superscript"/>
        </w:rPr>
        <w:t xml:space="preserve">[۵]</w:t>
      </w:r>
    </w:p>
    <w:p>
      <w:pPr>
        <w:bidi/>
        <w:spacing w:after="80" w:before="80" w:line="360"/>
        <w:jc w:val="right"/>
      </w:pPr>
      <w:r>
        <w:rPr>
          <w:rFonts w:ascii="B Nazanin" w:cs="B Nazanin" w:eastAsia="B Nazanin" w:hAnsi="B Nazanin"/>
          <w:b/>
          <w:bCs/>
          <w:color w:val="0C447C"/>
          <w:sz w:val="26"/>
          <w:szCs w:val="26"/>
        </w:rPr>
        <w:t xml:space="preserve">سرعت VROOM در نمونه‌های کوچک: </w:t>
      </w:r>
      <w:r>
        <w:rPr>
          <w:rFonts w:ascii="B Nazanin" w:cs="B Nazanin" w:eastAsia="B Nazanin" w:hAnsi="B Nazanin"/>
          <w:b w:val="false"/>
          <w:bCs w:val="false"/>
          <w:color w:val="000000"/>
          <w:sz w:val="26"/>
          <w:szCs w:val="26"/>
        </w:rPr>
        <w:t xml:space="preserve">VROOM در نمونه‌های کوچک (n≤80) بسیار سریع‌تر از دو حل‌کننده دیگر اجرا می‌شود — کمتر از ۱ ثانیه در مقابل ۱۰ ثانیه کامل برای PyVRP.</w:t>
      </w:r>
    </w:p>
    <w:p>
      <w:pPr>
        <w:bidi/>
        <w:spacing w:after="40" w:before="40"/>
        <w:jc w:val="right"/>
      </w:pPr>
      <w:r>
        <w:t xml:space="preserve"/>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۵. نتایج محک‌زنی — زیرمجموعه جدید (pr01–pr10)</w:t>
      </w:r>
    </w:p>
    <w:p>
      <w:pPr>
        <w:bidi/>
        <w:spacing w:after="40" w:before="40"/>
        <w:jc w:val="right"/>
      </w:pPr>
      <w:r>
        <w:t xml:space="preserve"/>
      </w:r>
    </w:p>
    <w:p>
      <w:pPr>
        <w:bidi/>
        <w:spacing w:after="80" w:before="80" w:line="360"/>
        <w:jc w:val="right"/>
      </w:pPr>
      <w:r>
        <w:rPr>
          <w:rFonts w:ascii="B Nazanin" w:cs="B Nazanin" w:eastAsia="B Nazanin" w:hAnsi="B Nazanin"/>
          <w:b w:val="false"/>
          <w:bCs w:val="false"/>
          <w:color w:val="000000"/>
          <w:sz w:val="26"/>
          <w:szCs w:val="26"/>
        </w:rPr>
        <w:t xml:space="preserve">جدول ۴ نتایج ۱۰ نمونه زیرمجموعه جدید را نشان می‌دهد. این زیرمجموعه در دو سری ترتیبی سازمان‌دهی شده است: pr01–pr06 با ۴ انبار و pr07–pr10 با ۶ انبار. این ساختار ترتیبی امکان ارزیابی رفتار مقیاس‌پذیری هر حل‌کننده را فراهم می‌کند.</w:t>
      </w:r>
      <w:r>
        <w:rPr>
          <w:rFonts w:ascii="Tahoma" w:cs="Tahoma" w:eastAsia="Tahoma" w:hAnsi="Tahoma"/>
          <w:color w:val="185FA5"/>
          <w:sz w:val="18"/>
          <w:szCs w:val="18"/>
          <w:vertAlign w:val="superscript"/>
        </w:rPr>
        <w:t xml:space="preserve">[۵]</w:t>
      </w:r>
    </w:p>
    <w:p>
      <w:pPr>
        <w:bidi/>
        <w:spacing w:after="40" w:before="40"/>
        <w:jc w:val="right"/>
      </w:pPr>
      <w:r>
        <w:t xml:space="preserve"/>
      </w:r>
    </w:p>
    <w:p>
      <w:pPr>
        <w:bidi/>
        <w:spacing w:after="80" w:before="200"/>
        <w:jc w:val="center"/>
      </w:pPr>
      <w:r>
        <w:rPr>
          <w:rFonts w:ascii="B Nazanin" w:cs="B Nazanin" w:eastAsia="B Nazanin" w:hAnsi="B Nazanin"/>
          <w:b/>
          <w:bCs/>
          <w:color w:val="0C447C"/>
          <w:sz w:val="28"/>
          <w:szCs w:val="28"/>
        </w:rPr>
        <w:t xml:space="preserve">جدول ۴: نتایج زیرمجموعه جدید — میانگین ۱۰ اجرای مستقل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50"/>
        <w:gridCol w:w="580"/>
        <w:gridCol w:w="500"/>
        <w:gridCol w:w="940"/>
        <w:gridCol w:w="780"/>
        <w:gridCol w:w="940"/>
        <w:gridCol w:w="780"/>
        <w:gridCol w:w="880"/>
        <w:gridCol w:w="780"/>
        <w:gridCol w:w="1070"/>
      </w:tblGrid>
      <w:tr>
        <w:trPr>
          <w:tblHeader/>
        </w:trPr>
        <w:tc>
          <w:tcPr>
            <w:tcW w:type="dxa" w:w="75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نمونه</w:t>
            </w:r>
          </w:p>
        </w:tc>
        <w:tc>
          <w:tcPr>
            <w:tcW w:type="dxa" w:w="5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n</w:t>
            </w:r>
          </w:p>
        </w:tc>
        <w:tc>
          <w:tcPr>
            <w:tcW w:type="dxa" w:w="50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t</w:t>
            </w:r>
          </w:p>
        </w:tc>
        <w:tc>
          <w:tcPr>
            <w:tcW w:type="dxa" w:w="94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PyVRP (میانگین)</w:t>
            </w:r>
          </w:p>
        </w:tc>
        <w:tc>
          <w:tcPr>
            <w:tcW w:type="dxa" w:w="7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PyVRP (ثانیه)</w:t>
            </w:r>
          </w:p>
        </w:tc>
        <w:tc>
          <w:tcPr>
            <w:tcW w:type="dxa" w:w="94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OR-Tools (میانگین)</w:t>
            </w:r>
          </w:p>
        </w:tc>
        <w:tc>
          <w:tcPr>
            <w:tcW w:type="dxa" w:w="7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OR-Tools (ثانیه)</w:t>
            </w:r>
          </w:p>
        </w:tc>
        <w:tc>
          <w:tcPr>
            <w:tcW w:type="dxa" w:w="8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VROOM (میانگین)</w:t>
            </w:r>
          </w:p>
        </w:tc>
        <w:tc>
          <w:tcPr>
            <w:tcW w:type="dxa" w:w="78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VROOM (ثانیه)</w:t>
            </w:r>
          </w:p>
        </w:tc>
        <w:tc>
          <w:tcPr>
            <w:tcW w:type="dxa" w:w="1070"/>
            <w:tcBorders>
              <w:top w:val="single" w:color="CCCCCC" w:sz="1"/>
              <w:left w:val="single" w:color="CCCCCC" w:sz="1"/>
              <w:bottom w:val="single" w:color="CCCCCC" w:sz="1"/>
              <w:right w:val="single" w:color="CCCCCC" w:sz="1"/>
            </w:tcBorders>
            <w:shd w:fill="1A4070" w:val="clear"/>
            <w:tcMar>
              <w:top w:type="dxa" w:w="60"/>
              <w:left w:type="dxa" w:w="80"/>
              <w:bottom w:type="dxa" w:w="60"/>
              <w:right w:type="dxa" w:w="80"/>
            </w:tcMar>
            <w:vAlign w:val="center"/>
          </w:tcPr>
          <w:p>
            <w:pPr>
              <w:bidi/>
              <w:jc w:val="center"/>
            </w:pPr>
            <w:r>
              <w:rPr>
                <w:rFonts w:ascii="Tahoma" w:cs="Tahoma" w:eastAsia="Tahoma" w:hAnsi="Tahoma"/>
                <w:b/>
                <w:bCs/>
                <w:color w:val="FFFFFF"/>
                <w:sz w:val="18"/>
                <w:szCs w:val="18"/>
              </w:rPr>
              <w:t xml:space="preserve">بهترین</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pr01</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48</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858.0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858.0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858.0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0.56</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مساوی (هر سه)</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pr02</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96</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1272.0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1341.0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1276.0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2.23</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pr03</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144</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1784.1</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1940.0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1809.0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5.19</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pr04</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192</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2036.4</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2224.0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2061.2</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9.26</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pr05</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240</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2314.9</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2623.0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2373.5</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10.14</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pr06</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288</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4</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2662.2</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2964.0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2732.2</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10.18</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pr07</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72</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1078.0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1098.1</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1087.0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1.38</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pr08</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144</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1649.4</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1771.0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1697.0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6.04</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pr09</w:t>
            </w:r>
          </w:p>
        </w:tc>
        <w:tc>
          <w:tcPr>
            <w:tcW w:type="dxa" w:w="5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216</w:t>
            </w:r>
          </w:p>
        </w:tc>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2149.5</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2505.0</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10.00</w:t>
            </w:r>
          </w:p>
        </w:tc>
        <w:tc>
          <w:tcPr>
            <w:tcW w:type="dxa" w:w="8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2198.9</w:t>
            </w:r>
          </w:p>
        </w:tc>
        <w:tc>
          <w:tcPr>
            <w:tcW w:type="dxa" w:w="78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10.15</w:t>
            </w:r>
          </w:p>
        </w:tc>
        <w:tc>
          <w:tcPr>
            <w:tcW w:type="dxa" w:w="1070"/>
            <w:tcBorders>
              <w:top w:val="single" w:color="CCCCCC" w:sz="1"/>
              <w:left w:val="single" w:color="CCCCCC" w:sz="1"/>
              <w:bottom w:val="single" w:color="CCCCCC" w:sz="1"/>
              <w:right w:val="single" w:color="CCCCCC" w:sz="1"/>
            </w:tcBorders>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r>
        <w:tc>
          <w:tcPr>
            <w:tcW w:type="dxa" w:w="75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pr10</w:t>
            </w:r>
          </w:p>
        </w:tc>
        <w:tc>
          <w:tcPr>
            <w:tcW w:type="dxa" w:w="5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288</w:t>
            </w:r>
          </w:p>
        </w:tc>
        <w:tc>
          <w:tcPr>
            <w:tcW w:type="dxa" w:w="50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6</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2783.6</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94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3181.0</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10.01</w:t>
            </w:r>
          </w:p>
        </w:tc>
        <w:tc>
          <w:tcPr>
            <w:tcW w:type="dxa" w:w="8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2901.3</w:t>
            </w:r>
          </w:p>
        </w:tc>
        <w:tc>
          <w:tcPr>
            <w:tcW w:type="dxa" w:w="78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10.24</w:t>
            </w:r>
          </w:p>
        </w:tc>
        <w:tc>
          <w:tcPr>
            <w:tcW w:type="dxa" w:w="1070"/>
            <w:tcBorders>
              <w:top w:val="single" w:color="CCCCCC" w:sz="1"/>
              <w:left w:val="single" w:color="CCCCCC" w:sz="1"/>
              <w:bottom w:val="single" w:color="CCCCCC" w:sz="1"/>
              <w:right w:val="single" w:color="CCCCCC" w:sz="1"/>
            </w:tcBorders>
            <w:shd w:fill="EDF4FB" w:val="clear"/>
            <w:tcMar>
              <w:top w:type="dxa" w:w="60"/>
              <w:left w:type="dxa" w:w="80"/>
              <w:bottom w:type="dxa" w:w="60"/>
              <w:right w:type="dxa" w:w="80"/>
            </w:tcMar>
            <w:vAlign w:val="center"/>
          </w:tcPr>
          <w:p>
            <w:pPr>
              <w:bidi/>
              <w:jc w:val="center"/>
            </w:pPr>
            <w:r>
              <w:rPr>
                <w:rFonts w:ascii="Tahoma" w:cs="Tahoma" w:eastAsia="Tahoma" w:hAnsi="Tahoma"/>
                <w:sz w:val="22"/>
                <w:szCs w:val="22"/>
              </w:rPr>
              <w:t xml:space="preserve">PyVRP</w:t>
            </w:r>
          </w:p>
        </w:tc>
      </w:tr>
    </w:tbl>
    <w:p>
      <w:pPr>
        <w:bidi/>
        <w:spacing w:after="40" w:before="40"/>
        <w:jc w:val="right"/>
      </w:pPr>
      <w:r>
        <w:t xml:space="preserve"/>
      </w:r>
    </w:p>
    <w:p>
      <w:pPr>
        <w:pStyle w:val="Heading2"/>
        <w:bidi/>
        <w:spacing w:after="100" w:before="280"/>
        <w:jc w:val="right"/>
      </w:pPr>
      <w:r>
        <w:rPr>
          <w:rFonts w:ascii="B Nazanin" w:cs="B Nazanin" w:eastAsia="B Nazanin" w:hAnsi="B Nazanin"/>
          <w:b/>
          <w:bCs/>
          <w:color w:val="185FA5"/>
          <w:sz w:val="30"/>
          <w:szCs w:val="30"/>
        </w:rPr>
        <w:t xml:space="preserve">تحلیل نتایج زیرمجموعه جدید</w:t>
      </w:r>
    </w:p>
    <w:p>
      <w:pPr>
        <w:bidi/>
        <w:spacing w:after="80" w:before="80" w:line="360"/>
        <w:jc w:val="right"/>
      </w:pPr>
      <w:r>
        <w:rPr>
          <w:rFonts w:ascii="B Nazanin" w:cs="B Nazanin" w:eastAsia="B Nazanin" w:hAnsi="B Nazanin"/>
          <w:b/>
          <w:bCs/>
          <w:color w:val="0C447C"/>
          <w:sz w:val="26"/>
          <w:szCs w:val="26"/>
        </w:rPr>
        <w:t xml:space="preserve">تساوی در pr01 (بهینگی احتمالی): </w:t>
      </w:r>
      <w:r>
        <w:rPr>
          <w:rFonts w:ascii="B Nazanin" w:cs="B Nazanin" w:eastAsia="B Nazanin" w:hAnsi="B Nazanin"/>
          <w:b w:val="false"/>
          <w:bCs w:val="false"/>
          <w:color w:val="000000"/>
          <w:sz w:val="26"/>
          <w:szCs w:val="26"/>
        </w:rPr>
        <w:t xml:space="preserve">در کوچک‌ترین نمونه (pr01 با ۴۸ مشتری)، هر سه حل‌کننده به جواب یکسان ۸۵۸.۰ رسیدند. جالب توجه است که ازگوو و همکاران</w:t>
      </w:r>
      <w:r>
        <w:rPr>
          <w:rFonts w:ascii="Tahoma" w:cs="Tahoma" w:eastAsia="Tahoma" w:hAnsi="Tahoma"/>
          <w:color w:val="185FA5"/>
          <w:sz w:val="18"/>
          <w:szCs w:val="18"/>
          <w:vertAlign w:val="superscript"/>
        </w:rPr>
        <w:t xml:space="preserve">[۱۰]</w:t>
      </w:r>
      <w:r>
        <w:rPr>
          <w:rFonts w:ascii="B Nazanin" w:cs="B Nazanin" w:eastAsia="B Nazanin" w:hAnsi="B Nazanin"/>
          <w:b w:val="false"/>
          <w:bCs w:val="false"/>
          <w:color w:val="000000"/>
          <w:sz w:val="26"/>
          <w:szCs w:val="26"/>
        </w:rPr>
        <w:t xml:space="preserve"> مقدار 861.32 را به عنوان BKS گزارش کردند — احتمالاً به دلیل تفاوت در محاسبه ماتریس فاصله.</w:t>
      </w:r>
    </w:p>
    <w:p>
      <w:pPr>
        <w:bidi/>
        <w:spacing w:after="80" w:before="80" w:line="360"/>
        <w:jc w:val="right"/>
      </w:pPr>
      <w:r>
        <w:rPr>
          <w:rFonts w:ascii="B Nazanin" w:cs="B Nazanin" w:eastAsia="B Nazanin" w:hAnsi="B Nazanin"/>
          <w:b/>
          <w:bCs/>
          <w:color w:val="0C447C"/>
          <w:sz w:val="26"/>
          <w:szCs w:val="26"/>
        </w:rPr>
        <w:t xml:space="preserve">رشد شکاف با افزایش مقیاس: </w:t>
      </w:r>
      <w:r>
        <w:rPr>
          <w:rFonts w:ascii="B Nazanin" w:cs="B Nazanin" w:eastAsia="B Nazanin" w:hAnsi="B Nazanin"/>
          <w:b w:val="false"/>
          <w:bCs w:val="false"/>
          <w:color w:val="000000"/>
          <w:sz w:val="26"/>
          <w:szCs w:val="26"/>
        </w:rPr>
        <w:t xml:space="preserve">در سری pr01–pr06، شکاف بین PyVRP و VROOM از ۰ در pr01 به ۷۰ واحد در pr06 رشد می‌کند. در سری pr07–pr10 این الگو تکرار می‌شود: شکاف از ۹ واحد در pr07 به ۱۱۷.۷ واحد در pr10 می‌رسد.</w:t>
      </w:r>
    </w:p>
    <w:p>
      <w:pPr>
        <w:bidi/>
        <w:spacing w:after="80" w:before="80" w:line="360"/>
        <w:jc w:val="right"/>
      </w:pPr>
      <w:r>
        <w:rPr>
          <w:rFonts w:ascii="B Nazanin" w:cs="B Nazanin" w:eastAsia="B Nazanin" w:hAnsi="B Nazanin"/>
          <w:b/>
          <w:bCs/>
          <w:color w:val="0C447C"/>
          <w:sz w:val="26"/>
          <w:szCs w:val="26"/>
        </w:rPr>
        <w:t xml:space="preserve">شکاف بزرگ OR-Tools در نمونه‌های بزرگ: </w:t>
      </w:r>
      <w:r>
        <w:rPr>
          <w:rFonts w:ascii="B Nazanin" w:cs="B Nazanin" w:eastAsia="B Nazanin" w:hAnsi="B Nazanin"/>
          <w:b w:val="false"/>
          <w:bCs w:val="false"/>
          <w:color w:val="000000"/>
          <w:sz w:val="26"/>
          <w:szCs w:val="26"/>
        </w:rPr>
        <w:t xml:space="preserve">OR-Tools در pr09 مسافت 2505.0 را گزارش کرد در حالی که PyVRP به 2149.5 رسید — شکافی برابر ۳۵۵.۵ واحد (16.5 درصد). این اعداد نشان می‌دهند که OR-Tools برای این کلاس از مسائل MDVRP مناسب نیست.</w:t>
      </w:r>
    </w:p>
    <w:p>
      <w:pPr>
        <w:bidi/>
        <w:spacing w:after="40" w:before="40"/>
        <w:jc w:val="right"/>
      </w:pPr>
      <w:r>
        <w:t xml:space="preserve"/>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۶. مقایسه کلی و بحث</w:t>
      </w:r>
    </w:p>
    <w:p>
      <w:pPr>
        <w:bidi/>
        <w:spacing w:after="40" w:before="40"/>
        <w:jc w:val="right"/>
      </w:pPr>
      <w:r>
        <w:t xml:space="preserve"/>
      </w:r>
    </w:p>
    <w:p>
      <w:pPr>
        <w:pStyle w:val="Heading2"/>
        <w:bidi/>
        <w:spacing w:after="100" w:before="280"/>
        <w:jc w:val="right"/>
      </w:pPr>
      <w:r>
        <w:rPr>
          <w:rFonts w:ascii="B Nazanin" w:cs="B Nazanin" w:eastAsia="B Nazanin" w:hAnsi="B Nazanin"/>
          <w:b/>
          <w:bCs/>
          <w:color w:val="185FA5"/>
          <w:sz w:val="30"/>
          <w:szCs w:val="30"/>
        </w:rPr>
        <w:t xml:space="preserve">۶.۱. رتبه‌بندی کلی حل‌کننده‌ها</w:t>
      </w:r>
    </w:p>
    <w:p>
      <w:pPr>
        <w:bidi/>
        <w:spacing w:after="80" w:before="80" w:line="360"/>
        <w:jc w:val="right"/>
      </w:pPr>
      <w:r>
        <w:rPr>
          <w:rFonts w:ascii="B Nazanin" w:cs="B Nazanin" w:eastAsia="B Nazanin" w:hAnsi="B Nazanin"/>
          <w:b w:val="false"/>
          <w:bCs w:val="false"/>
          <w:color w:val="000000"/>
          <w:sz w:val="26"/>
          <w:szCs w:val="26"/>
        </w:rPr>
        <w:t xml:space="preserve">با در نظر گرفتن مجموع ۳۳ نمونه، سلسله‌مراتب عملکرد حل‌کننده‌ها به‌طور یکنواخت به صورت </w:t>
      </w:r>
      <w:r>
        <w:rPr>
          <w:rFonts w:ascii="B Nazanin" w:cs="B Nazanin" w:eastAsia="B Nazanin" w:hAnsi="B Nazanin"/>
          <w:b/>
          <w:bCs/>
          <w:color w:val="0C447C"/>
          <w:sz w:val="26"/>
          <w:szCs w:val="26"/>
        </w:rPr>
        <w:t xml:space="preserve">PyVRP &gt; VROOM &gt; OR-Tools</w:t>
      </w:r>
      <w:r>
        <w:rPr>
          <w:rFonts w:ascii="B Nazanin" w:cs="B Nazanin" w:eastAsia="B Nazanin" w:hAnsi="B Nazanin"/>
          <w:b w:val="false"/>
          <w:bCs w:val="false"/>
          <w:color w:val="000000"/>
          <w:sz w:val="26"/>
          <w:szCs w:val="26"/>
        </w:rPr>
        <w:t xml:space="preserve"> است. PyVRP مبتنی بر جستجوی ژنتیک ترکیبی</w:t>
      </w:r>
      <w:r>
        <w:rPr>
          <w:rFonts w:ascii="Tahoma" w:cs="Tahoma" w:eastAsia="Tahoma" w:hAnsi="Tahoma"/>
          <w:color w:val="185FA5"/>
          <w:sz w:val="18"/>
          <w:szCs w:val="18"/>
          <w:vertAlign w:val="superscript"/>
        </w:rPr>
        <w:t xml:space="preserve">[۱۴]</w:t>
      </w:r>
      <w:r>
        <w:rPr>
          <w:rFonts w:ascii="B Nazanin" w:cs="B Nazanin" w:eastAsia="B Nazanin" w:hAnsi="B Nazanin"/>
          <w:b w:val="false"/>
          <w:bCs w:val="false"/>
          <w:color w:val="000000"/>
          <w:sz w:val="26"/>
          <w:szCs w:val="26"/>
        </w:rPr>
        <w:t xml:space="preserve"> است که برای فرار از بهینه‌های محلی مؤثرتر از جستجوی محلی ساده است.</w:t>
      </w:r>
    </w:p>
    <w:p>
      <w:pPr>
        <w:pStyle w:val="Heading2"/>
        <w:bidi/>
        <w:spacing w:after="100" w:before="280"/>
        <w:jc w:val="right"/>
      </w:pPr>
      <w:r>
        <w:rPr>
          <w:rFonts w:ascii="B Nazanin" w:cs="B Nazanin" w:eastAsia="B Nazanin" w:hAnsi="B Nazanin"/>
          <w:b/>
          <w:bCs/>
          <w:color w:val="185FA5"/>
          <w:sz w:val="30"/>
          <w:szCs w:val="30"/>
        </w:rPr>
        <w:t xml:space="preserve">۶.۲. تأثیر مقیاس مسئله</w:t>
      </w:r>
    </w:p>
    <w:p>
      <w:pPr>
        <w:bidi/>
        <w:spacing w:after="80" w:before="80" w:line="360"/>
        <w:jc w:val="right"/>
      </w:pPr>
      <w:r>
        <w:rPr>
          <w:rFonts w:ascii="B Nazanin" w:cs="B Nazanin" w:eastAsia="B Nazanin" w:hAnsi="B Nazanin"/>
          <w:b w:val="false"/>
          <w:bCs w:val="false"/>
          <w:color w:val="000000"/>
          <w:sz w:val="26"/>
          <w:szCs w:val="26"/>
        </w:rPr>
        <w:t xml:space="preserve">برتری PyVRP با افزایش اندازه مسئله به‌طور سیستماتیک تشدید می‌شود. برای n≤100 تفاوت کمتر از ۱ درصد است، اما برای n≥249 به بیش از ۲.۷ درصد می‌رسد. این یافته با نتایج ویدال و همکاران</w:t>
      </w:r>
      <w:r>
        <w:rPr>
          <w:rFonts w:ascii="Tahoma" w:cs="Tahoma" w:eastAsia="Tahoma" w:hAnsi="Tahoma"/>
          <w:color w:val="185FA5"/>
          <w:sz w:val="18"/>
          <w:szCs w:val="18"/>
          <w:vertAlign w:val="superscript"/>
        </w:rPr>
        <w:t xml:space="preserve">[۹]</w:t>
      </w:r>
      <w:r>
        <w:rPr>
          <w:rFonts w:ascii="B Nazanin" w:cs="B Nazanin" w:eastAsia="B Nazanin" w:hAnsi="B Nazanin"/>
          <w:b w:val="false"/>
          <w:bCs w:val="false"/>
          <w:color w:val="000000"/>
          <w:sz w:val="26"/>
          <w:szCs w:val="26"/>
        </w:rPr>
        <w:t xml:space="preserve"> مطابقت دارد که نشان دادند الگوریتم‌های ژنتیک ترکیبی با افزایش مقیاس مزیت نسبی بیشتری دارند.</w:t>
      </w:r>
    </w:p>
    <w:p>
      <w:pPr>
        <w:pStyle w:val="Heading2"/>
        <w:bidi/>
        <w:spacing w:after="100" w:before="280"/>
        <w:jc w:val="right"/>
      </w:pPr>
      <w:r>
        <w:rPr>
          <w:rFonts w:ascii="B Nazanin" w:cs="B Nazanin" w:eastAsia="B Nazanin" w:hAnsi="B Nazanin"/>
          <w:b/>
          <w:bCs/>
          <w:color w:val="185FA5"/>
          <w:sz w:val="30"/>
          <w:szCs w:val="30"/>
        </w:rPr>
        <w:t xml:space="preserve">۶.۳. رفتار زمانی</w:t>
      </w:r>
    </w:p>
    <w:p>
      <w:pPr>
        <w:bidi/>
        <w:spacing w:after="80" w:before="80" w:line="360"/>
        <w:jc w:val="right"/>
      </w:pPr>
      <w:r>
        <w:rPr>
          <w:rFonts w:ascii="B Nazanin" w:cs="B Nazanin" w:eastAsia="B Nazanin" w:hAnsi="B Nazanin"/>
          <w:b w:val="false"/>
          <w:bCs w:val="false"/>
          <w:color w:val="000000"/>
          <w:sz w:val="26"/>
          <w:szCs w:val="26"/>
        </w:rPr>
        <w:t xml:space="preserve">VROOM در نمونه‌های کوچک (n≤80) به مراتب سریع‌تر است (کمتر از ۱ ثانیه). این ویژگی VROOM را برای کاربردهای زمان‌بندی واقعی جذاب می‌کند. اما با افزایش n به ۲۴۰ یا بیشتر، VROOM نیز به کل بودجه ۱۰ ثانیه نیاز دارد.</w:t>
      </w:r>
    </w:p>
    <w:p>
      <w:pPr>
        <w:pStyle w:val="Heading2"/>
        <w:bidi/>
        <w:spacing w:after="100" w:before="280"/>
        <w:jc w:val="right"/>
      </w:pPr>
      <w:r>
        <w:rPr>
          <w:rFonts w:ascii="B Nazanin" w:cs="B Nazanin" w:eastAsia="B Nazanin" w:hAnsi="B Nazanin"/>
          <w:b/>
          <w:bCs/>
          <w:color w:val="185FA5"/>
          <w:sz w:val="30"/>
          <w:szCs w:val="30"/>
        </w:rPr>
        <w:t xml:space="preserve">۶.۴. محدودیت — عدم دسترسی به BKS</w:t>
      </w:r>
    </w:p>
    <w:p>
      <w:pPr>
        <w:bidi/>
        <w:spacing w:after="80" w:before="80" w:line="360"/>
        <w:jc w:val="right"/>
      </w:pPr>
      <w:r>
        <w:rPr>
          <w:rFonts w:ascii="B Nazanin" w:cs="B Nazanin" w:eastAsia="B Nazanin" w:hAnsi="B Nazanin"/>
          <w:b w:val="false"/>
          <w:bCs w:val="false"/>
          <w:color w:val="000000"/>
          <w:sz w:val="26"/>
          <w:szCs w:val="26"/>
        </w:rPr>
        <w:t xml:space="preserve">غیاب مقادیر بهترین جواب‌های شناخته‌شده (BKS) مهم‌ترین محدودیت تفسیر نتایج این پژوهش است. BKS نمونه‌های کوردو در منابع متعددی گزارش شده: کوردو و همکاران</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ویدال و همکاران</w:t>
      </w:r>
      <w:r>
        <w:rPr>
          <w:rFonts w:ascii="Tahoma" w:cs="Tahoma" w:eastAsia="Tahoma" w:hAnsi="Tahoma"/>
          <w:color w:val="185FA5"/>
          <w:sz w:val="18"/>
          <w:szCs w:val="18"/>
          <w:vertAlign w:val="superscript"/>
        </w:rPr>
        <w:t xml:space="preserve">[۹]</w:t>
      </w:r>
      <w:r>
        <w:rPr>
          <w:rFonts w:ascii="B Nazanin" w:cs="B Nazanin" w:eastAsia="B Nazanin" w:hAnsi="B Nazanin"/>
          <w:b w:val="false"/>
          <w:bCs w:val="false"/>
          <w:color w:val="000000"/>
          <w:sz w:val="26"/>
          <w:szCs w:val="26"/>
        </w:rPr>
        <w:t xml:space="preserve">، و ازگوو و همکاران</w:t>
      </w:r>
      <w:r>
        <w:rPr>
          <w:rFonts w:ascii="Tahoma" w:cs="Tahoma" w:eastAsia="Tahoma" w:hAnsi="Tahoma"/>
          <w:color w:val="185FA5"/>
          <w:sz w:val="18"/>
          <w:szCs w:val="18"/>
          <w:vertAlign w:val="superscript"/>
        </w:rPr>
        <w:t xml:space="preserve">[۱۰]</w:t>
      </w:r>
      <w:r>
        <w:rPr>
          <w:rFonts w:ascii="B Nazanin" w:cs="B Nazanin" w:eastAsia="B Nazanin" w:hAnsi="B Nazanin"/>
          <w:b w:val="false"/>
          <w:bCs w:val="false"/>
          <w:color w:val="000000"/>
          <w:sz w:val="26"/>
          <w:szCs w:val="26"/>
        </w:rPr>
        <w:t xml:space="preserve">. مقایسه کیفی نشان می‌دهد PyVRP در نمونه‌های کوچک به BKS نزدیک است (مثلاً 576.0 برای p01 در مقابل BKS گزارش‌شده ۵۷۶.۸۷ توسط ازگوو)، اما برای نمونه‌های بزرگ با بودجه ۱۰ ثانیه احتمالاً شکاف قابل توجهی وجود دارد.</w:t>
      </w:r>
    </w:p>
    <w:p>
      <w:pPr>
        <w:pStyle w:val="Heading2"/>
        <w:bidi/>
        <w:spacing w:after="100" w:before="280"/>
        <w:jc w:val="right"/>
      </w:pPr>
      <w:r>
        <w:rPr>
          <w:rFonts w:ascii="B Nazanin" w:cs="B Nazanin" w:eastAsia="B Nazanin" w:hAnsi="B Nazanin"/>
          <w:b/>
          <w:bCs/>
          <w:color w:val="185FA5"/>
          <w:sz w:val="30"/>
          <w:szCs w:val="30"/>
        </w:rPr>
        <w:t xml:space="preserve">۶.۵. جمع‌بندی تصمیمات طراحی</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سازگارسازی در سطح مدل‌سازی: </w:t>
      </w:r>
      <w:r>
        <w:rPr>
          <w:rFonts w:ascii="B Nazanin" w:cs="B Nazanin" w:eastAsia="B Nazanin" w:hAnsi="B Nazanin"/>
          <w:b w:val="false"/>
          <w:bCs w:val="false"/>
          <w:color w:val="000000"/>
          <w:sz w:val="26"/>
          <w:szCs w:val="26"/>
        </w:rPr>
        <w:t xml:space="preserve">هیچ الگوریتم جدیدی پیاده‌سازی نشد — کد ساده‌تر و قابل‌نگهداری‌تر است.</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تخصیص آزاد: </w:t>
      </w:r>
      <w:r>
        <w:rPr>
          <w:rFonts w:ascii="B Nazanin" w:cs="B Nazanin" w:eastAsia="B Nazanin" w:hAnsi="B Nazanin"/>
          <w:b w:val="false"/>
          <w:bCs w:val="false"/>
          <w:color w:val="000000"/>
          <w:sz w:val="26"/>
          <w:szCs w:val="26"/>
        </w:rPr>
        <w:t xml:space="preserve">منطبق با تعریف کلاسیک</w:t>
      </w:r>
      <w:r>
        <w:rPr>
          <w:rFonts w:ascii="Tahoma" w:cs="Tahoma" w:eastAsia="Tahoma" w:hAnsi="Tahoma"/>
          <w:color w:val="185FA5"/>
          <w:sz w:val="18"/>
          <w:szCs w:val="18"/>
          <w:vertAlign w:val="superscript"/>
        </w:rPr>
        <w:t xml:space="preserve">[۵]</w:t>
      </w:r>
      <w:r>
        <w:rPr>
          <w:rFonts w:ascii="B Nazanin" w:cs="B Nazanin" w:eastAsia="B Nazanin" w:hAnsi="B Nazanin"/>
          <w:b w:val="false"/>
          <w:bCs w:val="false"/>
          <w:color w:val="000000"/>
          <w:sz w:val="26"/>
          <w:szCs w:val="26"/>
        </w:rPr>
        <w:t xml:space="preserve"> و دهنده حداکثر آزادی به حل‌کننده.</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Fleet Sizing مبتنی بر کران نظری: </w:t>
      </w:r>
      <w:r>
        <w:rPr>
          <w:rFonts w:ascii="B Nazanin" w:cs="B Nazanin" w:eastAsia="B Nazanin" w:hAnsi="B Nazanin"/>
          <w:b w:val="false"/>
          <w:bCs w:val="false"/>
          <w:color w:val="000000"/>
          <w:sz w:val="26"/>
          <w:szCs w:val="26"/>
        </w:rPr>
        <w:t xml:space="preserve">R = ⌈ΣD/Q⌉ هم شدنی‌پذیری را تضمین می‌کند و هم از انفجار محاسباتی جلوگیری می‌نماید.</w:t>
      </w:r>
    </w:p>
    <w:p>
      <w:pPr>
        <w:pStyle w:val="ListParagraph"/>
        <w:numPr>
          <w:ilvl w:val="0"/>
          <w:numId w:val="2"/>
        </w:numPr>
        <w:bidi/>
        <w:spacing w:after="80" w:before="80" w:line="340"/>
        <w:jc w:val="right"/>
      </w:pPr>
      <w:r>
        <w:rPr>
          <w:rFonts w:ascii="B Nazanin" w:cs="B Nazanin" w:eastAsia="B Nazanin" w:hAnsi="B Nazanin"/>
          <w:b/>
          <w:bCs/>
          <w:color w:val="0C447C"/>
          <w:sz w:val="26"/>
          <w:szCs w:val="26"/>
        </w:rPr>
        <w:t xml:space="preserve">کشف و رفع خطای پارسر: </w:t>
      </w:r>
      <w:r>
        <w:rPr>
          <w:rFonts w:ascii="B Nazanin" w:cs="B Nazanin" w:eastAsia="B Nazanin" w:hAnsi="B Nazanin"/>
          <w:b w:val="false"/>
          <w:bCs w:val="false"/>
          <w:color w:val="000000"/>
          <w:sz w:val="26"/>
          <w:szCs w:val="26"/>
        </w:rPr>
        <w:t xml:space="preserve">این خطای خاموش بدون اعتبارسنجی دقیق قابل کشف نبود و اهمیت تست‌نویسی در پژوهش‌های محک‌زنی را نشان می‌دهد.</w:t>
      </w:r>
    </w:p>
    <w:p>
      <w:pPr>
        <w:bidi/>
        <w:spacing w:after="40" w:before="40"/>
        <w:jc w:val="right"/>
      </w:pPr>
      <w:r>
        <w:t xml:space="preserve"/>
      </w:r>
    </w:p>
    <w:p>
      <w:pPr>
        <w:pStyle w:val="Heading1"/>
        <w:pBdr>
          <w:bottom w:val="single" w:color="185FA5" w:sz="4" w:space="4"/>
        </w:pBdr>
        <w:bidi/>
        <w:spacing w:after="160" w:before="400"/>
        <w:jc w:val="right"/>
      </w:pPr>
      <w:r>
        <w:rPr>
          <w:rFonts w:ascii="B Nazanin" w:cs="B Nazanin" w:eastAsia="B Nazanin" w:hAnsi="B Nazanin"/>
          <w:b/>
          <w:bCs/>
          <w:color w:val="1A3A5C"/>
          <w:sz w:val="36"/>
          <w:szCs w:val="36"/>
        </w:rPr>
        <w:t xml:space="preserve">مراجع</w:t>
      </w:r>
    </w:p>
    <w:p>
      <w:pPr>
        <w:bidi/>
        <w:spacing w:after="40" w:before="40"/>
        <w:jc w:val="right"/>
      </w:pPr>
      <w:r>
        <w:t xml:space="preserve"/>
      </w:r>
    </w:p>
    <w:p>
      <w:pPr>
        <w:bidi/>
        <w:spacing w:after="80" w:before="80" w:line="300"/>
        <w:jc w:val="right"/>
      </w:pPr>
      <w:r>
        <w:rPr>
          <w:rFonts w:ascii="Tahoma" w:cs="Tahoma" w:eastAsia="Tahoma" w:hAnsi="Tahoma"/>
          <w:sz w:val="22"/>
          <w:szCs w:val="22"/>
        </w:rPr>
        <w:t xml:space="preserve">[۱] Dantzig, G.B., &amp; Ramser, J.H. (1959). The truck dispatching problem. Management Science, 6(1), 80–91.</w:t>
      </w:r>
    </w:p>
    <w:p>
      <w:pPr>
        <w:bidi/>
        <w:spacing w:after="80" w:before="80" w:line="300"/>
        <w:jc w:val="right"/>
      </w:pPr>
      <w:r>
        <w:rPr>
          <w:rFonts w:ascii="Tahoma" w:cs="Tahoma" w:eastAsia="Tahoma" w:hAnsi="Tahoma"/>
          <w:sz w:val="22"/>
          <w:szCs w:val="22"/>
        </w:rPr>
        <w:t xml:space="preserve">[۲] Toth, P., &amp; Vigo, D. (2002). The vehicle routing problem. SIAM.</w:t>
      </w:r>
    </w:p>
    <w:p>
      <w:pPr>
        <w:bidi/>
        <w:spacing w:after="80" w:before="80" w:line="300"/>
        <w:jc w:val="right"/>
      </w:pPr>
      <w:r>
        <w:rPr>
          <w:rFonts w:ascii="Tahoma" w:cs="Tahoma" w:eastAsia="Tahoma" w:hAnsi="Tahoma"/>
          <w:sz w:val="22"/>
          <w:szCs w:val="22"/>
        </w:rPr>
        <w:t xml:space="preserve">[۳] Kachitvichyanukul, V., et al. (2015). Two solution representations for solving multi-depot VRP. Computers &amp; Industrial Engineering, 89, 125–136.</w:t>
      </w:r>
    </w:p>
    <w:p>
      <w:pPr>
        <w:bidi/>
        <w:spacing w:after="80" w:before="80" w:line="300"/>
        <w:jc w:val="right"/>
      </w:pPr>
      <w:r>
        <w:rPr>
          <w:rFonts w:ascii="Tahoma" w:cs="Tahoma" w:eastAsia="Tahoma" w:hAnsi="Tahoma"/>
          <w:sz w:val="22"/>
          <w:szCs w:val="22"/>
        </w:rPr>
        <w:t xml:space="preserve">[۴] Giosa, I.D., et al. (2002). New assignment algorithms for the multi-depot vehicle routing problem. JORS, 53(9), 977–984.</w:t>
      </w:r>
    </w:p>
    <w:p>
      <w:pPr>
        <w:bidi/>
        <w:spacing w:after="80" w:before="80" w:line="300"/>
        <w:jc w:val="right"/>
      </w:pPr>
      <w:r>
        <w:rPr>
          <w:rFonts w:ascii="Tahoma" w:cs="Tahoma" w:eastAsia="Tahoma" w:hAnsi="Tahoma"/>
          <w:sz w:val="22"/>
          <w:szCs w:val="22"/>
        </w:rPr>
        <w:t xml:space="preserve">[۵] Cordeau, J.F., Gendreau, M., &amp; Laporte, G. (1997). A tabu search heuristic for periodic and multi-depot vehicle routing problems. Networks, 30(2), 105–119.</w:t>
      </w:r>
    </w:p>
    <w:p>
      <w:pPr>
        <w:bidi/>
        <w:spacing w:after="80" w:before="80" w:line="300"/>
        <w:jc w:val="right"/>
      </w:pPr>
      <w:r>
        <w:rPr>
          <w:rFonts w:ascii="Tahoma" w:cs="Tahoma" w:eastAsia="Tahoma" w:hAnsi="Tahoma"/>
          <w:sz w:val="22"/>
          <w:szCs w:val="22"/>
        </w:rPr>
        <w:t xml:space="preserve">[۶] Haimovich, M., &amp; Rinnooy Kan, A.H.G. (1985). Bounds and heuristics for capacitated routing problems. Mathematics of Operations Research, 10(4), 527–542.</w:t>
      </w:r>
    </w:p>
    <w:p>
      <w:pPr>
        <w:bidi/>
        <w:spacing w:after="80" w:before="80" w:line="300"/>
        <w:jc w:val="right"/>
      </w:pPr>
      <w:r>
        <w:rPr>
          <w:rFonts w:ascii="Tahoma" w:cs="Tahoma" w:eastAsia="Tahoma" w:hAnsi="Tahoma"/>
          <w:sz w:val="22"/>
          <w:szCs w:val="22"/>
        </w:rPr>
        <w:t xml:space="preserve">[۷] Kulkarni, R.V., &amp; Bhave, P.R. (1985). Integer programming formulations of vehicle routing problems. EJOR, 20(1), 58–67.</w:t>
      </w:r>
    </w:p>
    <w:p>
      <w:pPr>
        <w:bidi/>
        <w:spacing w:after="80" w:before="80" w:line="300"/>
        <w:jc w:val="right"/>
      </w:pPr>
      <w:r>
        <w:rPr>
          <w:rFonts w:ascii="Tahoma" w:cs="Tahoma" w:eastAsia="Tahoma" w:hAnsi="Tahoma"/>
          <w:sz w:val="22"/>
          <w:szCs w:val="22"/>
        </w:rPr>
        <w:t xml:space="preserve">[۸] Pisinger, D., &amp; Ropke, S. (2007). A general heuristic for vehicle routing problems. Computers &amp; Operations Research, 34(8), 2403–2435.</w:t>
      </w:r>
    </w:p>
    <w:p>
      <w:pPr>
        <w:bidi/>
        <w:spacing w:after="80" w:before="80" w:line="300"/>
        <w:jc w:val="right"/>
      </w:pPr>
      <w:r>
        <w:rPr>
          <w:rFonts w:ascii="Tahoma" w:cs="Tahoma" w:eastAsia="Tahoma" w:hAnsi="Tahoma"/>
          <w:sz w:val="22"/>
          <w:szCs w:val="22"/>
        </w:rPr>
        <w:t xml:space="preserve">[۹] Vidal, T., et al. (2012). A hybrid genetic algorithm for multidepot and periodic vehicle routing problems. Operations Research, 60(3), 611–624.</w:t>
      </w:r>
    </w:p>
    <w:p>
      <w:pPr>
        <w:bidi/>
        <w:spacing w:after="80" w:before="80" w:line="300"/>
        <w:jc w:val="right"/>
      </w:pPr>
      <w:r>
        <w:rPr>
          <w:rFonts w:ascii="Tahoma" w:cs="Tahoma" w:eastAsia="Tahoma" w:hAnsi="Tahoma"/>
          <w:sz w:val="22"/>
          <w:szCs w:val="22"/>
        </w:rPr>
        <w:t xml:space="preserve">[۱۰] Ezugwu, A.E., et al. (2018). Enhanced intelligent water drops algorithm for multi-depot vehicle routing problem. PLOS ONE, 13(3), e0193751.</w:t>
      </w:r>
    </w:p>
    <w:p>
      <w:pPr>
        <w:bidi/>
        <w:spacing w:after="80" w:before="80" w:line="300"/>
        <w:jc w:val="right"/>
      </w:pPr>
      <w:r>
        <w:rPr>
          <w:rFonts w:ascii="Tahoma" w:cs="Tahoma" w:eastAsia="Tahoma" w:hAnsi="Tahoma"/>
          <w:sz w:val="22"/>
          <w:szCs w:val="22"/>
        </w:rPr>
        <w:t xml:space="preserve">[۱۱] Reinelt, G. (1991). TSPLIB — A traveling salesman problem library. ORSA JOC, 3(4), 376–384.</w:t>
      </w:r>
    </w:p>
    <w:p>
      <w:pPr>
        <w:bidi/>
        <w:spacing w:after="80" w:before="80" w:line="300"/>
        <w:jc w:val="right"/>
      </w:pPr>
      <w:r>
        <w:rPr>
          <w:rFonts w:ascii="Tahoma" w:cs="Tahoma" w:eastAsia="Tahoma" w:hAnsi="Tahoma"/>
          <w:sz w:val="22"/>
          <w:szCs w:val="22"/>
        </w:rPr>
        <w:t xml:space="preserve">[۱۲] Toth, P., &amp; Vigo, D. (2014). Vehicle routing: problems, methods, and applications (2nd ed.). SIAM.</w:t>
      </w:r>
    </w:p>
    <w:p>
      <w:pPr>
        <w:bidi/>
        <w:spacing w:after="80" w:before="80" w:line="300"/>
        <w:jc w:val="right"/>
      </w:pPr>
      <w:r>
        <w:rPr>
          <w:rFonts w:ascii="Tahoma" w:cs="Tahoma" w:eastAsia="Tahoma" w:hAnsi="Tahoma"/>
          <w:sz w:val="22"/>
          <w:szCs w:val="22"/>
        </w:rPr>
        <w:t xml:space="preserve">[۱۳] Juan, A.A., et al. (2015). Combining biased randomization with iterated local search for multi-depot VRP. ITOR, 22(4), 647–667.</w:t>
      </w:r>
    </w:p>
    <w:p>
      <w:pPr>
        <w:bidi/>
        <w:spacing w:after="80" w:before="80" w:line="300"/>
        <w:jc w:val="right"/>
      </w:pPr>
      <w:r>
        <w:rPr>
          <w:rFonts w:ascii="Tahoma" w:cs="Tahoma" w:eastAsia="Tahoma" w:hAnsi="Tahoma"/>
          <w:sz w:val="22"/>
          <w:szCs w:val="22"/>
        </w:rPr>
        <w:t xml:space="preserve">[۱۴] Wouda, N.A., &amp; Lan, L. (2023). PyVRP: A high-performance VRP solver package. INFORMS JOC.</w:t>
      </w:r>
    </w:p>
    <w:p>
      <w:pPr>
        <w:bidi/>
        <w:spacing w:after="80" w:before="80" w:line="300"/>
        <w:jc w:val="right"/>
      </w:pPr>
      <w:r>
        <w:rPr>
          <w:rFonts w:ascii="Tahoma" w:cs="Tahoma" w:eastAsia="Tahoma" w:hAnsi="Tahoma"/>
          <w:sz w:val="22"/>
          <w:szCs w:val="22"/>
        </w:rPr>
        <w:t xml:space="preserve">[۱۵] Perron, L., &amp; Furnon, V. (2023). OR-Tools. Google. developers.google.com/optimization.</w:t>
      </w:r>
    </w:p>
    <w:p>
      <w:pPr>
        <w:bidi/>
        <w:spacing w:after="80" w:before="80" w:line="300"/>
        <w:jc w:val="right"/>
      </w:pPr>
      <w:r>
        <w:rPr>
          <w:rFonts w:ascii="Tahoma" w:cs="Tahoma" w:eastAsia="Tahoma" w:hAnsi="Tahoma"/>
          <w:sz w:val="22"/>
          <w:szCs w:val="22"/>
        </w:rPr>
        <w:t xml:space="preserve">[۱۶] Vidal, T. (2022). Hybrid genetic search for the CVRP: Open-source implementation and SWAP*. Computers &amp; Operations Research, 140, 105643.</w:t>
      </w:r>
    </w:p>
    <w:sectPr>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720" w:hanging="360"/>
      </w:pPr>
      <w:rPr>
        <w:rFonts w:ascii="B Nazanin" w:cs="B Nazanin" w:eastAsia="B Nazanin" w:hAnsi="B Nazanin"/>
        <w:sz w:val="26"/>
        <w:szCs w:val="2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6"/>
        <w:szCs w:val="26"/>
      </w:rPr>
    </w:rPrDefault>
    <w:pPrDefault>
      <w:pPr>
        <w:bidi/>
        <w:spacing w:after="80" w:before="80" w:line="360"/>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60" w:before="400"/>
      <w:jc w:val="right"/>
      <w:outlineLvl w:val="0"/>
    </w:pPr>
    <w:rPr>
      <w:rFonts w:ascii="B Nazanin" w:cs="B Nazanin" w:eastAsia="B Nazanin" w:hAnsi="B Nazanin"/>
      <w:b/>
      <w:bCs/>
      <w:color w:val="1A3A5C"/>
      <w:sz w:val="36"/>
      <w:szCs w:val="36"/>
    </w:rPr>
  </w:style>
  <w:style w:type="paragraph" w:styleId="Heading2">
    <w:name w:val="Heading 2"/>
    <w:basedOn w:val="Normal"/>
    <w:next w:val="Normal"/>
    <w:qFormat/>
    <w:pPr>
      <w:bidi/>
      <w:spacing w:after="100" w:before="280"/>
      <w:jc w:val="right"/>
      <w:outlineLvl w:val="1"/>
    </w:pPr>
    <w:rPr>
      <w:rFonts w:ascii="B Nazanin" w:cs="B Nazanin" w:eastAsia="B Nazanin" w:hAnsi="B Nazanin"/>
      <w:b/>
      <w:bCs/>
      <w:color w:val="185FA5"/>
      <w:sz w:val="30"/>
      <w:szCs w:val="30"/>
    </w:rPr>
  </w:style>
  <w:style w:type="paragraph" w:styleId="Heading3">
    <w:name w:val="Heading 3"/>
    <w:basedOn w:val="Normal"/>
    <w:next w:val="Normal"/>
    <w:qFormat/>
    <w:pPr>
      <w:bidi/>
      <w:spacing w:after="80" w:before="200"/>
      <w:jc w:val="right"/>
      <w:outlineLvl w:val="2"/>
    </w:pPr>
    <w:rPr>
      <w:rFonts w:ascii="B Nazanin" w:cs="B Nazanin" w:eastAsia="B Nazanin" w:hAnsi="B Nazanin"/>
      <w:b/>
      <w:bCs/>
      <w:color w:val="0C447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2026-06-26T12:18:56.565Z</dcterms:created>
  <dcterms:modified xsi:type="dcterms:W3CDTF">2026-06-26T12:18:56.565Z</dcterms:modified>
</cp:coreProperties>
</file>

<file path=docProps/custom.xml><?xml version="1.0" encoding="utf-8"?>
<Properties xmlns="http://schemas.openxmlformats.org/officeDocument/2006/custom-properties" xmlns:vt="http://schemas.openxmlformats.org/officeDocument/2006/docPropsVTypes"/>
</file>