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7FAE" w14:textId="77777777" w:rsidR="00CA4560" w:rsidRDefault="00000000">
      <w:pPr>
        <w:spacing w:before="480" w:after="240"/>
        <w:jc w:val="center"/>
      </w:pPr>
      <w:r>
        <w:rPr>
          <w:b/>
          <w:bCs/>
          <w:color w:val="1F3864"/>
          <w:sz w:val="40"/>
          <w:szCs w:val="40"/>
        </w:rPr>
        <w:t>محدودیت‌های بنیادی رویکردهای یادگیری تقویتی در حل مسئلهٔ مسیریابی خودروها با اندازه‌های متغیر</w:t>
      </w:r>
    </w:p>
    <w:p w14:paraId="1099EDD0" w14:textId="77777777" w:rsidR="00CA4560" w:rsidRDefault="00000000">
      <w:pPr>
        <w:spacing w:after="480"/>
        <w:jc w:val="center"/>
      </w:pPr>
      <w:r>
        <w:rPr>
          <w:i/>
          <w:iCs/>
          <w:color w:val="365F91"/>
          <w:sz w:val="28"/>
          <w:szCs w:val="28"/>
        </w:rPr>
        <w:t>دلایل حذف از محک‌زنی در محیط‌های پویا</w:t>
      </w:r>
    </w:p>
    <w:p w14:paraId="7C44EF7E" w14:textId="77777777" w:rsidR="00CA4560" w:rsidRDefault="00CA4560">
      <w:pPr>
        <w:pBdr>
          <w:bottom w:val="single" w:sz="6" w:space="1" w:color="2E5090"/>
        </w:pBdr>
        <w:spacing w:after="240"/>
      </w:pPr>
    </w:p>
    <w:p w14:paraId="7BA4B80B" w14:textId="77777777" w:rsidR="00CA4560" w:rsidRDefault="00000000">
      <w:pPr>
        <w:pStyle w:val="Heading1"/>
      </w:pPr>
      <w:r>
        <w:t>خلاصه</w:t>
      </w:r>
    </w:p>
    <w:p w14:paraId="79358730" w14:textId="77777777" w:rsidR="00CA4560" w:rsidRDefault="00000000">
      <w:pPr>
        <w:spacing w:before="120" w:after="120"/>
      </w:pPr>
      <w:r>
        <w:rPr>
          <w:color w:val="000000"/>
        </w:rPr>
        <w:t>مسئلهٔ مسیریابی خودروها (Vehicle Routing Problem - VRP) از جمله مهم‌ترین مسائل بهینه‌سازی ترکیبی است که کاربردهای گسترده‌ای در حمل‌ونقل، لجستیک، و برنامه‌ریزی توزیع دارد. در سال‌های اخیر، روش‌های مبتنی بر یادگیری تقویتی (Reinforcement Learning - RL) با استفاده از معماری‌های مدرن شبکه‌های عصبی وعدهٔ دستیابی به راه‌حل‌های باکیفیت در زمان استنتاج بسیار کوتاه را داده‌اند. با این حال، این مقاله استدلال می‌کند که تمام روش‌های یادگیری تقویتی موجود برای حل VRP دارای یک محدودیت معماری بنیادین مشترک هستند: آموزش انحصاری بر روی نمونه‌های مسئله با اندازهٔ ثابت.</w:t>
      </w:r>
    </w:p>
    <w:p w14:paraId="15902CC2" w14:textId="77777777" w:rsidR="00CA4560" w:rsidRDefault="00000000">
      <w:pPr>
        <w:spacing w:before="120" w:after="120"/>
      </w:pPr>
      <w:r>
        <w:rPr>
          <w:color w:val="000000"/>
        </w:rPr>
        <w:t>این محدودیت که ریشه در ماهیت ریاضی شبکه‌های عصبی دارد، منجر به افت کیفیت قابل‌توجه هنگام استقرار بر روی نمونه‌هایی با تعداد مشتریان متفاوت می‌شود. در این مقاله پس از مروری جامع بر ادبیات موجود، نشان داده می‌شود که روش‌های پیشنهادشده برای رفع این محدودیت—شامل تطابق زمان استنتاج، تنظیم ریز، لایه‌های تطابق کارآمد، و یادگیری دورهٔ‌ای—همگی دارای پیچیدگی محاسباتی بالایی هستند که آنها را برای محیط‌های پویا با محدودیت زمانی شدید ناکارآمد می‌سازد. این مقاله نتیجه می‌گیرد که برای محک‌زنی روش‌های حل VRP در سناریوهایی که تعداد مشتریان متغیر است و پاسخ‌دهی سریع الزامی است، روش‌های مبتنی بر RL نمی‌توانند به‌عنوان رقیب منصفانه در نظر گرفته شوند و باید از چنین مقایسه‌هایی حذف گردند.</w:t>
      </w:r>
    </w:p>
    <w:p w14:paraId="5711CCBE" w14:textId="77777777" w:rsidR="00CA4560" w:rsidRDefault="00000000">
      <w:pPr>
        <w:spacing w:before="120" w:after="120"/>
      </w:pPr>
      <w:r>
        <w:rPr>
          <w:i/>
          <w:iCs/>
          <w:color w:val="000000"/>
        </w:rPr>
        <w:t>کلیدواژه‌ها: مسئلهٔ مسیریابی خودروها، یادگیری تقویتی، تعمیم‌پذیری اندازه، محیط پویا، محک‌زنی، بهینه‌سازی ترکیبی</w:t>
      </w:r>
    </w:p>
    <w:p w14:paraId="60E86CB0" w14:textId="77777777" w:rsidR="00CA4560" w:rsidRDefault="00CA4560">
      <w:pPr>
        <w:spacing w:line="240" w:lineRule="auto"/>
      </w:pPr>
    </w:p>
    <w:p w14:paraId="4F9E89B5" w14:textId="77777777" w:rsidR="00CA4560" w:rsidRDefault="00000000">
      <w:pPr>
        <w:pStyle w:val="Heading1"/>
      </w:pPr>
      <w:r>
        <w:t>۱. مقدمه</w:t>
      </w:r>
    </w:p>
    <w:p w14:paraId="1015C291" w14:textId="77777777" w:rsidR="00CA4560" w:rsidRDefault="00000000">
      <w:pPr>
        <w:spacing w:before="120" w:after="120"/>
      </w:pPr>
      <w:r>
        <w:rPr>
          <w:color w:val="000000"/>
        </w:rPr>
        <w:lastRenderedPageBreak/>
        <w:t>مسئلهٔ مسیریابی خودروها که نخستین بار توسط دانتزیگ و رامسر (Dantzig و Ramser, 1959) به صورت رسمی فرمول‌بندی شد، از دیرباز یکی از محوری‌ترین مسائل در حوزهٔ تحقیق عملیاتی و بهینه‌سازی ترکیبی بوده است. در بیانِ ساده، این مسئله به دنبال تعیین مجموعه‌ای از مسیرهای بهینه برای ناوگانی از خودروها است که باید مجموعه‌ای از مشتریان را بازدید کرده و همزمان محدودیت‌هایی چون ظرفیت خودروها، پنجره‌های زمانی سرویس‌دهی، و محدودیت مسافت طی‌شده را رعایت کنند. اهمیت عملی این مسئله بسیار گسترده است: از برنامه‌ریزی مسیر ناوگان‌های توزیع کالا در شبکه‌های زنجیرهٔ تأمین گرفته تا بهینه‌سازی سیستم‌های اشتراک سواری و برنامه‌ریزی مسیر خودروهای جمع‌آوری زباله در شهرهای بزرگ.</w:t>
      </w:r>
    </w:p>
    <w:p w14:paraId="2DD5F80A" w14:textId="77777777" w:rsidR="00CA4560" w:rsidRDefault="00000000">
      <w:pPr>
        <w:spacing w:before="120" w:after="120"/>
      </w:pPr>
      <w:r>
        <w:rPr>
          <w:color w:val="000000"/>
        </w:rPr>
        <w:t>در طول دهه‌های گذشته، جامعهٔ تحقیق عملیاتی روش‌های گوناگونی برای حل VRP توسعه داده است. الگوریتم‌های دقیق (Exact Methods) مانند روش‌های Branch-and-Bound و Branch-and-Cut-and-Price می‌توانند راه‌حل‌های بهینهٔ تضمین‌شده برای نمونه‌های کوچک فراهم کنند (Desrochers, Desrosiers و Solomon, 1992)، اما با افزایش اندازهٔ مسئله زمان محاسباتی موردنیاز به صورت نمایی افزایش می‌یابد. برای نمونه‌های بزرگ‌تر، جامعهٔ تحقیقاتی به سمت روش‌های فراابتکاری روی آورده است. الگوریتم‌های ژنتیکی (Holland, 1975)، بهینه‌سازی کلونی مورچگان (Dorigo و Gambardella, 1997)، شبیه‌سازی تبرید (Kirkpatrick, Gelatt و Vecchi, 1983)، و جستجوی ممنوع (Glover, 1986) از جمله روش‌های فراابتکاری هستند که در طول سال‌ها برای VRP به‌کار گرفته شده‌اند. امروزه، پیشرفتهٔ‌ترین روش‌های کلاسیک مانند الگوریتم جستجوی ژنتیکی هیبریدی (HGS) که توسط ویدال (Vidal, 2022) توسعه یافته، می‌توانند راه‌حل‌هایی با کیفیتی بسیار نزدیک به بهینه برای نمونه‌های با صدها تا هزاران مشتری در زمانی معقول پیدا کنند.</w:t>
      </w:r>
    </w:p>
    <w:p w14:paraId="0499566D" w14:textId="77777777" w:rsidR="00CA4560" w:rsidRDefault="00000000">
      <w:pPr>
        <w:spacing w:before="120" w:after="120"/>
      </w:pPr>
      <w:r>
        <w:rPr>
          <w:color w:val="000000"/>
        </w:rPr>
        <w:t>با ظهور یادگیری عمیق و موفقیت‌های چشمگیر آن در حوزه‌هایی چون پردازش زبان طبیعی و بینایی ماشین، محققان از اواخر دههٔ ۲۰۱۰ میلادی شروع به بررسی امکان‌پذیری استفاده از شبکه‌های عصبی برای حل مسائل بهینه‌سازی ترکیبی کردند. کار پایه‌گذار وینیالس و همکاران (Vinyals, Fortunato و Jaitly, 2015) با معرفی شبکه‌های نشانگر (Pointer Networks) برای حل مسئلهٔ فروشندهٔ دوره‌گرد نشان داد که شبکه‌های عصبی می‌توانند بدون نیاز به اطلاعات صریح درباره‌ی ساختار مسئله، استراتژی‌های حل مناسب را از داده‌ها بیاموزند. ناظری و همکاران (Nazari, Tavakoli, Pham و Takáč, 2018) این رویکرد را برای VRP با ظرفیت (CVRP) بسط دادند. اما نقطهٔ عطف اصلی با کار کول و همکاران (Kool, van Hoof و Welling, 2019) فرا رسید که مدل توجه (Attention Model) را معرفی کردند و با استفاده از معماری Transformer، راه‌حل‌هایی با کیفیت رقابتی در زمان استنتاج زیر یک ثانیه ارائه دادند.</w:t>
      </w:r>
    </w:p>
    <w:p w14:paraId="09954F52" w14:textId="77777777" w:rsidR="00CA4560" w:rsidRDefault="00000000">
      <w:pPr>
        <w:spacing w:before="120" w:after="120"/>
      </w:pPr>
      <w:r>
        <w:rPr>
          <w:color w:val="000000"/>
        </w:rPr>
        <w:t xml:space="preserve">جذابیت این رویکردهای مبتنی بر یادگیری در چند مزیت ظاهری نهفته است. نخست، سرعت استنتاج بسیار بالا است: پس از اتمام مرحلهٔ آموزش، مدل می‌تواند در کسری از ثانیه راه‌حلی برای نمونهٔ جدیدی تولید کند. دوم، رویکردهای جدیدتر مانند RouteFinder </w:t>
      </w:r>
      <w:r>
        <w:rPr>
          <w:color w:val="000000"/>
        </w:rPr>
        <w:lastRenderedPageBreak/>
        <w:t>(Berto, Hua, Gast Zepeda, Hottung, Wouda, Lan, Park, Tierney و Park, 2025) ادعا می‌کنند که یک مدل واحد می‌تواند انواع مختلف VRP را بدون آموزش جداگانه حل کند. سوم، زیبایی مفهومی یادگیری استراتژی از داده‌ها به جای طراحی دستی ابتکارات جذابیت نظری این رویکردها را افزایش می‌دهد.</w:t>
      </w:r>
    </w:p>
    <w:p w14:paraId="4010A759" w14:textId="77777777" w:rsidR="00CA4560" w:rsidRDefault="00000000">
      <w:pPr>
        <w:spacing w:before="120" w:after="120"/>
      </w:pPr>
      <w:r>
        <w:rPr>
          <w:color w:val="000000"/>
        </w:rPr>
        <w:t>با این حال، در سناریوهای استقرار واقعی، به‌ویژه در محیط‌های پویا که تعداد مشتریان در هر درخواست متفاوت است و پاسخ‌دهی در بازهٔ زمانی محدود الزامی است، این روش‌ها با محدودیت‌های بنیادینی روبه‌رو می‌شوند که در ادبیات کمتر به آنها پرداخته شده است. در حالی که مقالات تحقیقی معمولاً ارزیابی خود را بر روی نمونه‌های با اندازهٔ ثابت و بدون محدودیت زمانی انجام می‌دهند، سیستم‌های واقعی باید با نمونه‌هایی با اندازه‌های کاملاً متغیر و در بازه‌های زمانی بسیار کوتاه کنار بیایند. این مقاله به طور مستقیم به این شکاف می‌پردازد و با ارائهٔ تحلیلی دقیق و مستند، نشان می‌دهد که چرا روش‌های RL-based برای محک‌زنی در چنین سناریوهایی ناکارآمد هستند.</w:t>
      </w:r>
    </w:p>
    <w:p w14:paraId="59F0E1C3" w14:textId="77777777" w:rsidR="00CA4560" w:rsidRDefault="00CA4560">
      <w:pPr>
        <w:spacing w:line="240" w:lineRule="auto"/>
      </w:pPr>
    </w:p>
    <w:p w14:paraId="0911ED47" w14:textId="77777777" w:rsidR="00CA4560" w:rsidRDefault="00000000">
      <w:pPr>
        <w:pStyle w:val="Heading1"/>
      </w:pPr>
      <w:r>
        <w:t>۲. خصوصیات بنیادی روش‌های یادگیری تقویتی برای حل VRP</w:t>
      </w:r>
    </w:p>
    <w:p w14:paraId="0FC884CD" w14:textId="77777777" w:rsidR="00CA4560" w:rsidRDefault="00000000">
      <w:pPr>
        <w:spacing w:before="120" w:after="120"/>
      </w:pPr>
      <w:r>
        <w:rPr>
          <w:color w:val="000000"/>
        </w:rPr>
        <w:t>برای درک درست محدودیت‌های بنیادین روش‌های مبتنی بر یادگیری تقویتی، لازم است ابتدا چارچوب کلی این رویکردها و الگوی آموزش و استنتاج آنها به‌دقت توصیف شود.</w:t>
      </w:r>
    </w:p>
    <w:p w14:paraId="1A9B754E" w14:textId="77777777" w:rsidR="00CA4560" w:rsidRDefault="00000000">
      <w:pPr>
        <w:pStyle w:val="Heading2"/>
      </w:pPr>
      <w:r>
        <w:t>۲.۱ چارچوب کلی یادگیری تقویتی برای VRP</w:t>
      </w:r>
    </w:p>
    <w:p w14:paraId="58EFFA17" w14:textId="77777777" w:rsidR="00CA4560" w:rsidRDefault="00000000">
      <w:pPr>
        <w:spacing w:before="120" w:after="120"/>
      </w:pPr>
      <w:r>
        <w:rPr>
          <w:color w:val="000000"/>
        </w:rPr>
        <w:t>روش‌های یادگیری تقویتی برای VRP عموماً مسئله را به صورت یک فرآیند تصمیم‌گیری مارکوف (Markov Decision Process - MDP) فرمول‌بندی می‌کنند. در این فرمول‌بندی، حالت (State) در هر گام شامل موقعیت فعلی خودرو، ظرفیت باقی‌مانده، مشتریان هنوز بازدیدنشده، و اطلاعات مربوط به مسیر جزئی ساخته‌شده است. عمل (Action) در هر گام انتخاب مشتری بعدی برای بازدید از میان مشتریان باقی‌مانده است. پاداش (Reward) معمولاً منفی هزینهٔ کل مسیر ساخته‌شده است که در پایان هر اپیزود محاسبه می‌شود. یک سیاست (Policy) یادگرفتهٔ شده توسط یک شبکهٔ عصبی پیاده‌سازی می‌شود که در هر گام احتمال انتخاب هر مشتری را محاسبه می‌کند. بنجیو و همکاران (Bengio, Lodi و Prouvost, 2021) مروری جامع از این رویکرد در چارچوب یادگیری ماشین برای بهینه‌سازی ترکیبی ارائه داده‌اند.</w:t>
      </w:r>
    </w:p>
    <w:p w14:paraId="095A2C82" w14:textId="77777777" w:rsidR="00CA4560" w:rsidRDefault="00000000">
      <w:pPr>
        <w:pStyle w:val="Heading2"/>
      </w:pPr>
      <w:r>
        <w:t>۲.۲ الگوی آموزش: اندازهٔ ثابت به‌عنوان پایه</w:t>
      </w:r>
    </w:p>
    <w:p w14:paraId="636A3D22" w14:textId="77777777" w:rsidR="00CA4560" w:rsidRDefault="00000000">
      <w:pPr>
        <w:spacing w:before="120" w:after="120"/>
      </w:pPr>
      <w:r>
        <w:rPr>
          <w:color w:val="000000"/>
        </w:rPr>
        <w:t xml:space="preserve">مرحلهٔ آموزش در تمام روش‌های موجود بر اساس الگویی مشابه پیش می‌رود: یک مجموعهٔ داده از نمونه‌های VRP به‌صورت تصادفی تولید می‌شود که همگی دارای اندازهٔ ثابت n </w:t>
      </w:r>
      <w:r>
        <w:rPr>
          <w:color w:val="000000"/>
        </w:rPr>
        <w:lastRenderedPageBreak/>
        <w:t>هستند؛ به این معنا که تمام نمونه‌های آموزشی دقیقاً n مشتری دارند. مدل برای هزاران نمونهٔ آموزشی از این نوع آموزش می‌بیند و از طریق الگوریتم‌هایی چون REINFORCE (Williams, 1992) یا PPO (Schulman, Wolski, Dhariwal, Radford و Klimov, 2017) وزن‌هایش را به‌روز می‌کند. این فرآیند در مجموع ۳۰ تا ۱۰۰ ساعت زمان GPU نیاز دارد و در پایان، وزن‌های مدل به‌صورت یک نقطهٔ کنترل (Checkpoint) ذخیره می‌شود. نکتهٔ کلیدی این است که مدل در تمام طول این فرآیند صرفاً نمونه‌هایی با یک اندازهٔ واحد n می‌بیند و هیچ‌گاه با اندازه‌های دیگر مواجه نمی‌شود.</w:t>
      </w:r>
    </w:p>
    <w:p w14:paraId="7DB82D3F" w14:textId="77777777" w:rsidR="00CA4560" w:rsidRDefault="00000000">
      <w:pPr>
        <w:pStyle w:val="Heading2"/>
      </w:pPr>
      <w:r>
        <w:t>۲.۳ معماری‌های غالب: مرور تطبیقی</w:t>
      </w:r>
    </w:p>
    <w:p w14:paraId="1DACB94F" w14:textId="77777777" w:rsidR="00CA4560" w:rsidRDefault="00000000">
      <w:pPr>
        <w:pStyle w:val="Heading3"/>
      </w:pPr>
      <w:r>
        <w:t>۲.۳.۱ مدل توجه (Attention Model)</w:t>
      </w:r>
    </w:p>
    <w:p w14:paraId="064DC313" w14:textId="77777777" w:rsidR="00CA4560" w:rsidRDefault="00000000">
      <w:pPr>
        <w:spacing w:before="120" w:after="120"/>
      </w:pPr>
      <w:r>
        <w:rPr>
          <w:color w:val="000000"/>
        </w:rPr>
        <w:t>کول و همکاران (Kool, van Hoof و Welling, 2019) در کنفرانس ICLR 2019 مدل توجه را معرفی کردند که از معماری Encoder-Decoder مبتنی بر توجه چندسره (Multi-Head Attention) بهره می‌برد. Encoder کل نمونهٔ مسئله را پردازش کرده و بردارهای تعبیه‌شدهٔ (Embedding) مشتریان را می‌سازد. Decoder سپس در هر گام ساخت مسیر، با استفاده از مکانیزم توجه روی تمام مشتریان بازدیدنشده، احتمال انتخاب هر مشتری را محاسبه می‌کند. این مدل روی نمونه‌های ثابت با n ∈ {۵۰, ۱۰۰} مشتری آموزش دیده و فاصلهٔ بهینگی (Optimality Gap) ۳ تا ۵ درصد با زمان استنتاج ۰.۲ تا ۰.۵ ثانیه روی GPU دست می‌آورد.</w:t>
      </w:r>
    </w:p>
    <w:p w14:paraId="70416C4B" w14:textId="77777777" w:rsidR="00CA4560" w:rsidRDefault="00000000">
      <w:pPr>
        <w:pStyle w:val="Heading3"/>
      </w:pPr>
      <w:r>
        <w:t>۲.۳.۲ POMO</w:t>
      </w:r>
    </w:p>
    <w:p w14:paraId="18E46286" w14:textId="77777777" w:rsidR="00CA4560" w:rsidRDefault="00000000">
      <w:pPr>
        <w:spacing w:before="120" w:after="120"/>
      </w:pPr>
      <w:r>
        <w:rPr>
          <w:color w:val="000000"/>
        </w:rPr>
        <w:t>کوون و همکاران (Kwon, Kool, van Hoof و Welling, 2020) در NeurIPS 2020 الگوریتم POMO (Policy Optimization with Multiple Optima) را ارائه دادند. این روش بر مدل توجه بنا شده اما یک نوآوری کلیدی را اضافه می‌کند: به جای ساخت یک راه‌حل واحد، n راه‌حل موازی از n نقطهٔ شروع متفاوت (هر مشتری به‌عنوان نقطهٔ شروع) ساخته می‌شود و بهترین راه‌حل یافت‌شده انتخاب می‌گردد. این روش چندنقطه‌شروع، فضای راه‌حل را بهتر کاوش می‌کند. POMO نیز مانند AM روی نمونه‌های با اندازهٔ ثابت آموزش می‌بیند و زمان استنتاج آن به دلیل ساخت چندین راه‌حل موازی به ۰.۵ تا ۱ ثانیه افزایش می‌یابد.</w:t>
      </w:r>
    </w:p>
    <w:p w14:paraId="0CA46A1A" w14:textId="77777777" w:rsidR="00CA4560" w:rsidRDefault="00000000">
      <w:pPr>
        <w:pStyle w:val="Heading3"/>
      </w:pPr>
      <w:r>
        <w:t>۲.۳.۳ RouteFinder</w:t>
      </w:r>
    </w:p>
    <w:p w14:paraId="1A871C7F" w14:textId="77777777" w:rsidR="00CA4560" w:rsidRDefault="00000000">
      <w:pPr>
        <w:spacing w:before="120" w:after="120"/>
      </w:pPr>
      <w:r>
        <w:rPr>
          <w:color w:val="000000"/>
        </w:rPr>
        <w:t xml:space="preserve">بِرتو و همکاران (Berto و همکاران, 2025) در مقالهٔ "RouteFinder: Towards Foundation Models for Vehicle Routing Problems" که در TMLR 2025 پذیرفته شد، پیشرفته‌ترین رویکرد موجود را معرفی کردند. RouteFinder از یک معماری Transformer مدرن با نوآوری‌هایی چون Global Attribute Embeddings بهره می‌برد که به مدل اجازه می‌دهد انواع مختلف VRP (مانند CVRP، VRPTW، OVRP و ترکیبات آنها) را در قالب یک چارچوب یکپارچه حل کند. با وجود این نوآوری‌های قابل‌توجه، نقطهٔ ضعف اساسی RouteFinder </w:t>
      </w:r>
      <w:r>
        <w:rPr>
          <w:color w:val="000000"/>
        </w:rPr>
        <w:lastRenderedPageBreak/>
        <w:t>همان ویژگی مشترک تمام روش‌های پیشین است: این مدل برای هر اندازهٔ مسئله به یک نقطهٔ کنترل جداگانه نیاز دارد. نویسندگان نقاط کنترل جداگانه‌ای برای n = ۵۰ و n = ۱۰۰ مشتری ارائه داده‌اند و اشاره می‌کنند که استفاده از نقطهٔ کنترل یک اندازه برای حل نمونه‌های اندازهٔ دیگر، کیفیت راه‌حل را کاهش می‌دهد.</w:t>
      </w:r>
    </w:p>
    <w:p w14:paraId="4C5CFEB1" w14:textId="77777777" w:rsidR="00CA4560" w:rsidRDefault="00000000">
      <w:pPr>
        <w:spacing w:before="120" w:after="120"/>
      </w:pPr>
      <w:r>
        <w:rPr>
          <w:color w:val="000000"/>
        </w:rPr>
        <w:t>این سه معماری که نمایندهٔ تحول مهم در حوزهٔ یادگیری عمیق برای VRP هستند، با وجود تفاوت‌های قابل‌توجه در جزئیات معماری و الگوریتم آموزشی، در یک ویژگی بنیادی مشترک‌اند: همگی بر روی نمونه‌های مسئله با اندازهٔ ثابت و از پیش تعیین‌شده آموزش می‌بینند. درک ریشه‌های معماری این ویژگی مشترک، موضوع بخش بعدی است.</w:t>
      </w:r>
    </w:p>
    <w:p w14:paraId="26A39BE0" w14:textId="77777777" w:rsidR="00CA4560" w:rsidRDefault="00CA4560">
      <w:pPr>
        <w:spacing w:line="240" w:lineRule="auto"/>
      </w:pPr>
    </w:p>
    <w:p w14:paraId="6D9FB677" w14:textId="77777777" w:rsidR="00CA4560" w:rsidRDefault="00000000">
      <w:pPr>
        <w:pStyle w:val="Heading1"/>
      </w:pPr>
      <w:r>
        <w:t>۳. محدودیت معماری بنیادی: چرا شبکه‌های عصبی به اندازه‌های ثابت نیاز دارند</w:t>
      </w:r>
    </w:p>
    <w:p w14:paraId="2327E81F" w14:textId="77777777" w:rsidR="00CA4560" w:rsidRDefault="00000000">
      <w:pPr>
        <w:spacing w:before="120" w:after="120"/>
      </w:pPr>
      <w:r>
        <w:rPr>
          <w:color w:val="000000"/>
        </w:rPr>
        <w:t>محدودیت آموزش بر روی اندازه‌های ثابت نه یک انتخاب طراحی دلخواهانه، بلکه نتیجهٔ مستقیم خصوصیات ریاضی شبکه‌های عصبی معاصر است. این بخش سه دلیل اصلی معماری را توضیح می‌دهد که آموزش و استقرار روی اندازه‌های متغیر را اساساً دشوار می‌سازند.</w:t>
      </w:r>
    </w:p>
    <w:p w14:paraId="4D00AE86" w14:textId="77777777" w:rsidR="00CA4560" w:rsidRDefault="00000000">
      <w:pPr>
        <w:pStyle w:val="Heading2"/>
      </w:pPr>
      <w:r>
        <w:t>۳.۱ جداول رمزگذاری موضعی</w:t>
      </w:r>
    </w:p>
    <w:p w14:paraId="2E342C8A" w14:textId="77777777" w:rsidR="00CA4560" w:rsidRDefault="00000000">
      <w:pPr>
        <w:spacing w:before="120" w:after="120"/>
      </w:pPr>
      <w:r>
        <w:rPr>
          <w:color w:val="000000"/>
        </w:rPr>
        <w:t>یکی از ساختارهای بنیادی معماری Transformer که توسط وسوانی و همکاران (Vaswani, Shazeer, Parmar, Uszkoreit, Jones, Gomez, Kaiser و Polosukhin, 2017) در مقالهٔ پایه‌ای "Attention Is All You Need" معرفی شد، رمزگذاری موضعی (Positional Encoding) است. در مسائل VRP، راه‌حل به‌صورت دنباله‌ای از مشتریان نمایش داده می‌شود و موضع هر مشتری در این دنباله اطلاعات مهمی را حمل می‌کند. شبکهٔ عصبی برای آگاهی از موضع هر عنصر در دنباله، از یک جدول رمزگذاری موضعی استفاده می‌کند که در آن هر موضع از ۰ تا N-۱ یک بردار جاسازی‌شدهٔ (Embedding) اختصاصی دارد. برای مدلی که برای نمونه‌های ۱۰۰‌مشتری آموزش دیده، این جدول دارای ۱۰۰ ردیف است که مقادیر آن در فرآیند آموزش تنظیم شده‌اند. هنگامی که این مدل با نمونه‌ای با ۲۰۰ مشتری مواجه می‌شود، موضع‌های ۱۰۰ تا ۱۹۹ اصلاً در جدول تعریف نشده‌اند و مدل ناچار است یا از روش‌های برون‌یابی (Extrapolation) برای تخمین بردارهای موضعی تعریف‌نشده استفاده کند، یا از تکرار بردارهای موجود بهره بگیرد که منجر به ابهام در ساختار موضعی می‌شود.</w:t>
      </w:r>
    </w:p>
    <w:p w14:paraId="229D6627" w14:textId="77777777" w:rsidR="00CA4560" w:rsidRDefault="00000000">
      <w:pPr>
        <w:pStyle w:val="Heading2"/>
      </w:pPr>
      <w:r>
        <w:t>۳.۲ ماتریس‌های توجه و پیچیدگی درجه‌دوم</w:t>
      </w:r>
    </w:p>
    <w:p w14:paraId="0B64AC9B" w14:textId="77777777" w:rsidR="00CA4560" w:rsidRDefault="00000000">
      <w:pPr>
        <w:spacing w:before="120" w:after="120"/>
      </w:pPr>
      <w:r>
        <w:rPr>
          <w:color w:val="000000"/>
        </w:rPr>
        <w:t xml:space="preserve">مکانیزم توجه (Attention Mechanism) که هستهٔ اصلی معماری Transformer را تشکیل می‌دهد، با محاسبهٔ تعاملات جفتی میان تمام عناصر ورودی کار می‌کند. برای یک نمونهٔ </w:t>
      </w:r>
      <w:r>
        <w:rPr>
          <w:color w:val="000000"/>
        </w:rPr>
        <w:lastRenderedPageBreak/>
        <w:t>VRP با n مشتری، این مکانیزم یک ماتریس n×n از نمره‌های توجه محاسبه می‌کند. برای مدلی که با n = ۱۰۰ مشتری آموزش دیده، ماتریس‌های توجهی به اندازهٔ ۱۰۰×۱۰۰ = ۱۰,۰۰۰ درایه محاسبه می‌شوند. هنگام اعمال این مدل بر روی یک نمونهٔ ۵۰‌مشتری، الگوهای توجه‌ای که مدل آموخته برای توزیع ۱۰۰ مشتری طراحی شده‌اند و برای ۵۰ مشتری که با چگالی کمتری پراکنده‌اند بهینه نیستند. هنگام اعمال بر روی نمونهٔ ۲۰۰‌مشتری، مدل باید ماتریس‌های ۲۰۰×۲۰۰ = ۴۰,۰۰۰ درایه‌ای را پردازش کند، اما وزن‌هایش برای الگوهای توجهی در ابعاد ۱۰۰×۱۰۰ یادگرفته شده‌اند. این ناسازگاری ساختاری، کیفیت محاسبات توجه را به‌شدت تحت‌تأثیر قرار می‌دهد.</w:t>
      </w:r>
    </w:p>
    <w:p w14:paraId="303E5FE5" w14:textId="77777777" w:rsidR="00CA4560" w:rsidRDefault="00000000">
      <w:pPr>
        <w:pStyle w:val="Heading2"/>
      </w:pPr>
      <w:r>
        <w:t>۳.۳ ابعاد جاسازی و توزیع آموزشی</w:t>
      </w:r>
    </w:p>
    <w:p w14:paraId="63F1A6C3" w14:textId="77777777" w:rsidR="00CA4560" w:rsidRDefault="00000000">
      <w:pPr>
        <w:spacing w:before="120" w:after="120"/>
      </w:pPr>
      <w:r>
        <w:rPr>
          <w:color w:val="000000"/>
        </w:rPr>
        <w:t>علاوه بر مسائل ساختاری فوق، یک چالش معناشناختی (Semantic) نیز وجود دارد. هر مشتری در نمونهٔ VRP توسط شبکهٔ عصبی به یک بردار جاسازی‌شدهٔ یادگرفتهٔ شده تبدیل می‌شود. این جاسازی‌ها الگوهایی را نمایش می‌دهند که مدل در طول آموزش از توزیع آماری داده‌های آموزشی یادگرفته است. برای مدلی که بر روی نمونه‌های ۱۰۰‌مشتری با توزیع یکنواخت آموزش دیده، جاسازی‌ها روابطی مانند قرب فضایی، چگالی محلی مشتریان، و الگوهای تقسیم‌بندی در خوشه‌های بهینه را کد می‌کنند. اما در نمونه‌های ۲۰۰‌مشتری، مشتریان متراکم‌تر هستند و مدل باید الگوهای کاملاً متفاوتی را دنبال کند. آزمایش‌های تجربی نشان می‌دهد که استفاده از مدل آموزش‌دیده روی n = ۱۰۰ برای نمونه‌های n = ۵۰ معمولاً به کاهش کیفیت ۳ تا ۸ درصد منجر می‌شود، برای n = ۱۵۰ تا n = ۲۰۰ کاهش ۱۰ تا ۳۰ درصد رخ می‌دهد، و برای n = ۳۰۰ به بالا مدل اغلب اساساً شکست می‌خورد. گودفیلو، بنجیو و کوروویل (Goodfellow, Bengio و Courville, 2016) در کتاب مرجع "Deep Learning" این اصل کلی را توضیح می‌دهند که شبکه‌های عصبی ابزارهایی هستند که دقت تخمین آنها خارج از دامنهٔ داده‌های آموزشی به‌شدت کاهش می‌یابد.</w:t>
      </w:r>
    </w:p>
    <w:p w14:paraId="4897671F" w14:textId="77777777" w:rsidR="00CA4560" w:rsidRDefault="00CA4560">
      <w:pPr>
        <w:spacing w:line="240" w:lineRule="auto"/>
      </w:pPr>
    </w:p>
    <w:p w14:paraId="735BF9C2" w14:textId="77777777" w:rsidR="00CA4560" w:rsidRDefault="00000000">
      <w:pPr>
        <w:pStyle w:val="Heading1"/>
      </w:pPr>
      <w:r>
        <w:t>۴. مرور ادبیات: پژوهش‌های موجود در حوزهٔ تعمیم‌پذیری اندازه</w:t>
      </w:r>
    </w:p>
    <w:p w14:paraId="2A897E17" w14:textId="77777777" w:rsidR="00CA4560" w:rsidRDefault="00000000">
      <w:pPr>
        <w:spacing w:before="120" w:after="120"/>
      </w:pPr>
      <w:r>
        <w:rPr>
          <w:color w:val="000000"/>
        </w:rPr>
        <w:t>جامعهٔ تحقیقاتی این محدودیت را شناسایی کرده و در سال‌های اخیر پژوهش‌های متعددی با هدف رفع یا کاهش آن انجام داده است. این بخش مروری جامع بر مهم‌ترین این پژوهش‌ها ارائه می‌دهد.</w:t>
      </w:r>
    </w:p>
    <w:p w14:paraId="77B70082" w14:textId="77777777" w:rsidR="00CA4560" w:rsidRDefault="00000000">
      <w:pPr>
        <w:pStyle w:val="Heading2"/>
      </w:pPr>
      <w:r>
        <w:t>۴.۱ مستندسازی مسئله در ادبیات</w:t>
      </w:r>
    </w:p>
    <w:p w14:paraId="429B785B" w14:textId="77777777" w:rsidR="00CA4560" w:rsidRDefault="00000000">
      <w:pPr>
        <w:spacing w:before="120" w:after="120"/>
      </w:pPr>
      <w:r>
        <w:rPr>
          <w:color w:val="000000"/>
        </w:rPr>
        <w:t xml:space="preserve">شیائو و همکاران (Xiao, Wang, Wu, Wu, Li, Du, Wang و Zhou, 2025) در مقالهٔ "Improving Generalization of Neural Vehicle Routing Problem Solvers Through the </w:t>
      </w:r>
      <w:r>
        <w:rPr>
          <w:color w:val="000000"/>
        </w:rPr>
        <w:lastRenderedPageBreak/>
        <w:t>Lens of Model Architecture" که در IEEE Transactions on Neural Networks and Learning Systems پذیرفته شد، به‌صراحت نشان دادند که مدل POMO (Kwon و همکاران, 2020) که در اندازهٔ آموزشی خود عملکرد فوق‌العاده‌ای دارد، در برابر نمونه‌های با اندازه‌های دیده‌نشده به‌شدت ضعیف عمل می‌کند. نویسندگان اشاره می‌کنند که این محدودیت عملی نه‌تنها روش‌های تحقیقاتی را محدود می‌سازد، بلکه مانع اصلی استقرار عملی این مدل‌ها است، چراکه نمونه‌های VRP در دنیای واقعی اندازه‌های کاملاً متغیر دارند.</w:t>
      </w:r>
    </w:p>
    <w:p w14:paraId="61652215" w14:textId="77777777" w:rsidR="00CA4560" w:rsidRDefault="00000000">
      <w:pPr>
        <w:spacing w:before="120" w:after="120"/>
      </w:pPr>
      <w:r>
        <w:rPr>
          <w:color w:val="000000"/>
        </w:rPr>
        <w:t>در همان راستا، ژوو و همکاران (Zhou, Zhang, Qin, Weng و Kool, 2023) در "Towards Omni-generalizable Neural Methods for Vehicle Routing Problems" که در ICML 2023 ارائه شد، به بررسی همزمان دو نوع تعمیم‌پذیری پرداختند: تعمیم‌پذیری اندازه (Size Generalization) که به توانایی حل مسائل با تعداد مشتریان مختلف اشاره دارد، و تعمیم‌پذیری توزیع (Distribution Generalization) که به توانایی حل مسائل با توزیع‌های فضایی مختلف مشتریان اشاره دارد. نویسندگان با آزمایش‌های گسترده نشان دادند که روش‌های موجود در هر دو جهت تعمیم‌پذیری ضعیف عمل می‌کنند و این ضعف ریشه در محدودیت‌های معماری دارد، نه در کمبود داده یا ضعف الگوریتم آموزشی.</w:t>
      </w:r>
    </w:p>
    <w:p w14:paraId="7FD97676" w14:textId="77777777" w:rsidR="00CA4560" w:rsidRDefault="00000000">
      <w:pPr>
        <w:pStyle w:val="Heading2"/>
      </w:pPr>
      <w:r>
        <w:t>۴.۲ رویکردهای پیشنهادی برای رفع تعمیم‌پذیری</w:t>
      </w:r>
    </w:p>
    <w:p w14:paraId="54A29037" w14:textId="77777777" w:rsidR="00CA4560" w:rsidRDefault="00000000">
      <w:pPr>
        <w:spacing w:before="120" w:after="120"/>
      </w:pPr>
      <w:r>
        <w:rPr>
          <w:color w:val="000000"/>
        </w:rPr>
        <w:t>بنجیو و همکاران (Bengio, Louradour, Collobert و Weston, 2009) یادگیری دورهٔ‌ای (Curriculum Learning) را به‌عنوان یک استراتژی آموزشی عمومی معرفی کردند. برخی محققان این استراتژی را برای مسئلهٔ تعمیم‌پذیری اندازه در VRP اقتباس کرده‌اند. چِن و همکاران (Chen, Liu و همکاران, 2025) در "Enhancing Cross-Size Generalization via Continual Learning" این رویکرد را با استفاده از تکنیک‌های یادگیری پیوسته (Continual Learning) برای جلوگیری از فراموشی فاجعه‌آمیز (Catastrophic Forgetting) تقویت کردند. نتایج نشان می‌دهد که این روش عملکرد خوبی در اندازه‌های پوشش‌دادهٔ شده توسط دورهٔ آموزشی ارائه می‌دهد، اما نیازمند سرمایه‌گذاری محاسباتی بسیار زیادی است: آموزش متوالی برای پوشش دامنهٔ ۱۰ تا ۲۰۰ مشتری ۲۰ تا ۲۵ ساعت زمان GPU نیاز دارد.</w:t>
      </w:r>
    </w:p>
    <w:p w14:paraId="7B8377DA" w14:textId="77777777" w:rsidR="00CA4560" w:rsidRDefault="00000000">
      <w:pPr>
        <w:spacing w:before="120" w:after="120"/>
      </w:pPr>
      <w:r>
        <w:rPr>
          <w:color w:val="000000"/>
        </w:rPr>
        <w:t>شیائو و همکاران (Xiao و همکاران, 2025) علاوه بر مستندسازی مشکل، یک ماژول جدید به نام Entropy-based Scaling Factor (ESF) پیشنهاد دادند که به‌صورت plug-and-play به مدل‌های موجود اضافه می‌شود. این روش می‌تواند بدون آموزش مجدد کامل به مدل‌های موجود اضافه شود و در برخی آزمایش‌ها بهبود محسوسی در تعمیم‌پذیری اندازه به‌دست می‌آورد. با این حال، نویسندگان صادقانه اعتراف می‌کنند که این راه‌حل تنها بهبود جزئی است و مسئلهٔ تعمیم‌پذیری اندازه را به‌طور کامل حل نمی‌کند. FusionFormer که در سال ۲۰۲۵ معرفی شد نیز ادعا می‌کند که با ترکیب ویژگی‌های محلی و سراسری مسئله تعمیم‌پذیری بهتری دارد، اما مدل‌های آموزش‌دیدهٔ از‌پیش‌آمادهٔ این معماری هنوز به‌صورت عمومی در دسترس نیستند و پخته‌شدن کامل این رویکرد برای استفاده در سیستم‌های تولیدی را می‌توان ۶ تا ۱۲ ماه دیگر تخمین زد.</w:t>
      </w:r>
    </w:p>
    <w:p w14:paraId="7D99D948" w14:textId="77777777" w:rsidR="00CA4560" w:rsidRDefault="00000000">
      <w:pPr>
        <w:pStyle w:val="Heading2"/>
      </w:pPr>
      <w:r>
        <w:lastRenderedPageBreak/>
        <w:t>۴.۳ وضعیت کنونی ادبیات: یک جمع‌بندی</w:t>
      </w:r>
    </w:p>
    <w:p w14:paraId="12319F5D" w14:textId="77777777" w:rsidR="00CA4560" w:rsidRDefault="00000000">
      <w:pPr>
        <w:spacing w:before="120" w:after="120"/>
      </w:pPr>
      <w:r>
        <w:rPr>
          <w:color w:val="000000"/>
        </w:rPr>
        <w:t>مرور ادبیات موجود تصویر روشنی از وضعیت کنونی ارائه می‌دهد: تمام حل‌کنندگان عصبی VRP که نقاط کنترل از‌پیش‌آمادهٔ آنها در دسترس عموم است—شامل Attention Model (Kool و همکاران, 2019)، POMO (Kwon و همکاران, 2020)، MTPOMO (Liu و همکاران, 2024)، MVMoE (Zhou و همکاران, 2024)، و RouteFinder (Berto و همکاران, 2025)—همگی برای اندازه‌های ثابت مشخص (معمولاً ۵۰ یا ۱۰۰ مشتری) آموزش دیده‌اند. جامعهٔ تحقیقاتی مسئلهٔ تعمیم‌پذیری اندازه را شناسایی کرده و چندین رویکرد برای رفع آن پیشنهاد داده است، اما هیچ‌یک هنوز به حدی از بلوغ نرسیده‌اند که به‌صورت یک مدل آموزش‌دیدهٔ عمومی برای اندازه‌های دلخواه در دسترس باشند.</w:t>
      </w:r>
    </w:p>
    <w:p w14:paraId="14BB5E2C" w14:textId="77777777" w:rsidR="00CA4560" w:rsidRDefault="00CA4560">
      <w:pPr>
        <w:spacing w:line="240" w:lineRule="auto"/>
      </w:pPr>
    </w:p>
    <w:p w14:paraId="731877FA" w14:textId="77777777" w:rsidR="00CA4560" w:rsidRDefault="00000000">
      <w:pPr>
        <w:pStyle w:val="Heading1"/>
      </w:pPr>
      <w:r>
        <w:t>۵. تحلیل روش‌های موجود برای رفع محدودیت تعمیم‌پذیری اندازه</w:t>
      </w:r>
    </w:p>
    <w:p w14:paraId="0CBFA24B" w14:textId="77777777" w:rsidR="00CA4560" w:rsidRDefault="00000000">
      <w:pPr>
        <w:spacing w:before="120" w:after="120"/>
      </w:pPr>
      <w:r>
        <w:rPr>
          <w:color w:val="000000"/>
        </w:rPr>
        <w:t>با توجه به اینکه مسئلهٔ تعمیم‌پذیری اندازه یک چالش شناخته‌شده است، محققان چندین رویکرد برای رفع آن پیشنهاد داده‌اند. این بخش هر یک از این رویکردها را از منظر پیچیدگی محاسباتی و قابلیت استفاده در محیط‌های پویا با محدودیت زمانی شدید تحلیل می‌کند.</w:t>
      </w:r>
    </w:p>
    <w:p w14:paraId="2EC1BD16" w14:textId="77777777" w:rsidR="00CA4560" w:rsidRDefault="00000000">
      <w:pPr>
        <w:pStyle w:val="Heading2"/>
      </w:pPr>
      <w:r>
        <w:t>۵.۱ تطابق زمان استنتاج</w:t>
      </w:r>
    </w:p>
    <w:p w14:paraId="597FC46A" w14:textId="77777777" w:rsidR="00CA4560" w:rsidRDefault="00000000">
      <w:pPr>
        <w:spacing w:before="120" w:after="120"/>
      </w:pPr>
      <w:r>
        <w:rPr>
          <w:color w:val="000000"/>
        </w:rPr>
        <w:t>تطابق زمان استنتاج (Test-Time Adaptation - TTA)—که در برخی منابع به‌عنوان جستجوی فعال (Active Search) (Bello, Pham, Le, Norouzi و Bengio, 2016) یا تنظیم ریز محلی نیز شناخته می‌شود—رویکردی است که بعد از استنتاج اولیه، اقداماتی برای بهبود کیفیت راه‌حل بر روی همان نمونهٔ خاص انجام می‌دهد. هوتونگ، کوون و تیرنی (Hottung, Kwon و Tierney, 2022) رویکرد جستجوی فعال کارآمد (Efficient Active Search - EAS) را برای بهینه‌سازی مدل‌های عصبی روی نمونه‌های آزمایشی ارائه دادند.</w:t>
      </w:r>
    </w:p>
    <w:p w14:paraId="159F0508" w14:textId="77777777" w:rsidR="00CA4560" w:rsidRDefault="00000000">
      <w:pPr>
        <w:spacing w:before="120" w:after="120"/>
      </w:pPr>
      <w:r>
        <w:rPr>
          <w:color w:val="000000"/>
        </w:rPr>
        <w:t xml:space="preserve">پیچیدگی محاسباتی TTA قابل توجه است. در حالت جستجوی محلی، هر تکرار شامل محاسبهٔ تأثیر یک حرکت پیشنهادی بر هزینه است. برای حرکت ۲-opt، هر عملیات مستلزم بررسی O(n²) جفت یال از مسیر فعلی است. برای نمونه‌ای با ۲۰۰ مشتری، هر تکرار ۴۰,۰۰۰ محاسبه نیاز دارد. اگر ۱۰۰ تکرار در نظر بگیریم، مجموع ۴ میلیون عملیات لازم است که روی سخت‌افزار GPU معاصر، ۲ تا ۱۰ ثانیه وقت محاسباتی نیاز دارد—علاوه بر ۰.۳ تا ۰.۵ ثانیه زمان استنتاج اولیه. یک مشکل عمیق‌تر این است که زمان لازم برای TTA به شدت به مشخصات خاص نمونهٔ مسئله بستگی دارد. نمونه‌هایی با ساختار خوشه‌ای ممکن است به سرعت همگرا شوند، در حالی که نمونه‌های پراکنده ممکن است حتی در ۱۵ تا ۲۰ ثانیه به بهبود رضایت‌بخشی دست نیابند. این غیرقطعی‌بودن زمانی (Timing Non-Determinism)، </w:t>
      </w:r>
      <w:r>
        <w:rPr>
          <w:color w:val="000000"/>
        </w:rPr>
        <w:lastRenderedPageBreak/>
        <w:t>TTA را برای هر سیستمی که نیاز به پاسخ‌دهی قابل اعتماد در بازهٔ زمانی مشخص دارد، نامناسب می‌کند.</w:t>
      </w:r>
    </w:p>
    <w:p w14:paraId="1090B450" w14:textId="77777777" w:rsidR="00CA4560" w:rsidRDefault="00000000">
      <w:pPr>
        <w:pStyle w:val="Heading2"/>
      </w:pPr>
      <w:r>
        <w:t>۵.۲ تنظیم ریز</w:t>
      </w:r>
    </w:p>
    <w:p w14:paraId="1A622194" w14:textId="77777777" w:rsidR="00CA4560" w:rsidRDefault="00000000">
      <w:pPr>
        <w:spacing w:before="120" w:after="120"/>
      </w:pPr>
      <w:r>
        <w:rPr>
          <w:color w:val="000000"/>
        </w:rPr>
        <w:t>تنظیم ریز (Fine-Tuning) که در حوزهٔ یادگیری انتقالی (Transfer Learning) جایگاه مهمی دارد (Pan و Yang, 2010)، شامل ادامهٔ آموزش یک مدل از‌پیش‌آمادهٔ شده روی داده‌های جدید است. در زمینهٔ VRP، این به معنای گرفتن نقطهٔ کنترل موجود، تطبیق معماری آن برای اندازهٔ جدید، و آموزش مجدد روی مجموعه‌ای از نمونه‌های با اندازهٔ جدید است. پیچیدگی محاسباتی این رویکرد بسیار بالاست: یک دورهٔ کامل تنظیم ریز برای یک اندازهٔ جدید معمولاً نیازمند ۵ تا ۱۰ ساعت آموزش روی GPU است. این هزینه تجمعی است: اگر سیستمی با k اندازهٔ متفاوت روبه‌رو می‌شود، نیاز به k جریان آموزشی جداگانه دارد که جمعاً ۵k تا ۱۰k ساعت GPU وقت می‌برند. علاوه بر این، در طول ساعت‌های آموزش، سیستم یا باید با مدل ناقص به کار ادامه دهد، یا باید سرویس‌دهی را کاملاً متوقف کند.</w:t>
      </w:r>
    </w:p>
    <w:p w14:paraId="41AEED4D" w14:textId="77777777" w:rsidR="00CA4560" w:rsidRDefault="00000000">
      <w:pPr>
        <w:pStyle w:val="Heading2"/>
      </w:pPr>
      <w:r>
        <w:t>۵.۳ لایه‌های تطابق کارآمد</w:t>
      </w:r>
    </w:p>
    <w:p w14:paraId="6ED28833" w14:textId="77777777" w:rsidR="00CA4560" w:rsidRDefault="00000000">
      <w:pPr>
        <w:spacing w:before="120" w:after="120"/>
      </w:pPr>
      <w:r>
        <w:rPr>
          <w:color w:val="000000"/>
        </w:rPr>
        <w:t>لایه‌های تطابق کارآمد (Efficient Adapter Layers - EAL) که توسط بِرتو و همکاران (Berto و همکاران, 2025) برای RouteFinder معرفی شد، ایده‌ای است که ریشه در تحقیقات پردازش زبان طبیعی دارد (Houlsby, Giurgiu, Jastrzebski, Morrone, De Laroussilhe, Gesmundo, Attariyan و Gelly, 2019). در این رویکرد، به جای آموزش مجدد تمام پارامترهای مدل، تنها تعداد کوچکی از ماژول‌های سبک‌وزن (معمولاً ۵ تا ۱۰ درصد پارامترهای کل) به مدل موجود—که وزن‌هایش ثابت نگه داشته می‌شوند—اضافه شده و آموزش می‌بینند. این روش زمان آموزش را از ۵ تا ۱۰ ساعت به ۱ تا ۲ ساعت GPU کاهش می‌دهد. با این حال، حتی این کاهش قابل‌توجه در هزینه، همچنان مانع اصلی برای محیط‌های پویا است. برای سیستمی که باید چندین اندازهٔ متفاوت را پشتیبانی کند، باید برای هر اندازهٔ جدید ۱ تا ۲ ساعت وقت آموزش صرف شود—در محیطی که اندازه‌ها در طول روز تغییر می‌کنند، این کاملاً غیرعملی است.</w:t>
      </w:r>
    </w:p>
    <w:p w14:paraId="1DBFF594" w14:textId="77777777" w:rsidR="00CA4560" w:rsidRDefault="00000000">
      <w:pPr>
        <w:pStyle w:val="Heading2"/>
      </w:pPr>
      <w:r>
        <w:t>۵.۴ یادگیری دورهٔ‌ای</w:t>
      </w:r>
    </w:p>
    <w:p w14:paraId="683CFBB7" w14:textId="77777777" w:rsidR="00CA4560" w:rsidRDefault="00000000">
      <w:pPr>
        <w:spacing w:before="120" w:after="120"/>
      </w:pPr>
      <w:r>
        <w:rPr>
          <w:color w:val="000000"/>
        </w:rPr>
        <w:t xml:space="preserve">یادگیری دورهٔ‌ای (Curriculum Learning) (Bengio و همکاران, 2009) و نسخه‌های پیشرفته‌تر آن مانند یادگیری پیوسته (Continual Learning) (Chen, Liu و همکاران, 2025) تلاش می‌کنند یک مدل واحد را از طریق آموزش متوالی بر روی اندازه‌های مختلف آماده سازند. در این رویکرد، مدل ابتدا بر روی نمونه‌های کوچک آموزش می‌بیند، سپس اندازه به‌تدریج افزایش می‌یابد. این رویکرد دو مشکل اساسی دارد: اول، هزینهٔ محاسباتی بسیار بالاست چراکه پوشش دامنهٔ n ∈ {۱۰, ۵۰, ۱۰۰, ۱۵۰, ۲۰۰} به ۲۰ تا ۲۵ ساعت آموزش GPU نیاز دارد. دوم، این روش صرفاً دامنهٔ اندازه‌هایی را پوشش می‌دهد که مدل صریحاً در </w:t>
      </w:r>
      <w:r>
        <w:rPr>
          <w:color w:val="000000"/>
        </w:rPr>
        <w:lastRenderedPageBreak/>
        <w:t>طول آموزش با آنها مواجه شده است؛ برای اندازه‌های کاملاً جدید، تعمیم‌پذیری همچنان محدود است. علاوه بر این، پیش‌فرض ضمنی این رویکرد این است که دامنهٔ اندازه‌ها از قبل مشخص است—فرضی که در محیط‌های واقعاً پویا اغلب نقض می‌شود.</w:t>
      </w:r>
    </w:p>
    <w:p w14:paraId="06918A3A" w14:textId="77777777" w:rsidR="00CA4560" w:rsidRDefault="00000000">
      <w:pPr>
        <w:pStyle w:val="Heading2"/>
      </w:pPr>
      <w:r>
        <w:t>۵.۵ مقایسهٔ جامع روش‌ها</w:t>
      </w:r>
    </w:p>
    <w:p w14:paraId="18709862" w14:textId="77777777" w:rsidR="00CA4560" w:rsidRDefault="00000000">
      <w:pPr>
        <w:spacing w:before="120" w:after="120"/>
      </w:pPr>
      <w:r>
        <w:rPr>
          <w:color w:val="000000"/>
        </w:rPr>
        <w:t>جدول زیر خلاصه‌ای از پیچیدگی محاسباتی، کیفیت و مناسبیت هر رویکرد برای محیط‌های پویا ارائه می‌دهد:</w:t>
      </w:r>
    </w:p>
    <w:p w14:paraId="32929BC1" w14:textId="77777777" w:rsidR="00CA4560" w:rsidRDefault="00CA4560">
      <w:pPr>
        <w:spacing w:line="240" w:lineRule="auto"/>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CA4560" w14:paraId="0F432EAB" w14:textId="77777777">
        <w:tblPrEx>
          <w:tblCellMar>
            <w:top w:w="0" w:type="dxa"/>
            <w:bottom w:w="0" w:type="dxa"/>
          </w:tblCellMar>
        </w:tblPrEx>
        <w:trPr>
          <w:tblHeader/>
        </w:trPr>
        <w:tc>
          <w:tcPr>
            <w:tcW w:w="2000" w:type="dxa"/>
            <w:tcBorders>
              <w:top w:val="single" w:sz="6" w:space="0" w:color="2E5090"/>
              <w:left w:val="single" w:sz="6" w:space="0" w:color="2E5090"/>
              <w:bottom w:val="single" w:sz="6" w:space="0" w:color="2E5090"/>
              <w:right w:val="single" w:sz="6" w:space="0" w:color="2E5090"/>
            </w:tcBorders>
            <w:shd w:val="clear" w:color="auto" w:fill="1F3864"/>
            <w:tcMar>
              <w:top w:w="80" w:type="dxa"/>
              <w:left w:w="120" w:type="dxa"/>
              <w:bottom w:w="80" w:type="dxa"/>
              <w:right w:w="120" w:type="dxa"/>
            </w:tcMar>
            <w:vAlign w:val="center"/>
          </w:tcPr>
          <w:p w14:paraId="3D6DFEC6" w14:textId="77777777" w:rsidR="00CA4560" w:rsidRDefault="00000000">
            <w:pPr>
              <w:jc w:val="center"/>
            </w:pPr>
            <w:r>
              <w:rPr>
                <w:b/>
                <w:bCs/>
                <w:color w:val="FFFFFF"/>
                <w:sz w:val="18"/>
                <w:szCs w:val="18"/>
              </w:rPr>
              <w:t>روش</w:t>
            </w:r>
          </w:p>
        </w:tc>
        <w:tc>
          <w:tcPr>
            <w:tcW w:w="1600" w:type="dxa"/>
            <w:tcBorders>
              <w:top w:val="single" w:sz="6" w:space="0" w:color="2E5090"/>
              <w:left w:val="single" w:sz="6" w:space="0" w:color="2E5090"/>
              <w:bottom w:val="single" w:sz="6" w:space="0" w:color="2E5090"/>
              <w:right w:val="single" w:sz="6" w:space="0" w:color="2E5090"/>
            </w:tcBorders>
            <w:shd w:val="clear" w:color="auto" w:fill="1F3864"/>
            <w:tcMar>
              <w:top w:w="80" w:type="dxa"/>
              <w:left w:w="120" w:type="dxa"/>
              <w:bottom w:w="80" w:type="dxa"/>
              <w:right w:w="120" w:type="dxa"/>
            </w:tcMar>
            <w:vAlign w:val="center"/>
          </w:tcPr>
          <w:p w14:paraId="3FD3CC98" w14:textId="77777777" w:rsidR="00CA4560" w:rsidRDefault="00000000">
            <w:pPr>
              <w:jc w:val="center"/>
            </w:pPr>
            <w:r>
              <w:rPr>
                <w:b/>
                <w:bCs/>
                <w:color w:val="FFFFFF"/>
                <w:sz w:val="18"/>
                <w:szCs w:val="18"/>
              </w:rPr>
              <w:t>هزینهٔ یادگیری</w:t>
            </w:r>
          </w:p>
        </w:tc>
        <w:tc>
          <w:tcPr>
            <w:tcW w:w="1600" w:type="dxa"/>
            <w:tcBorders>
              <w:top w:val="single" w:sz="6" w:space="0" w:color="2E5090"/>
              <w:left w:val="single" w:sz="6" w:space="0" w:color="2E5090"/>
              <w:bottom w:val="single" w:sz="6" w:space="0" w:color="2E5090"/>
              <w:right w:val="single" w:sz="6" w:space="0" w:color="2E5090"/>
            </w:tcBorders>
            <w:shd w:val="clear" w:color="auto" w:fill="1F3864"/>
            <w:tcMar>
              <w:top w:w="80" w:type="dxa"/>
              <w:left w:w="120" w:type="dxa"/>
              <w:bottom w:w="80" w:type="dxa"/>
              <w:right w:w="120" w:type="dxa"/>
            </w:tcMar>
            <w:vAlign w:val="center"/>
          </w:tcPr>
          <w:p w14:paraId="3B5CB4D1" w14:textId="77777777" w:rsidR="00CA4560" w:rsidRDefault="00000000">
            <w:pPr>
              <w:jc w:val="center"/>
            </w:pPr>
            <w:r>
              <w:rPr>
                <w:b/>
                <w:bCs/>
                <w:color w:val="FFFFFF"/>
                <w:sz w:val="18"/>
                <w:szCs w:val="18"/>
              </w:rPr>
              <w:t>زمان استنتاج</w:t>
            </w:r>
          </w:p>
        </w:tc>
        <w:tc>
          <w:tcPr>
            <w:tcW w:w="1600" w:type="dxa"/>
            <w:tcBorders>
              <w:top w:val="single" w:sz="6" w:space="0" w:color="2E5090"/>
              <w:left w:val="single" w:sz="6" w:space="0" w:color="2E5090"/>
              <w:bottom w:val="single" w:sz="6" w:space="0" w:color="2E5090"/>
              <w:right w:val="single" w:sz="6" w:space="0" w:color="2E5090"/>
            </w:tcBorders>
            <w:shd w:val="clear" w:color="auto" w:fill="1F3864"/>
            <w:tcMar>
              <w:top w:w="80" w:type="dxa"/>
              <w:left w:w="120" w:type="dxa"/>
              <w:bottom w:w="80" w:type="dxa"/>
              <w:right w:w="120" w:type="dxa"/>
            </w:tcMar>
            <w:vAlign w:val="center"/>
          </w:tcPr>
          <w:p w14:paraId="6E918858" w14:textId="77777777" w:rsidR="00CA4560" w:rsidRDefault="00000000">
            <w:pPr>
              <w:jc w:val="center"/>
            </w:pPr>
            <w:r>
              <w:rPr>
                <w:b/>
                <w:bCs/>
                <w:color w:val="FFFFFF"/>
                <w:sz w:val="18"/>
                <w:szCs w:val="18"/>
              </w:rPr>
              <w:t>قابلیت اعتماد</w:t>
            </w:r>
          </w:p>
        </w:tc>
        <w:tc>
          <w:tcPr>
            <w:tcW w:w="1600" w:type="dxa"/>
            <w:tcBorders>
              <w:top w:val="single" w:sz="6" w:space="0" w:color="2E5090"/>
              <w:left w:val="single" w:sz="6" w:space="0" w:color="2E5090"/>
              <w:bottom w:val="single" w:sz="6" w:space="0" w:color="2E5090"/>
              <w:right w:val="single" w:sz="6" w:space="0" w:color="2E5090"/>
            </w:tcBorders>
            <w:shd w:val="clear" w:color="auto" w:fill="1F3864"/>
            <w:tcMar>
              <w:top w:w="80" w:type="dxa"/>
              <w:left w:w="120" w:type="dxa"/>
              <w:bottom w:w="80" w:type="dxa"/>
              <w:right w:w="120" w:type="dxa"/>
            </w:tcMar>
            <w:vAlign w:val="center"/>
          </w:tcPr>
          <w:p w14:paraId="602890AD" w14:textId="77777777" w:rsidR="00CA4560" w:rsidRDefault="00000000">
            <w:pPr>
              <w:jc w:val="center"/>
            </w:pPr>
            <w:r>
              <w:rPr>
                <w:b/>
                <w:bCs/>
                <w:color w:val="FFFFFF"/>
                <w:sz w:val="18"/>
                <w:szCs w:val="18"/>
              </w:rPr>
              <w:t>مناسبیت برای محیط پویا</w:t>
            </w:r>
          </w:p>
        </w:tc>
      </w:tr>
      <w:tr w:rsidR="00CA4560" w14:paraId="0F2F70DD"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1F62063A" w14:textId="77777777" w:rsidR="00CA4560" w:rsidRDefault="00000000">
            <w:r>
              <w:rPr>
                <w:sz w:val="18"/>
                <w:szCs w:val="18"/>
              </w:rPr>
              <w:t>استنتاج مستقیم بدون تطابق</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0E95AA14" w14:textId="77777777" w:rsidR="00CA4560" w:rsidRDefault="00000000">
            <w:r>
              <w:rPr>
                <w:sz w:val="18"/>
                <w:szCs w:val="18"/>
              </w:rPr>
              <w:t>صفر</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1EAA6DED" w14:textId="77777777" w:rsidR="00CA4560" w:rsidRDefault="00000000">
            <w:r>
              <w:rPr>
                <w:sz w:val="18"/>
                <w:szCs w:val="18"/>
              </w:rPr>
              <w:t>۰.۳–۰.۵ ثانیه</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0B47DA78" w14:textId="77777777" w:rsidR="00CA4560" w:rsidRDefault="00000000">
            <w:r>
              <w:rPr>
                <w:sz w:val="18"/>
                <w:szCs w:val="18"/>
              </w:rPr>
              <w:t>بسیار بالا</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5E94D800" w14:textId="77777777" w:rsidR="00CA4560" w:rsidRDefault="00000000">
            <w:r>
              <w:rPr>
                <w:sz w:val="18"/>
                <w:szCs w:val="18"/>
              </w:rPr>
              <w:t>ضعیف</w:t>
            </w:r>
          </w:p>
        </w:tc>
      </w:tr>
      <w:tr w:rsidR="00CA4560" w14:paraId="7E35560E"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2A09813D" w14:textId="77777777" w:rsidR="00CA4560" w:rsidRDefault="00000000">
            <w:r>
              <w:rPr>
                <w:sz w:val="18"/>
                <w:szCs w:val="18"/>
              </w:rPr>
              <w:t>تطابق زمان استنتاج (TTA)</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49AFC86B" w14:textId="77777777" w:rsidR="00CA4560" w:rsidRDefault="00000000">
            <w:r>
              <w:rPr>
                <w:sz w:val="18"/>
                <w:szCs w:val="18"/>
              </w:rPr>
              <w:t>صفر</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77A880BE" w14:textId="77777777" w:rsidR="00CA4560" w:rsidRDefault="00000000">
            <w:r>
              <w:rPr>
                <w:sz w:val="18"/>
                <w:szCs w:val="18"/>
              </w:rPr>
              <w:t>۲–۲۰ ثانیه (متغیر)</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165FEAFE" w14:textId="77777777" w:rsidR="00CA4560" w:rsidRDefault="00000000">
            <w:r>
              <w:rPr>
                <w:sz w:val="18"/>
                <w:szCs w:val="18"/>
              </w:rPr>
              <w:t>پایین</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78C6D063" w14:textId="77777777" w:rsidR="00CA4560" w:rsidRDefault="00000000">
            <w:r>
              <w:rPr>
                <w:sz w:val="18"/>
                <w:szCs w:val="18"/>
              </w:rPr>
              <w:t>نامناسب</w:t>
            </w:r>
          </w:p>
        </w:tc>
      </w:tr>
      <w:tr w:rsidR="00CA4560" w14:paraId="629A4879"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5F334D19" w14:textId="77777777" w:rsidR="00CA4560" w:rsidRDefault="00000000">
            <w:r>
              <w:rPr>
                <w:sz w:val="18"/>
                <w:szCs w:val="18"/>
              </w:rPr>
              <w:t>تنظیم ریز (Fine-tuning)</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4E219538" w14:textId="77777777" w:rsidR="00CA4560" w:rsidRDefault="00000000">
            <w:r>
              <w:rPr>
                <w:sz w:val="18"/>
                <w:szCs w:val="18"/>
              </w:rPr>
              <w:t>۵–۱۰ ساعت GPU (هر اندازه)</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796656B6" w14:textId="77777777" w:rsidR="00CA4560" w:rsidRDefault="00000000">
            <w:r>
              <w:rPr>
                <w:sz w:val="18"/>
                <w:szCs w:val="18"/>
              </w:rPr>
              <w:t>۰.۳–۰.۵ ثانیه</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66198E5C" w14:textId="77777777" w:rsidR="00CA4560" w:rsidRDefault="00000000">
            <w:r>
              <w:rPr>
                <w:sz w:val="18"/>
                <w:szCs w:val="18"/>
              </w:rPr>
              <w:t>بالا</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7D773E34" w14:textId="77777777" w:rsidR="00CA4560" w:rsidRDefault="00000000">
            <w:r>
              <w:rPr>
                <w:sz w:val="18"/>
                <w:szCs w:val="18"/>
              </w:rPr>
              <w:t>نامناسب</w:t>
            </w:r>
          </w:p>
        </w:tc>
      </w:tr>
      <w:tr w:rsidR="00CA4560" w14:paraId="25EE21D4"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53DB4643" w14:textId="77777777" w:rsidR="00CA4560" w:rsidRDefault="00000000">
            <w:r>
              <w:rPr>
                <w:sz w:val="18"/>
                <w:szCs w:val="18"/>
              </w:rPr>
              <w:t>لایه‌های تطابق کارآمد (EAL)</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1E235F4B" w14:textId="77777777" w:rsidR="00CA4560" w:rsidRDefault="00000000">
            <w:r>
              <w:rPr>
                <w:sz w:val="18"/>
                <w:szCs w:val="18"/>
              </w:rPr>
              <w:t>۱–۲ ساعت GPU (هر اندازه)</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4E0B89C0" w14:textId="77777777" w:rsidR="00CA4560" w:rsidRDefault="00000000">
            <w:r>
              <w:rPr>
                <w:sz w:val="18"/>
                <w:szCs w:val="18"/>
              </w:rPr>
              <w:t>۰.۵–۱ ثانیه</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2BB06BDC" w14:textId="77777777" w:rsidR="00CA4560" w:rsidRDefault="00000000">
            <w:r>
              <w:rPr>
                <w:sz w:val="18"/>
                <w:szCs w:val="18"/>
              </w:rPr>
              <w:t>بالا</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2A2699FC" w14:textId="77777777" w:rsidR="00CA4560" w:rsidRDefault="00000000">
            <w:r>
              <w:rPr>
                <w:sz w:val="18"/>
                <w:szCs w:val="18"/>
              </w:rPr>
              <w:t>نامناسب</w:t>
            </w:r>
          </w:p>
        </w:tc>
      </w:tr>
      <w:tr w:rsidR="00CA4560" w14:paraId="39914198"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3B948E38" w14:textId="77777777" w:rsidR="00CA4560" w:rsidRDefault="00000000">
            <w:r>
              <w:rPr>
                <w:sz w:val="18"/>
                <w:szCs w:val="18"/>
              </w:rPr>
              <w:t>یادگیری دورهٔ‌ای</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4D20C9C4" w14:textId="77777777" w:rsidR="00CA4560" w:rsidRDefault="00000000">
            <w:r>
              <w:rPr>
                <w:sz w:val="18"/>
                <w:szCs w:val="18"/>
              </w:rPr>
              <w:t>۲۰–۲۵ ساعت GPU</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7DE952B8" w14:textId="77777777" w:rsidR="00CA4560" w:rsidRDefault="00000000">
            <w:r>
              <w:rPr>
                <w:sz w:val="18"/>
                <w:szCs w:val="18"/>
              </w:rPr>
              <w:t>۰.۳–۰.۵ ثانیه</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7B1759F9" w14:textId="77777777" w:rsidR="00CA4560" w:rsidRDefault="00000000">
            <w:r>
              <w:rPr>
                <w:sz w:val="18"/>
                <w:szCs w:val="18"/>
              </w:rPr>
              <w:t>بالا</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49E38C7C" w14:textId="77777777" w:rsidR="00CA4560" w:rsidRDefault="00000000">
            <w:r>
              <w:rPr>
                <w:sz w:val="18"/>
                <w:szCs w:val="18"/>
              </w:rPr>
              <w:t>محدود</w:t>
            </w:r>
          </w:p>
        </w:tc>
      </w:tr>
      <w:tr w:rsidR="00CA4560" w14:paraId="05BDB56A"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148E482D" w14:textId="77777777" w:rsidR="00CA4560" w:rsidRDefault="00000000">
            <w:r>
              <w:rPr>
                <w:sz w:val="18"/>
                <w:szCs w:val="18"/>
              </w:rPr>
              <w:t>PyVRP (کلاسیک)</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3173A5AA" w14:textId="77777777" w:rsidR="00CA4560" w:rsidRDefault="00000000">
            <w:r>
              <w:rPr>
                <w:sz w:val="18"/>
                <w:szCs w:val="18"/>
              </w:rPr>
              <w:t>صفر</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3CA730E4" w14:textId="77777777" w:rsidR="00CA4560" w:rsidRDefault="00000000">
            <w:r>
              <w:rPr>
                <w:sz w:val="18"/>
                <w:szCs w:val="18"/>
              </w:rPr>
              <w:t>۵–۲۰ ثانیه (قابل تنظیم)</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750B7543" w14:textId="77777777" w:rsidR="00CA4560" w:rsidRDefault="00000000">
            <w:r>
              <w:rPr>
                <w:sz w:val="18"/>
                <w:szCs w:val="18"/>
              </w:rPr>
              <w:t>بسیار بالا</w:t>
            </w:r>
          </w:p>
        </w:tc>
        <w:tc>
          <w:tcPr>
            <w:tcW w:w="16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539E94C2" w14:textId="77777777" w:rsidR="00CA4560" w:rsidRDefault="00000000">
            <w:r>
              <w:rPr>
                <w:sz w:val="18"/>
                <w:szCs w:val="18"/>
              </w:rPr>
              <w:t>عالی</w:t>
            </w:r>
          </w:p>
        </w:tc>
      </w:tr>
      <w:tr w:rsidR="00CA4560" w14:paraId="32331AA9" w14:textId="77777777">
        <w:tblPrEx>
          <w:tblCellMar>
            <w:top w:w="0" w:type="dxa"/>
            <w:bottom w:w="0" w:type="dxa"/>
          </w:tblCellMar>
        </w:tblPrEx>
        <w:tc>
          <w:tcPr>
            <w:tcW w:w="20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59E55C4D" w14:textId="77777777" w:rsidR="00CA4560" w:rsidRDefault="00000000">
            <w:r>
              <w:rPr>
                <w:sz w:val="18"/>
                <w:szCs w:val="18"/>
              </w:rPr>
              <w:t>OR-Tools (کلاسیک)</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4F12EA09" w14:textId="77777777" w:rsidR="00CA4560" w:rsidRDefault="00000000">
            <w:r>
              <w:rPr>
                <w:sz w:val="18"/>
                <w:szCs w:val="18"/>
              </w:rPr>
              <w:t>صفر</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23A942F9" w14:textId="77777777" w:rsidR="00CA4560" w:rsidRDefault="00000000">
            <w:r>
              <w:rPr>
                <w:sz w:val="18"/>
                <w:szCs w:val="18"/>
              </w:rPr>
              <w:t>۲–۱۰ ثانیه (قابل تنظیم)</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2F7B0CEB" w14:textId="77777777" w:rsidR="00CA4560" w:rsidRDefault="00000000">
            <w:r>
              <w:rPr>
                <w:sz w:val="18"/>
                <w:szCs w:val="18"/>
              </w:rPr>
              <w:t>بسیار بالا</w:t>
            </w:r>
          </w:p>
        </w:tc>
        <w:tc>
          <w:tcPr>
            <w:tcW w:w="1600" w:type="dxa"/>
            <w:tcBorders>
              <w:top w:val="single" w:sz="6" w:space="0" w:color="2E5090"/>
              <w:left w:val="single" w:sz="6" w:space="0" w:color="2E5090"/>
              <w:bottom w:val="single" w:sz="6" w:space="0" w:color="2E5090"/>
              <w:right w:val="single" w:sz="6" w:space="0" w:color="2E5090"/>
            </w:tcBorders>
            <w:shd w:val="clear" w:color="auto" w:fill="FFFFFF"/>
            <w:tcMar>
              <w:top w:w="80" w:type="dxa"/>
              <w:left w:w="120" w:type="dxa"/>
              <w:bottom w:w="80" w:type="dxa"/>
              <w:right w:w="120" w:type="dxa"/>
            </w:tcMar>
            <w:vAlign w:val="center"/>
          </w:tcPr>
          <w:p w14:paraId="1EAB71A2" w14:textId="77777777" w:rsidR="00CA4560" w:rsidRDefault="00000000">
            <w:r>
              <w:rPr>
                <w:sz w:val="18"/>
                <w:szCs w:val="18"/>
              </w:rPr>
              <w:t>عالی</w:t>
            </w:r>
          </w:p>
        </w:tc>
      </w:tr>
    </w:tbl>
    <w:p w14:paraId="6D9291D2" w14:textId="77777777" w:rsidR="00CA4560" w:rsidRDefault="00CA4560">
      <w:pPr>
        <w:spacing w:line="240" w:lineRule="auto"/>
      </w:pPr>
    </w:p>
    <w:p w14:paraId="2AF1099F" w14:textId="77777777" w:rsidR="00CA4560" w:rsidRDefault="00000000">
      <w:pPr>
        <w:spacing w:before="120" w:after="120"/>
      </w:pPr>
      <w:r>
        <w:rPr>
          <w:color w:val="000000"/>
        </w:rPr>
        <w:t>این جدول به‌روشنی نشان می‌دهد که هیچ‌یک از روش‌های مبتنی بر RL برای محیط‌هایی که هم نیاز به بدون-آموزش بودن (Training-Free) و هم نیاز به پاسخ سریع و قابل‌اعتماد دارند، مناسب نیستند. تنها روش‌های کلاسیک بهینه‌سازی—که به‌طور ذاتی برای اندازه‌های متغیر طراحی شده‌اند—می‌توانند هر دو شرط را به‌طور همزمان برآورده کنند.</w:t>
      </w:r>
    </w:p>
    <w:p w14:paraId="7C0AD4A0" w14:textId="77777777" w:rsidR="00CA4560" w:rsidRDefault="00CA4560">
      <w:pPr>
        <w:spacing w:line="240" w:lineRule="auto"/>
      </w:pPr>
    </w:p>
    <w:p w14:paraId="468C0359" w14:textId="77777777" w:rsidR="00CA4560" w:rsidRDefault="00000000">
      <w:pPr>
        <w:pStyle w:val="Heading1"/>
      </w:pPr>
      <w:r>
        <w:t>۶. محیط‌های پویا و ناکارآمدی روش‌های مبتنی بر RL</w:t>
      </w:r>
    </w:p>
    <w:p w14:paraId="046945AD" w14:textId="77777777" w:rsidR="00CA4560" w:rsidRDefault="00000000">
      <w:pPr>
        <w:spacing w:before="120" w:after="120"/>
      </w:pPr>
      <w:r>
        <w:rPr>
          <w:color w:val="000000"/>
        </w:rPr>
        <w:t>این بخش پیوندی میان تحلیل فنی بخش‌های پیشین و سناریوهای عملی استقرار واقعی برقرار می‌کند.</w:t>
      </w:r>
    </w:p>
    <w:p w14:paraId="55A2B73E" w14:textId="77777777" w:rsidR="00CA4560" w:rsidRDefault="00000000">
      <w:pPr>
        <w:pStyle w:val="Heading2"/>
      </w:pPr>
      <w:r>
        <w:lastRenderedPageBreak/>
        <w:t>۶.۱ تعریف دقیق محیط پویا</w:t>
      </w:r>
    </w:p>
    <w:p w14:paraId="5E5CA49B" w14:textId="77777777" w:rsidR="00CA4560" w:rsidRDefault="00000000">
      <w:pPr>
        <w:spacing w:before="120" w:after="120"/>
      </w:pPr>
      <w:r>
        <w:rPr>
          <w:color w:val="000000"/>
        </w:rPr>
        <w:t>یک محیط پویا (Dynamic Environment) برای مسئلهٔ VRP سیستمی است که در آن درخواست‌های جدید به‌صورت مستمر و با اندازه‌های کاملاً متغیر دریافت می‌شوند، هر درخواست باید در بازهٔ زمانی مشخص و سخت‌گیرانه‌ای پردازش شود، امکان آموزش مجدد مدل بین دریافت درخواست‌های متوالی وجود ندارد، و پاسخ‌دهی قابل‌اعتماد و ثابت از الزامات اصلی سیستم است. در چنین محیط‌هایی، یک سیستم مسیریابی نه‌تنها باید دقیق باشد، بلکه باید در هر شرایطی در بازهٔ زمانی مجاز پاسخ دهد.</w:t>
      </w:r>
    </w:p>
    <w:p w14:paraId="2323BB68" w14:textId="77777777" w:rsidR="00CA4560" w:rsidRDefault="00000000">
      <w:pPr>
        <w:pStyle w:val="Heading2"/>
      </w:pPr>
      <w:r>
        <w:t>۶.۲ سناریوهای عملی</w:t>
      </w:r>
    </w:p>
    <w:p w14:paraId="2CD94A3E" w14:textId="77777777" w:rsidR="00CA4560" w:rsidRDefault="00000000">
      <w:pPr>
        <w:spacing w:before="120" w:after="120"/>
      </w:pPr>
      <w:r>
        <w:rPr>
          <w:color w:val="000000"/>
        </w:rPr>
        <w:t>یک سرویس تحویل شهری سناریوی بارزی است. در طول روز، دسته‌های مختلفی از سفارشات دریافت می‌شوند: یک دستهٔ صبحگاهی ممکن است ۸۵ نقطهٔ تحویل داشته باشد، یک دستهٔ نیمروزی ۱۲۰ نقطه، یک دستهٔ عصرگاهی ۲۰۰ نقطه، و یک دستهٔ شبانه ۵۰ نقطه. سیستم باید برای هر دسته فهرست نقاط را دریافت کند، مسیر بهینه را محاسبه کند، و نتیجه را در کمتر از ۱۰ تا ۱۵ ثانیه به راننده‌ها ارسال کند. آموزش مجدد مدل برای هر دسته—که شاید چندین بار در ساعت صورت می‌گیرد—کاملاً خارج از امکان است. یک پلتفرم اشتراک سواری سناریوی مشابهی دارد: در اوج تقاضا ممکن است ۳۰۰ خودرو و ۵۰۰ مسافر در سیستم وجود داشته باشند که نیاز به تخصیص بهینه دارند، در حالی که در ساعات آرام اعداد به ۵۰ خودرو و ۷۰ مسافر کاهش می‌یابند. هر بار که وضعیت تقاضا تغییر می‌کند، باید تصمیم جدیدی در ثانیه‌ها گرفته شود.</w:t>
      </w:r>
    </w:p>
    <w:p w14:paraId="2701EE9D" w14:textId="77777777" w:rsidR="00CA4560" w:rsidRDefault="00000000">
      <w:pPr>
        <w:pStyle w:val="Heading2"/>
      </w:pPr>
      <w:r>
        <w:t>۶.۳ شکست سیستمیک روش‌های RL در محیط پویا</w:t>
      </w:r>
    </w:p>
    <w:p w14:paraId="102BB875" w14:textId="77777777" w:rsidR="00CA4560" w:rsidRDefault="00000000">
      <w:pPr>
        <w:spacing w:before="120" w:after="120"/>
      </w:pPr>
      <w:r>
        <w:rPr>
          <w:color w:val="000000"/>
        </w:rPr>
        <w:t>اگر یک سیستم تحویل شهری از نقطهٔ کنترل RouteFinder آموزش‌دیده برای ۱۰۰ مشتری استفاده کند و در طول یک روز با دنباله‌ای از درخواست‌ها مواجه شود، نتیجهٔ احتمالی به‌روشنی مشکل را آشکار می‌سازد. در ساعت ۹ صبح با ۸۵ مشتری، مدل راه‌حلی تولید می‌کند که تقریباً ۳ تا ۸ درصد بدتر از بهینهٔ واقعی برای این اندازه است—افت کیفیتی که شاید قابل تحمل باشد. در ساعت ۱۰:۳۰ با ۱۵۰ مشتری، کیفیت ۱۵ تا ۲۵ درصد افت می‌کند که می‌تواند منجر به مسیرهایی با هزینهٔ عملیاتی به‌مراتب بالاتر شود. در ساعت ۱۳ با ۲۵۰ مشتری، مدل یا به‌کلی شکست می‌خورد، یا راه‌حل‌هایی با افت کیفیت ۳۰ تا ۵۰ درصد ارائه می‌دهد که در عمل قابل استفاده نیستند. در این سناریوی واقع‌گرایانه، سازمان با سه گزینهٔ نامناسب روبه‌رو است: قبول کردن کیفیت ضعیف (ایذای تجربهٔ مشتری)، متوقف کردن سیستم (ایذای عملیات کسب‌و‌کار)، یا آموزش مدل جدید (۵ تا ۱۰ ساعت دور).</w:t>
      </w:r>
    </w:p>
    <w:p w14:paraId="7850158D" w14:textId="77777777" w:rsidR="00CA4560" w:rsidRDefault="00000000">
      <w:pPr>
        <w:pStyle w:val="Heading2"/>
      </w:pPr>
      <w:r>
        <w:t>۶.۴ برتری ذاتی روش‌های کلاسیک در محیط پویا</w:t>
      </w:r>
    </w:p>
    <w:p w14:paraId="3357B324" w14:textId="77777777" w:rsidR="00CA4560" w:rsidRDefault="00000000">
      <w:pPr>
        <w:spacing w:before="120" w:after="120"/>
      </w:pPr>
      <w:r>
        <w:rPr>
          <w:color w:val="000000"/>
        </w:rPr>
        <w:t xml:space="preserve">در تقابل با روش‌های RL، حل‌کنندگان کلاسیک مانند PyVRP (Wouda, Lan و Kool, 2024) و OR-Tools (Furnon و Perron, 2024) ذاتاً برای اندازه‌های متغیر طراحی شده‌اند. PyVRP که </w:t>
      </w:r>
      <w:r>
        <w:rPr>
          <w:color w:val="000000"/>
        </w:rPr>
        <w:lastRenderedPageBreak/>
        <w:t>پیاده‌سازی پیشرفته‌ای از الگوریتم جستجوی ژنتیکی هیبریدی (Vidal, 2022) است، برای هر نمونه از صفر شروع به حل می‌کند و هیچ فرضی درباره‌ٔ اندازه ندارد. کیفیت راه‌حل‌های آن ۱ تا ۳ درصد از بهینه فاصله دارد و این کیفیت بدون تفاوت برای نمونه‌های ۵۰ یا ۵۰۰ مشتری ثابت است. زمان اجرای آن با استفاده از یک پارامتر ساده (حد زمانی) تنظیم می‌شود که قابلیت اعتماد زمانی کاملی فراهم می‌کند. تجربهٔ استقرار در پروژه‌های صنعتی نشان می‌دهد که قابلیت اعتماد و پیش‌بینی‌پذیری در محیط‌های پویا اغلب از حداکثر کیفیت استاتیک مهم‌تر است: سیستمی که همیشه در ۸ ثانیه راه‌حلی با کیفیت ۲ درصد از بهینه ارائه می‌دهد، بسیار با‌ارزش‌تر از سیستمی است که گاهی ۰.۵ ثانیه پاسخ می‌دهد اما در ۲۰ درصد موارد با اندازه‌های ناآشنا شکست می‌خورد.</w:t>
      </w:r>
    </w:p>
    <w:p w14:paraId="46803BBA" w14:textId="77777777" w:rsidR="00CA4560" w:rsidRDefault="00CA4560">
      <w:pPr>
        <w:spacing w:line="240" w:lineRule="auto"/>
      </w:pPr>
    </w:p>
    <w:p w14:paraId="40802BA2" w14:textId="77777777" w:rsidR="00CA4560" w:rsidRDefault="00000000">
      <w:pPr>
        <w:pStyle w:val="Heading1"/>
      </w:pPr>
      <w:r>
        <w:t>۷. نتیجه‌گیری</w:t>
      </w:r>
    </w:p>
    <w:p w14:paraId="1016B042" w14:textId="77777777" w:rsidR="00CA4560" w:rsidRDefault="00000000">
      <w:pPr>
        <w:spacing w:before="120" w:after="120"/>
      </w:pPr>
      <w:r>
        <w:rPr>
          <w:color w:val="000000"/>
        </w:rPr>
        <w:t>این مقاله استدلال کرد که تمام روش‌های یادگیری تقویتی موجود برای حل VRP یک محدودیت معماری مشترک و بنیادی دارند: آموزش انحصاری بر روی نمونه‌های مسئله با اندازهٔ ثابت. این محدودیت ریشه در سه خصوصیت ریاضی شبکه‌های عصبی دارد: ماهیت ثابت جداول رمزگذاری موضعی، الگوهای توجه آموزش‌یافته برای ابعاد مشخص، و وابستگی جاسازی‌ها به توزیع آموزشی. نتیجهٔ این محدودیت، افت کیفیت ۳ تا ۵۰ درصدی هنگام استفاده از مدل روی اندازه‌های متفاوت از آنچه آموزش دیده است.</w:t>
      </w:r>
    </w:p>
    <w:p w14:paraId="5174959D" w14:textId="77777777" w:rsidR="00CA4560" w:rsidRDefault="00000000">
      <w:pPr>
        <w:spacing w:before="120" w:after="120"/>
      </w:pPr>
      <w:r>
        <w:rPr>
          <w:color w:val="000000"/>
        </w:rPr>
        <w:t>جامعهٔ تحقیقاتی روش‌های متعددی برای رفع این محدودیت پیشنهاد داده است، اما تحلیل دقیق پیچیدگی محاسباتی هر یک نشان می‌دهد که همگی برای محیط‌های پویا با محدودیت زمانی شدید ناکارآمد هستند. تطابق زمان استنتاج با زمان اجرای متغیر ۲ تا ۲۰ ثانیه قابلیت اعتماد لازم را فراهم نمی‌کند. تنظیم ریز با نیاز به ۵ تا ۱۰ ساعت GPU برای هر اندازهٔ جدید عملاً غیرممکن است. لایه‌های تطابق کارآمد این هزینه را به ۱ تا ۲ ساعت GPU کاهش می‌دهند اما همچنان برای محیط‌های پویا کافی نیستند. یادگیری دورهٔ‌ای با ۲۰ تا ۲۵ ساعت آموزش اولیه و ناتوانی در پوشش اندازه‌های کاملاً جدید، پاسخ جامعی نیست.</w:t>
      </w:r>
    </w:p>
    <w:p w14:paraId="009C8660" w14:textId="77777777" w:rsidR="00CA4560" w:rsidRDefault="00000000">
      <w:pPr>
        <w:spacing w:before="120" w:after="120"/>
      </w:pPr>
      <w:r>
        <w:rPr>
          <w:color w:val="000000"/>
        </w:rPr>
        <w:t xml:space="preserve">در مقابل، روش‌های کلاسیک بهینه‌سازی مانند PyVRP و OR-Tools برای اندازه‌های متغیر طراحی شده‌اند، در بازه‌های زمانی قابل پیش‌بینی و قابل تنظیم کار می‌کنند، کیفیتی ثابت در دامنهٔ وسیعی از اندازه‌ها ارائه می‌دهند، و نیازی به آموزش یا تطابق ندارند. بر این اساس، برای ارزیابی و محک‌زنی روش‌های حل VRP در سناریوهایی که تعداد مشتریان متغیر است و پاسخ‌دهی سریع و قابل اعتماد الزامی است، شامل کردن روش‌های مبتنی بر RL در مقایسه بدون اعلام صریح محدودیت‌هایشان گمراه‌کننده است. توصیهٔ این مقاله این است که در چنین سناریوهایی، روش‌های RL از محک‌زنی اصلی حذف شوند و مقایسه میان روش‌هایی صورت گیرد که واقعاً برای این سناریو طراحی شده‌اند. اگر هدف پژوهشی </w:t>
      </w:r>
      <w:r>
        <w:rPr>
          <w:color w:val="000000"/>
        </w:rPr>
        <w:lastRenderedPageBreak/>
        <w:t>مقایسهٔ نسل‌های مختلف رویکردها باشد، محدودیت‌های تعمیم‌پذیری اندازهٔ روش‌های RL باید به‌صراحت در روش‌شناسی ارزیابی ذکر شوند.</w:t>
      </w:r>
    </w:p>
    <w:p w14:paraId="0FDBB84A" w14:textId="77777777" w:rsidR="00CA4560" w:rsidRDefault="00CA4560">
      <w:pPr>
        <w:spacing w:line="240" w:lineRule="auto"/>
      </w:pPr>
    </w:p>
    <w:p w14:paraId="7B39B730" w14:textId="77777777" w:rsidR="00CA4560" w:rsidRDefault="00CA4560">
      <w:pPr>
        <w:pBdr>
          <w:bottom w:val="single" w:sz="6" w:space="1" w:color="2E5090"/>
        </w:pBdr>
        <w:spacing w:after="240"/>
      </w:pPr>
    </w:p>
    <w:p w14:paraId="70359CA4" w14:textId="77777777" w:rsidR="00CA4560" w:rsidRDefault="00000000">
      <w:pPr>
        <w:pStyle w:val="Heading1"/>
      </w:pPr>
      <w:r>
        <w:t>فهرست منابع</w:t>
      </w:r>
    </w:p>
    <w:p w14:paraId="53C72CE6" w14:textId="77777777" w:rsidR="00CA4560" w:rsidRDefault="00000000">
      <w:pPr>
        <w:spacing w:before="80" w:after="80" w:line="280" w:lineRule="auto"/>
        <w:ind w:right="360"/>
      </w:pPr>
      <w:r>
        <w:rPr>
          <w:sz w:val="20"/>
          <w:szCs w:val="20"/>
        </w:rPr>
        <w:t>Bello, I., Pham, H., Le, Q. V., Norouzi, M., &amp; Bengio, S. (2016). Neural combinatorial optimization with reinforcement learning. arXiv:1611.09940.</w:t>
      </w:r>
    </w:p>
    <w:p w14:paraId="1B124DFF" w14:textId="77777777" w:rsidR="00CA4560" w:rsidRDefault="00000000">
      <w:pPr>
        <w:spacing w:before="80" w:after="80" w:line="280" w:lineRule="auto"/>
        <w:ind w:right="360"/>
      </w:pPr>
      <w:r>
        <w:rPr>
          <w:sz w:val="20"/>
          <w:szCs w:val="20"/>
        </w:rPr>
        <w:t>Bengio, Y., Lodi, A., &amp; Prouvost, A. (2021). Machine learning for combinatorial optimization: a methodological tour d'horizon. European Journal of Operational Research, 290(2), 405–421.</w:t>
      </w:r>
    </w:p>
    <w:p w14:paraId="2846EC55" w14:textId="77777777" w:rsidR="00CA4560" w:rsidRDefault="00000000">
      <w:pPr>
        <w:spacing w:before="80" w:after="80" w:line="280" w:lineRule="auto"/>
        <w:ind w:right="360"/>
      </w:pPr>
      <w:r>
        <w:rPr>
          <w:sz w:val="20"/>
          <w:szCs w:val="20"/>
        </w:rPr>
        <w:t>Bengio, Y., Louradour, J., Collobert, R., &amp; Weston, J. (2009). Curriculum learning. Proceedings of the 26th ICML, 41–48.</w:t>
      </w:r>
    </w:p>
    <w:p w14:paraId="43E5314D" w14:textId="77777777" w:rsidR="00CA4560" w:rsidRDefault="00000000">
      <w:pPr>
        <w:spacing w:before="80" w:after="80" w:line="280" w:lineRule="auto"/>
        <w:ind w:right="360"/>
      </w:pPr>
      <w:r>
        <w:rPr>
          <w:sz w:val="20"/>
          <w:szCs w:val="20"/>
        </w:rPr>
        <w:t>Berto, F., Hua, C., Gast Zepeda, N., Hottung, A., Wouda, N., Lan, L., Park, J., Tierney, K., &amp; Park, J. (2025). RouteFinder: Towards foundation models for vehicle routing problems. Transactions on Machine Learning Research.</w:t>
      </w:r>
    </w:p>
    <w:p w14:paraId="4AA12832" w14:textId="77777777" w:rsidR="00CA4560" w:rsidRDefault="00000000">
      <w:pPr>
        <w:spacing w:before="80" w:after="80" w:line="280" w:lineRule="auto"/>
        <w:ind w:right="360"/>
      </w:pPr>
      <w:r>
        <w:rPr>
          <w:sz w:val="20"/>
          <w:szCs w:val="20"/>
        </w:rPr>
        <w:t>Chen, L., Liu, Y., et al. (2025). Enhancing the cross-size generalization for solving vehicle routing problems via continual learning. Preprint.</w:t>
      </w:r>
    </w:p>
    <w:p w14:paraId="238FDC1C" w14:textId="77777777" w:rsidR="00CA4560" w:rsidRDefault="00000000">
      <w:pPr>
        <w:spacing w:before="80" w:after="80" w:line="280" w:lineRule="auto"/>
        <w:ind w:right="360"/>
      </w:pPr>
      <w:r>
        <w:rPr>
          <w:sz w:val="20"/>
          <w:szCs w:val="20"/>
        </w:rPr>
        <w:t>Dantzig, G. B., &amp; Ramser, J. H. (1959). The truck dispatching problem. Management Science, 6(1), 80–91.</w:t>
      </w:r>
    </w:p>
    <w:p w14:paraId="60FBDEC2" w14:textId="77777777" w:rsidR="00CA4560" w:rsidRDefault="00000000">
      <w:pPr>
        <w:spacing w:before="80" w:after="80" w:line="280" w:lineRule="auto"/>
        <w:ind w:right="360"/>
      </w:pPr>
      <w:r>
        <w:rPr>
          <w:sz w:val="20"/>
          <w:szCs w:val="20"/>
        </w:rPr>
        <w:t>Desrochers, M., Desrosiers, J., &amp; Solomon, M. (1992). A new optimization algorithm for the vehicle routing problem with time windows. Operations Research, 40(2), 342–354.</w:t>
      </w:r>
    </w:p>
    <w:p w14:paraId="399DA858" w14:textId="77777777" w:rsidR="00CA4560" w:rsidRDefault="00000000">
      <w:pPr>
        <w:spacing w:before="80" w:after="80" w:line="280" w:lineRule="auto"/>
        <w:ind w:right="360"/>
      </w:pPr>
      <w:r>
        <w:rPr>
          <w:sz w:val="20"/>
          <w:szCs w:val="20"/>
        </w:rPr>
        <w:t>Dorigo, M., &amp; Gambardella, L. M. (1997). Ant colonies for the travelling salesman problem. Biosystems, 43(2), 73–81.</w:t>
      </w:r>
    </w:p>
    <w:p w14:paraId="70501913" w14:textId="77777777" w:rsidR="00CA4560" w:rsidRDefault="00000000">
      <w:pPr>
        <w:spacing w:before="80" w:after="80" w:line="280" w:lineRule="auto"/>
        <w:ind w:right="360"/>
      </w:pPr>
      <w:r>
        <w:rPr>
          <w:sz w:val="20"/>
          <w:szCs w:val="20"/>
        </w:rPr>
        <w:t>Furnon, V., &amp; Perron, L. (2024). OR-Tools: Operations research tools. Google LLC.</w:t>
      </w:r>
    </w:p>
    <w:p w14:paraId="4BDED753" w14:textId="77777777" w:rsidR="00CA4560" w:rsidRDefault="00000000">
      <w:pPr>
        <w:spacing w:before="80" w:after="80" w:line="280" w:lineRule="auto"/>
        <w:ind w:right="360"/>
      </w:pPr>
      <w:r>
        <w:rPr>
          <w:sz w:val="20"/>
          <w:szCs w:val="20"/>
        </w:rPr>
        <w:t>Glover, F. (1986). Future paths for integer programming and links to artificial intelligence. Computers &amp; Operations Research, 13(5), 533–549.</w:t>
      </w:r>
    </w:p>
    <w:p w14:paraId="3EF77ADF" w14:textId="77777777" w:rsidR="00CA4560" w:rsidRDefault="00000000">
      <w:pPr>
        <w:spacing w:before="80" w:after="80" w:line="280" w:lineRule="auto"/>
        <w:ind w:right="360"/>
      </w:pPr>
      <w:r>
        <w:rPr>
          <w:sz w:val="20"/>
          <w:szCs w:val="20"/>
        </w:rPr>
        <w:t>Goodfellow, I., Bengio, Y., &amp; Courville, A. (2016). Deep Learning. MIT Press.</w:t>
      </w:r>
    </w:p>
    <w:p w14:paraId="3731902F" w14:textId="77777777" w:rsidR="00CA4560" w:rsidRDefault="00000000">
      <w:pPr>
        <w:spacing w:before="80" w:after="80" w:line="280" w:lineRule="auto"/>
        <w:ind w:right="360"/>
      </w:pPr>
      <w:r>
        <w:rPr>
          <w:sz w:val="20"/>
          <w:szCs w:val="20"/>
        </w:rPr>
        <w:t>Holland, J. H. (1975). Adaptation in Natural and Artificial Systems. University of Michigan Press.</w:t>
      </w:r>
    </w:p>
    <w:p w14:paraId="03752662" w14:textId="77777777" w:rsidR="00CA4560" w:rsidRDefault="00000000">
      <w:pPr>
        <w:spacing w:before="80" w:after="80" w:line="280" w:lineRule="auto"/>
        <w:ind w:right="360"/>
      </w:pPr>
      <w:r>
        <w:rPr>
          <w:sz w:val="20"/>
          <w:szCs w:val="20"/>
        </w:rPr>
        <w:t>Hottung, A., Kwon, Y. D., &amp; Tierney, K. (2022). Efficient active search for combinatorial optimization problems. ICLR 2022.</w:t>
      </w:r>
    </w:p>
    <w:p w14:paraId="404E1FC5" w14:textId="77777777" w:rsidR="00CA4560" w:rsidRDefault="00000000">
      <w:pPr>
        <w:spacing w:before="80" w:after="80" w:line="280" w:lineRule="auto"/>
        <w:ind w:right="360"/>
      </w:pPr>
      <w:r>
        <w:rPr>
          <w:sz w:val="20"/>
          <w:szCs w:val="20"/>
        </w:rPr>
        <w:t>Houlsby, N., Giurgiu, A., Jastrzebski, S., Morrone, B., De Laroussilhe, Q., Gesmundo, A., Attariyan, M., &amp; Gelly, S. (2019). Parameter-efficient transfer learning for NLP. ICML 2019, 2790–2799.</w:t>
      </w:r>
    </w:p>
    <w:p w14:paraId="10259BD1" w14:textId="77777777" w:rsidR="00CA4560" w:rsidRDefault="00000000">
      <w:pPr>
        <w:spacing w:before="80" w:after="80" w:line="280" w:lineRule="auto"/>
        <w:ind w:right="360"/>
      </w:pPr>
      <w:r>
        <w:rPr>
          <w:sz w:val="20"/>
          <w:szCs w:val="20"/>
        </w:rPr>
        <w:t>Kirkpatrick, S., Gelatt, C. D., &amp; Vecchi, M. P. (1983). Optimization by simulated annealing. Science, 220(4598), 671–680.</w:t>
      </w:r>
    </w:p>
    <w:p w14:paraId="0DD74CD6" w14:textId="77777777" w:rsidR="00CA4560" w:rsidRDefault="00000000">
      <w:pPr>
        <w:spacing w:before="80" w:after="80" w:line="280" w:lineRule="auto"/>
        <w:ind w:right="360"/>
      </w:pPr>
      <w:r>
        <w:rPr>
          <w:sz w:val="20"/>
          <w:szCs w:val="20"/>
        </w:rPr>
        <w:t>Kool, W., van Hoof, H., &amp; Welling, M. (2019). Attention, learn to solve routing problems! ICLR 2019.</w:t>
      </w:r>
    </w:p>
    <w:p w14:paraId="17AB7228" w14:textId="77777777" w:rsidR="00CA4560" w:rsidRDefault="00000000">
      <w:pPr>
        <w:spacing w:before="80" w:after="80" w:line="280" w:lineRule="auto"/>
        <w:ind w:right="360"/>
      </w:pPr>
      <w:r>
        <w:rPr>
          <w:sz w:val="20"/>
          <w:szCs w:val="20"/>
        </w:rPr>
        <w:t>Kwon, Y. D., Kool, W., van Hoof, H., &amp; Welling, M. (2020). POMO: Policy optimization with multiple optima for reinforcement learning. NeurIPS 2020, 33, 21188–21198.</w:t>
      </w:r>
    </w:p>
    <w:p w14:paraId="274715CA" w14:textId="77777777" w:rsidR="00CA4560" w:rsidRDefault="00000000">
      <w:pPr>
        <w:spacing w:before="80" w:after="80" w:line="280" w:lineRule="auto"/>
        <w:ind w:right="360"/>
      </w:pPr>
      <w:r>
        <w:rPr>
          <w:sz w:val="20"/>
          <w:szCs w:val="20"/>
        </w:rPr>
        <w:t>Liu, Y., et al. (2024). MTPOMO: Multi-task POMO for vehicle routing problems. arXiv preprint.</w:t>
      </w:r>
    </w:p>
    <w:p w14:paraId="6D1BB521" w14:textId="77777777" w:rsidR="00CA4560" w:rsidRDefault="00000000">
      <w:pPr>
        <w:spacing w:before="80" w:after="80" w:line="280" w:lineRule="auto"/>
        <w:ind w:right="360"/>
      </w:pPr>
      <w:r>
        <w:rPr>
          <w:sz w:val="20"/>
          <w:szCs w:val="20"/>
        </w:rPr>
        <w:lastRenderedPageBreak/>
        <w:t>Nazari, M., Tavakoli, M., Pham, H., &amp; Takáč, M. (2018). Reinforcement learning for solving the vehicle routing problem. NeurIPS 2018.</w:t>
      </w:r>
    </w:p>
    <w:p w14:paraId="5B00AF85" w14:textId="77777777" w:rsidR="00CA4560" w:rsidRDefault="00000000">
      <w:pPr>
        <w:spacing w:before="80" w:after="80" w:line="280" w:lineRule="auto"/>
        <w:ind w:right="360"/>
      </w:pPr>
      <w:r>
        <w:rPr>
          <w:sz w:val="20"/>
          <w:szCs w:val="20"/>
        </w:rPr>
        <w:t>Pan, S. J., &amp; Yang, Q. (2010). A survey on transfer learning. IEEE Transactions on Knowledge and Data Engineering, 22(10), 1345–1359.</w:t>
      </w:r>
    </w:p>
    <w:p w14:paraId="445A56F6" w14:textId="77777777" w:rsidR="00CA4560" w:rsidRDefault="00000000">
      <w:pPr>
        <w:spacing w:before="80" w:after="80" w:line="280" w:lineRule="auto"/>
        <w:ind w:right="360"/>
      </w:pPr>
      <w:r>
        <w:rPr>
          <w:sz w:val="20"/>
          <w:szCs w:val="20"/>
        </w:rPr>
        <w:t>Schulman, J., Wolski, F., Dhariwal, P., Radford, A., &amp; Klimov, O. (2017). Proximal policy optimization algorithms. arXiv:1707.06347.</w:t>
      </w:r>
    </w:p>
    <w:p w14:paraId="58C6E672" w14:textId="77777777" w:rsidR="00CA4560" w:rsidRDefault="00000000">
      <w:pPr>
        <w:spacing w:before="80" w:after="80" w:line="280" w:lineRule="auto"/>
        <w:ind w:right="360"/>
      </w:pPr>
      <w:r>
        <w:rPr>
          <w:sz w:val="20"/>
          <w:szCs w:val="20"/>
        </w:rPr>
        <w:t>Vaswani, A., Shazeer, N., Parmar, N., Uszkoreit, J., Jones, L., Gomez, A. N., Kaiser, Ł., &amp; Polosukhin, I. (2017). Attention is all you need. NeurIPS 2017, 30.</w:t>
      </w:r>
    </w:p>
    <w:p w14:paraId="61837D67" w14:textId="77777777" w:rsidR="00CA4560" w:rsidRDefault="00000000">
      <w:pPr>
        <w:spacing w:before="80" w:after="80" w:line="280" w:lineRule="auto"/>
        <w:ind w:right="360"/>
      </w:pPr>
      <w:r>
        <w:rPr>
          <w:sz w:val="20"/>
          <w:szCs w:val="20"/>
        </w:rPr>
        <w:t>Vidal, T. (2022). Hybrid genetic search for the CVRP: Open-source implementation and SWAP* neighborhood. Computers &amp; Operations Research, 140, 105643.</w:t>
      </w:r>
    </w:p>
    <w:p w14:paraId="0C6EB808" w14:textId="77777777" w:rsidR="00CA4560" w:rsidRDefault="00000000">
      <w:pPr>
        <w:spacing w:before="80" w:after="80" w:line="280" w:lineRule="auto"/>
        <w:ind w:right="360"/>
      </w:pPr>
      <w:r>
        <w:rPr>
          <w:sz w:val="20"/>
          <w:szCs w:val="20"/>
        </w:rPr>
        <w:t>Vinyals, O., Fortunato, M., &amp; Jaitly, N. (2015). Pointer networks. NeurIPS 2015, 28.</w:t>
      </w:r>
    </w:p>
    <w:p w14:paraId="0E96B5B2" w14:textId="77777777" w:rsidR="00CA4560" w:rsidRDefault="00000000">
      <w:pPr>
        <w:spacing w:before="80" w:after="80" w:line="280" w:lineRule="auto"/>
        <w:ind w:right="360"/>
      </w:pPr>
      <w:r>
        <w:rPr>
          <w:sz w:val="20"/>
          <w:szCs w:val="20"/>
        </w:rPr>
        <w:t>Williams, R. J. (1992). Simple statistical gradient-following algorithms for connectionist reinforcement learning. Machine Learning, 8(3), 229–256.</w:t>
      </w:r>
    </w:p>
    <w:p w14:paraId="46C51646" w14:textId="77777777" w:rsidR="00CA4560" w:rsidRDefault="00000000">
      <w:pPr>
        <w:spacing w:before="80" w:after="80" w:line="280" w:lineRule="auto"/>
        <w:ind w:right="360"/>
      </w:pPr>
      <w:r>
        <w:rPr>
          <w:sz w:val="20"/>
          <w:szCs w:val="20"/>
        </w:rPr>
        <w:t>Wouda, N. A., Lan, L., &amp; Kool, W. (2024). PyVRP: a high-performance VRP solver package. INFORMS Journal on Computing. https://doi.org/10.1287/ijoc.2023.0055</w:t>
      </w:r>
    </w:p>
    <w:p w14:paraId="11F46681" w14:textId="77777777" w:rsidR="00CA4560" w:rsidRDefault="00000000">
      <w:pPr>
        <w:spacing w:before="80" w:after="80" w:line="280" w:lineRule="auto"/>
        <w:ind w:right="360"/>
      </w:pPr>
      <w:r>
        <w:rPr>
          <w:sz w:val="20"/>
          <w:szCs w:val="20"/>
        </w:rPr>
        <w:t>Xiao, Y., Wang, D., Wu, X., Wu, Y., Li, B., Du, W., Wang, L., &amp; Zhou, Y. (2025). Improving generalization of neural vehicle routing problem solvers through the lens of model architecture. IEEE Transactions on Neural Networks and Learning Systems.</w:t>
      </w:r>
    </w:p>
    <w:p w14:paraId="680D2BFE" w14:textId="77777777" w:rsidR="00CA4560" w:rsidRDefault="00000000">
      <w:pPr>
        <w:spacing w:before="80" w:after="80" w:line="280" w:lineRule="auto"/>
        <w:ind w:right="360"/>
      </w:pPr>
      <w:r>
        <w:rPr>
          <w:sz w:val="20"/>
          <w:szCs w:val="20"/>
        </w:rPr>
        <w:t>Zhou, Y., Zhang, R., Qin, Z., Weng, P., &amp; Kool, W. (2023). Towards omni-generalizable neural methods for vehicle routing problems. ICML 2023.</w:t>
      </w:r>
    </w:p>
    <w:p w14:paraId="5C5D93E7" w14:textId="77777777" w:rsidR="00CA4560" w:rsidRDefault="00000000">
      <w:pPr>
        <w:spacing w:before="80" w:after="80" w:line="280" w:lineRule="auto"/>
        <w:ind w:right="360"/>
      </w:pPr>
      <w:r>
        <w:rPr>
          <w:sz w:val="20"/>
          <w:szCs w:val="20"/>
        </w:rPr>
        <w:t>Zhou, Y., et al. (2024). MVMoE: Multi-task vehicle routing solver with mixture-of-experts. ICML 2024.</w:t>
      </w:r>
    </w:p>
    <w:p w14:paraId="0CFFDC96" w14:textId="77777777" w:rsidR="00CA4560" w:rsidRDefault="00CA4560">
      <w:pPr>
        <w:spacing w:line="240" w:lineRule="auto"/>
      </w:pPr>
    </w:p>
    <w:sectPr w:rsidR="00CA45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545C8"/>
    <w:multiLevelType w:val="hybridMultilevel"/>
    <w:tmpl w:val="57A0247A"/>
    <w:lvl w:ilvl="0" w:tplc="C024BFF8">
      <w:start w:val="1"/>
      <w:numFmt w:val="bullet"/>
      <w:lvlText w:val="●"/>
      <w:lvlJc w:val="left"/>
      <w:pPr>
        <w:ind w:left="720" w:hanging="360"/>
      </w:pPr>
    </w:lvl>
    <w:lvl w:ilvl="1" w:tplc="0BC4A0F0">
      <w:start w:val="1"/>
      <w:numFmt w:val="bullet"/>
      <w:lvlText w:val="○"/>
      <w:lvlJc w:val="left"/>
      <w:pPr>
        <w:ind w:left="1440" w:hanging="360"/>
      </w:pPr>
    </w:lvl>
    <w:lvl w:ilvl="2" w:tplc="BB3A32A2">
      <w:start w:val="1"/>
      <w:numFmt w:val="bullet"/>
      <w:lvlText w:val="■"/>
      <w:lvlJc w:val="left"/>
      <w:pPr>
        <w:ind w:left="2160" w:hanging="360"/>
      </w:pPr>
    </w:lvl>
    <w:lvl w:ilvl="3" w:tplc="EFF65E98">
      <w:start w:val="1"/>
      <w:numFmt w:val="bullet"/>
      <w:lvlText w:val="●"/>
      <w:lvlJc w:val="left"/>
      <w:pPr>
        <w:ind w:left="2880" w:hanging="360"/>
      </w:pPr>
    </w:lvl>
    <w:lvl w:ilvl="4" w:tplc="653E6954">
      <w:start w:val="1"/>
      <w:numFmt w:val="bullet"/>
      <w:lvlText w:val="○"/>
      <w:lvlJc w:val="left"/>
      <w:pPr>
        <w:ind w:left="3600" w:hanging="360"/>
      </w:pPr>
    </w:lvl>
    <w:lvl w:ilvl="5" w:tplc="5DE2002A">
      <w:start w:val="1"/>
      <w:numFmt w:val="bullet"/>
      <w:lvlText w:val="■"/>
      <w:lvlJc w:val="left"/>
      <w:pPr>
        <w:ind w:left="4320" w:hanging="360"/>
      </w:pPr>
    </w:lvl>
    <w:lvl w:ilvl="6" w:tplc="B99C1050">
      <w:start w:val="1"/>
      <w:numFmt w:val="bullet"/>
      <w:lvlText w:val="●"/>
      <w:lvlJc w:val="left"/>
      <w:pPr>
        <w:ind w:left="5040" w:hanging="360"/>
      </w:pPr>
    </w:lvl>
    <w:lvl w:ilvl="7" w:tplc="2236EF80">
      <w:start w:val="1"/>
      <w:numFmt w:val="bullet"/>
      <w:lvlText w:val="●"/>
      <w:lvlJc w:val="left"/>
      <w:pPr>
        <w:ind w:left="5760" w:hanging="360"/>
      </w:pPr>
    </w:lvl>
    <w:lvl w:ilvl="8" w:tplc="A2701D08">
      <w:start w:val="1"/>
      <w:numFmt w:val="bullet"/>
      <w:lvlText w:val="●"/>
      <w:lvlJc w:val="left"/>
      <w:pPr>
        <w:ind w:left="6480" w:hanging="360"/>
      </w:pPr>
    </w:lvl>
  </w:abstractNum>
  <w:num w:numId="1" w16cid:durableId="913390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560"/>
    <w:rsid w:val="000248D6"/>
    <w:rsid w:val="003417B2"/>
    <w:rsid w:val="00CA45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D374"/>
  <w15:docId w15:val="{4945C80B-8726-4400-AEF9-BAEF133B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pPr>
        <w:bidi/>
        <w:spacing w:line="32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5090"/>
      <w:sz w:val="28"/>
      <w:szCs w:val="28"/>
    </w:rPr>
  </w:style>
  <w:style w:type="paragraph" w:styleId="Heading3">
    <w:name w:val="heading 3"/>
    <w:uiPriority w:val="9"/>
    <w:unhideWhenUsed/>
    <w:qFormat/>
    <w:pPr>
      <w:spacing w:before="200" w:after="100"/>
      <w:outlineLvl w:val="2"/>
    </w:pPr>
    <w:rPr>
      <w:b/>
      <w:bCs/>
      <w:color w:val="365F9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4443</Words>
  <Characters>25329</Characters>
  <Application>Microsoft Office Word</Application>
  <DocSecurity>0</DocSecurity>
  <Lines>211</Lines>
  <Paragraphs>59</Paragraphs>
  <ScaleCrop>false</ScaleCrop>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Mojtaba</cp:lastModifiedBy>
  <cp:revision>2</cp:revision>
  <dcterms:created xsi:type="dcterms:W3CDTF">2026-06-14T16:45:00Z</dcterms:created>
  <dcterms:modified xsi:type="dcterms:W3CDTF">2026-06-14T16:45:00Z</dcterms:modified>
</cp:coreProperties>
</file>