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</w:t>
      </w:r>
      <w:r>
        <w:rPr>
          <w:sz w:val="24"/>
          <w:szCs w:val="24"/>
        </w:rPr>
        <w:t>39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3"/>
        <w:gridCol w:w="3143"/>
        <w:gridCol w:w="2804"/>
      </w:tblGrid>
      <w:tr>
        <w:trPr/>
        <w:tc>
          <w:tcPr>
            <w:tcW w:w="26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14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6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ONC</w:t>
            </w:r>
          </w:p>
        </w:tc>
        <w:tc>
          <w:tcPr>
            <w:tcW w:w="314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b/>
                <w:sz w:val="18"/>
                <w:szCs w:val="18"/>
              </w:rPr>
              <w:t>Swift57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ONC SWIFT 57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Yes – see Accel-Amplicon-Plus_57G_masterfile.txt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 – but we do need to capture the primer regions seperately from the target regions.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2"/>
        </w:numPr>
        <w:spacing w:before="240" w:after="0"/>
        <w:rPr/>
      </w:pPr>
      <w:r>
        <w:rPr>
          <w:b/>
        </w:rPr>
        <w:t>N/A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720" w:hanging="0"/>
        <w:rPr/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b w:val="false"/>
          <w:bCs w:val="false"/>
          <w:sz w:val="24"/>
          <w:szCs w:val="24"/>
        </w:rPr>
        <w:t>Aled Jones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15</w:t>
      </w:r>
      <w:r>
        <w:rPr>
          <w:b w:val="false"/>
          <w:bCs w:val="false"/>
          <w:sz w:val="24"/>
          <w:szCs w:val="24"/>
        </w:rPr>
        <w:t>/0</w:t>
      </w: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4"/>
          <w:szCs w:val="24"/>
        </w:rPr>
        <w:t>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4a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64a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3</Pages>
  <Words>281</Words>
  <Characters>1404</Characters>
  <CharactersWithSpaces>1639</CharactersWithSpaces>
  <Paragraphs>48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2020-04-28T16:38:00Z</dcterms:created>
  <dc:creator>Yau Michael</dc:creator>
  <dc:description/>
  <dc:language>en-GB</dc:language>
  <cp:lastModifiedBy/>
  <dcterms:modified xsi:type="dcterms:W3CDTF">2020-07-15T15:25:24Z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