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Helvetica" w:hAnsi="Helvetica"/>
          <w:b/>
          <w:i w:val="0"/>
          <w:color w:val="000000"/>
          <w:sz w:val="20"/>
        </w:rPr>
        <w:t>ARCHITECTURAL DESIGN SERVICES</w:t>
      </w:r>
    </w:p>
    <w:p>
      <w:pPr>
        <w:spacing w:after="60"/>
      </w:pPr>
      <w:r>
        <w:rPr>
          <w:rFonts w:ascii="Helvetica" w:hAnsi="Helvetica"/>
          <w:b/>
          <w:i w:val="0"/>
          <w:color w:val="000000"/>
          <w:sz w:val="46"/>
        </w:rPr>
        <w:t>Professional Fee Offer &amp; Preliminary Agreement</w:t>
      </w:r>
    </w:p>
    <w:p>
      <w:pPr>
        <w:spacing w:after="160"/>
      </w:pPr>
      <w:r>
        <w:rPr>
          <w:rFonts w:ascii="Helvetica" w:hAnsi="Helvetica"/>
          <w:b/>
          <w:i w:val="0"/>
          <w:color w:val="000000"/>
          <w:sz w:val="22"/>
        </w:rPr>
        <w:t>TWO ADJOINING PLOTS · MIXED-USE DEVELOPMENT · BASATINE, TRIPOLI</w:t>
      </w:r>
    </w:p>
    <w:p>
      <w:pPr>
        <w:spacing w:after="140"/>
        <w:jc w:val="center"/>
      </w:pPr>
      <w:r>
        <w:drawing>
          <wp:inline xmlns:a="http://schemas.openxmlformats.org/drawingml/2006/main" xmlns:pic="http://schemas.openxmlformats.org/drawingml/2006/picture">
            <wp:extent cx="9646920" cy="4434840"/>
            <wp:docPr id="1" name="Picture 1"/>
            <wp:cNvGraphicFramePr>
              <a:graphicFrameLocks noChangeAspect="1"/>
            </wp:cNvGraphicFramePr>
            <a:graphic>
              <a:graphicData uri="http://schemas.openxmlformats.org/drawingml/2006/picture">
                <pic:pic>
                  <pic:nvPicPr>
                    <pic:cNvPr id="0" name="4269fcb8-8c39-453a-a35f-942d45eed631.jpg"/>
                    <pic:cNvPicPr/>
                  </pic:nvPicPr>
                  <pic:blipFill>
                    <a:blip r:embed="rId11"/>
                    <a:stretch>
                      <a:fillRect/>
                    </a:stretch>
                  </pic:blipFill>
                  <pic:spPr>
                    <a:xfrm>
                      <a:off x="0" y="0"/>
                      <a:ext cx="9646920" cy="4434840"/>
                    </a:xfrm>
                    <a:prstGeom prst="rect"/>
                  </pic:spPr>
                </pic:pic>
              </a:graphicData>
            </a:graphic>
          </wp:inline>
        </w:drawing>
      </w:r>
    </w:p>
    <w:tbl>
      <w:tblPr>
        <w:tblW w:type="auto" w:w="0"/>
        <w:jc w:val="center"/>
        <w:tblLayout w:type="fixed"/>
        <w:tblLook w:firstColumn="1" w:firstRow="1" w:lastColumn="0" w:lastRow="0" w:noHBand="0" w:noVBand="1" w:val="04A0"/>
      </w:tblPr>
      <w:tblGrid>
        <w:gridCol w:w="3812"/>
        <w:gridCol w:w="3812"/>
        <w:gridCol w:w="3812"/>
        <w:gridCol w:w="3812"/>
      </w:tblGrid>
      <w:tr>
        <w:tc>
          <w:tcPr>
            <w:tcW w:type="dxa" w:w="3816"/>
            <w:tcMar>
              <w:top w:w="70" w:type="dxa"/>
              <w:start w:w="120" w:type="dxa"/>
              <w:bottom w:w="70" w:type="dxa"/>
              <w:end w:w="120" w:type="dxa"/>
            </w:tcMar>
            <w:tcBorders>
              <w:top w:val="single" w:sz="5" w:color="000000"/>
            </w:tcBorders>
          </w:tcPr>
          <w:p>
            <w:pPr>
              <w:spacing w:after="20"/>
            </w:pPr>
            <w:r>
              <w:rPr>
                <w:rFonts w:ascii="Helvetica" w:hAnsi="Helvetica"/>
                <w:b/>
                <w:i w:val="0"/>
                <w:color w:val="000000"/>
                <w:sz w:val="15"/>
              </w:rPr>
              <w:t>CLIENT</w:t>
            </w:r>
          </w:p>
          <w:p>
            <w:pPr>
              <w:spacing w:after="0"/>
            </w:pPr>
            <w:r>
              <w:rPr>
                <w:rFonts w:ascii="Helvetica" w:hAnsi="Helvetica"/>
                <w:b w:val="0"/>
                <w:i w:val="0"/>
                <w:color w:val="000000"/>
                <w:sz w:val="17"/>
              </w:rPr>
              <w:t>Mr Tarek Karame</w:t>
            </w:r>
          </w:p>
        </w:tc>
        <w:tc>
          <w:tcPr>
            <w:tcW w:type="dxa" w:w="3816"/>
            <w:tcMar>
              <w:top w:w="70" w:type="dxa"/>
              <w:start w:w="120" w:type="dxa"/>
              <w:bottom w:w="70" w:type="dxa"/>
              <w:end w:w="120" w:type="dxa"/>
            </w:tcMar>
            <w:tcBorders>
              <w:top w:val="single" w:sz="5" w:color="000000"/>
            </w:tcBorders>
          </w:tcPr>
          <w:p>
            <w:pPr>
              <w:spacing w:after="20"/>
            </w:pPr>
            <w:r>
              <w:rPr>
                <w:rFonts w:ascii="Helvetica" w:hAnsi="Helvetica"/>
                <w:b/>
                <w:i w:val="0"/>
                <w:color w:val="000000"/>
                <w:sz w:val="15"/>
              </w:rPr>
              <w:t>ARCHITECT</w:t>
            </w:r>
          </w:p>
          <w:p>
            <w:pPr>
              <w:spacing w:after="0"/>
            </w:pPr>
            <w:r>
              <w:rPr>
                <w:rFonts w:ascii="Helvetica" w:hAnsi="Helvetica"/>
                <w:b w:val="0"/>
                <w:i w:val="0"/>
                <w:color w:val="000000"/>
                <w:sz w:val="17"/>
              </w:rPr>
              <w:t>Arch. Mo Kabbara</w:t>
            </w:r>
          </w:p>
        </w:tc>
        <w:tc>
          <w:tcPr>
            <w:tcW w:type="dxa" w:w="3816"/>
            <w:tcMar>
              <w:top w:w="70" w:type="dxa"/>
              <w:start w:w="120" w:type="dxa"/>
              <w:bottom w:w="70" w:type="dxa"/>
              <w:end w:w="120" w:type="dxa"/>
            </w:tcMar>
            <w:tcBorders>
              <w:top w:val="single" w:sz="5" w:color="000000"/>
            </w:tcBorders>
          </w:tcPr>
          <w:p>
            <w:pPr>
              <w:spacing w:after="20"/>
            </w:pPr>
            <w:r>
              <w:rPr>
                <w:rFonts w:ascii="Helvetica" w:hAnsi="Helvetica"/>
                <w:b/>
                <w:i w:val="0"/>
                <w:color w:val="000000"/>
                <w:sz w:val="15"/>
              </w:rPr>
              <w:t>DATE</w:t>
            </w:r>
          </w:p>
          <w:p>
            <w:pPr>
              <w:spacing w:after="0"/>
            </w:pPr>
            <w:r>
              <w:rPr>
                <w:rFonts w:ascii="Helvetica" w:hAnsi="Helvetica"/>
                <w:b w:val="0"/>
                <w:i w:val="0"/>
                <w:color w:val="000000"/>
                <w:sz w:val="17"/>
              </w:rPr>
              <w:t>18 September 2026</w:t>
            </w:r>
          </w:p>
        </w:tc>
        <w:tc>
          <w:tcPr>
            <w:tcW w:type="dxa" w:w="3816"/>
            <w:tcMar>
              <w:top w:w="70" w:type="dxa"/>
              <w:start w:w="120" w:type="dxa"/>
              <w:bottom w:w="70" w:type="dxa"/>
              <w:end w:w="120" w:type="dxa"/>
            </w:tcMar>
            <w:tcBorders>
              <w:top w:val="single" w:sz="5" w:color="000000"/>
            </w:tcBorders>
          </w:tcPr>
          <w:p>
            <w:pPr>
              <w:spacing w:after="20"/>
            </w:pPr>
            <w:r>
              <w:rPr>
                <w:rFonts w:ascii="Helvetica" w:hAnsi="Helvetica"/>
                <w:b/>
                <w:i w:val="0"/>
                <w:color w:val="000000"/>
                <w:sz w:val="15"/>
              </w:rPr>
              <w:t>REFERENCE</w:t>
            </w:r>
          </w:p>
          <w:p>
            <w:pPr>
              <w:spacing w:after="0"/>
            </w:pPr>
            <w:r>
              <w:rPr>
                <w:rFonts w:ascii="Helvetica" w:hAnsi="Helvetica"/>
                <w:b w:val="0"/>
                <w:i w:val="0"/>
                <w:color w:val="000000"/>
                <w:sz w:val="17"/>
              </w:rPr>
              <w:t>MK-TAK-P07-2026-02</w:t>
            </w:r>
          </w:p>
        </w:tc>
      </w:tr>
    </w:tbl>
    <w:p>
      <w:r>
        <w:br w:type="page"/>
      </w:r>
    </w:p>
    <w:p>
      <w:pPr>
        <w:pStyle w:val="Heading1"/>
        <w:keepNext/>
      </w:pPr>
      <w:r>
        <w:t>Project Proposition</w:t>
      </w:r>
    </w:p>
    <w:p>
      <w:pPr>
        <w:spacing w:after="100" w:line="259" w:lineRule="auto"/>
      </w:pPr>
      <w:r>
        <w:rPr>
          <w:rFonts w:ascii="Helvetica" w:hAnsi="Helvetica"/>
          <w:b w:val="0"/>
          <w:i w:val="0"/>
          <w:color w:val="000000"/>
          <w:sz w:val="20"/>
        </w:rPr>
        <w:t>One coordinated architectural vision is proposed across two adjoining plots. The larger plot will be developed as the principal mixed-use project under the complete architectural scope. The smaller plot will receive a focused schematic concept intended to strengthen its market positioning and support a future land sale.</w:t>
      </w:r>
    </w:p>
    <w:p>
      <w:pPr>
        <w:spacing w:after="120"/>
        <w:jc w:val="center"/>
      </w:pPr>
      <w:r>
        <w:drawing>
          <wp:inline xmlns:a="http://schemas.openxmlformats.org/drawingml/2006/main" xmlns:pic="http://schemas.openxmlformats.org/drawingml/2006/picture">
            <wp:extent cx="8869680" cy="3611880"/>
            <wp:docPr id="2" name="Picture 2"/>
            <wp:cNvGraphicFramePr>
              <a:graphicFrameLocks noChangeAspect="1"/>
            </wp:cNvGraphicFramePr>
            <a:graphic>
              <a:graphicData uri="http://schemas.openxmlformats.org/drawingml/2006/picture">
                <pic:pic>
                  <pic:nvPicPr>
                    <pic:cNvPr id="0" name="model-1.png"/>
                    <pic:cNvPicPr/>
                  </pic:nvPicPr>
                  <pic:blipFill>
                    <a:blip r:embed="rId12"/>
                    <a:stretch>
                      <a:fillRect/>
                    </a:stretch>
                  </pic:blipFill>
                  <pic:spPr>
                    <a:xfrm>
                      <a:off x="0" y="0"/>
                      <a:ext cx="8869680" cy="3611880"/>
                    </a:xfrm>
                    <a:prstGeom prst="rect"/>
                  </pic:spPr>
                </pic:pic>
              </a:graphicData>
            </a:graphic>
          </wp:inline>
        </w:drawing>
      </w:r>
    </w:p>
    <w:tbl>
      <w:tblPr>
        <w:tblW w:type="auto" w:w="0"/>
        <w:jc w:val="center"/>
        <w:tblLayout w:type="fixed"/>
        <w:tblLook w:firstColumn="1" w:firstRow="1" w:lastColumn="0" w:lastRow="0" w:noHBand="0" w:noVBand="1" w:val="04A0"/>
      </w:tblPr>
      <w:tblGrid>
        <w:gridCol w:w="7625"/>
        <w:gridCol w:w="7625"/>
      </w:tblGrid>
      <w:tr>
        <w:tc>
          <w:tcPr>
            <w:tcW w:type="dxa" w:w="7560"/>
            <w:tcMar>
              <w:top w:w="110" w:type="dxa"/>
              <w:start w:w="140" w:type="dxa"/>
              <w:bottom w:w="110" w:type="dxa"/>
              <w:end w:w="140" w:type="dxa"/>
            </w:tcMar>
            <w:tcBorders>
              <w:top w:val="single" w:sz="7" w:color="000000"/>
              <w:bottom w:val="single" w:sz="4" w:color="000000"/>
            </w:tcBorders>
          </w:tcPr>
          <w:p>
            <w:pPr>
              <w:spacing w:after="40"/>
            </w:pPr>
            <w:r>
              <w:rPr>
                <w:rFonts w:ascii="Helvetica" w:hAnsi="Helvetica"/>
                <w:b/>
                <w:i w:val="0"/>
                <w:color w:val="000000"/>
                <w:sz w:val="22"/>
              </w:rPr>
              <w:t>LARGER PLOT</w:t>
            </w:r>
          </w:p>
          <w:p>
            <w:pPr>
              <w:spacing w:after="60"/>
            </w:pPr>
            <w:r>
              <w:rPr>
                <w:rFonts w:ascii="Helvetica" w:hAnsi="Helvetica"/>
                <w:b/>
                <w:i w:val="0"/>
                <w:color w:val="000000"/>
                <w:sz w:val="18"/>
              </w:rPr>
              <w:t>Approximately 2,277 m²</w:t>
            </w:r>
          </w:p>
          <w:p>
            <w:pPr>
              <w:spacing w:after="0"/>
            </w:pPr>
            <w:r>
              <w:rPr>
                <w:rFonts w:ascii="Helvetica" w:hAnsi="Helvetica"/>
                <w:b w:val="0"/>
                <w:i w:val="0"/>
                <w:color w:val="000000"/>
                <w:sz w:val="17"/>
              </w:rPr>
              <w:t>Full architectural design scope, permit drawings, execution design, visualizations and follow-up.</w:t>
            </w:r>
          </w:p>
        </w:tc>
        <w:tc>
          <w:tcPr>
            <w:tcW w:type="dxa" w:w="7560"/>
            <w:tcMar>
              <w:top w:w="110" w:type="dxa"/>
              <w:start w:w="140" w:type="dxa"/>
              <w:bottom w:w="110" w:type="dxa"/>
              <w:end w:w="140" w:type="dxa"/>
            </w:tcMar>
            <w:tcBorders>
              <w:top w:val="single" w:sz="7" w:color="000000"/>
              <w:bottom w:val="single" w:sz="4" w:color="000000"/>
            </w:tcBorders>
          </w:tcPr>
          <w:p>
            <w:pPr>
              <w:spacing w:after="40"/>
            </w:pPr>
            <w:r>
              <w:rPr>
                <w:rFonts w:ascii="Helvetica" w:hAnsi="Helvetica"/>
                <w:b/>
                <w:i w:val="0"/>
                <w:color w:val="000000"/>
                <w:sz w:val="22"/>
              </w:rPr>
              <w:t>SMALLER PLOT</w:t>
            </w:r>
          </w:p>
          <w:p>
            <w:pPr>
              <w:spacing w:after="60"/>
            </w:pPr>
            <w:r>
              <w:rPr>
                <w:rFonts w:ascii="Helvetica" w:hAnsi="Helvetica"/>
                <w:b/>
                <w:i w:val="0"/>
                <w:color w:val="000000"/>
                <w:sz w:val="18"/>
              </w:rPr>
              <w:t>Approximately 1,313 m²</w:t>
            </w:r>
          </w:p>
          <w:p>
            <w:pPr>
              <w:spacing w:after="0"/>
            </w:pPr>
            <w:r>
              <w:rPr>
                <w:rFonts w:ascii="Helvetica" w:hAnsi="Helvetica"/>
                <w:b w:val="0"/>
                <w:i w:val="0"/>
                <w:color w:val="000000"/>
                <w:sz w:val="17"/>
              </w:rPr>
              <w:t>Sales-oriented schematic design only, developed to attract buyers and demonstrate development potential.</w:t>
            </w:r>
          </w:p>
        </w:tc>
      </w:tr>
    </w:tbl>
    <w:p>
      <w:pPr>
        <w:spacing w:after="0" w:line="259" w:lineRule="auto"/>
      </w:pPr>
      <w:r>
        <w:rPr>
          <w:rFonts w:ascii="Helvetica" w:hAnsi="Helvetica"/>
          <w:b w:val="0"/>
          <w:i/>
          <w:color w:val="000000"/>
          <w:sz w:val="20"/>
        </w:rPr>
        <w:t>Urban design intent: the smaller-plot concept will retain the architectural language, material logic, proportions and public-realm character of the larger project so that both sites read as a coherent urban composition. This coordination does not extend the smaller plot into permit, execution or construction documentation.</w:t>
      </w:r>
    </w:p>
    <w:p>
      <w:r>
        <w:br w:type="page"/>
      </w:r>
    </w:p>
    <w:p>
      <w:pPr>
        <w:pStyle w:val="Heading1"/>
        <w:keepNext/>
      </w:pPr>
      <w:r>
        <w:t>Preliminary Design Schematic</w:t>
      </w:r>
    </w:p>
    <w:p>
      <w:pPr>
        <w:spacing w:after="120"/>
        <w:jc w:val="center"/>
      </w:pPr>
      <w:r>
        <w:drawing>
          <wp:inline xmlns:a="http://schemas.openxmlformats.org/drawingml/2006/main" xmlns:pic="http://schemas.openxmlformats.org/drawingml/2006/picture">
            <wp:extent cx="9098280" cy="5074920"/>
            <wp:docPr id="3" name="Picture 3"/>
            <wp:cNvGraphicFramePr>
              <a:graphicFrameLocks noChangeAspect="1"/>
            </wp:cNvGraphicFramePr>
            <a:graphic>
              <a:graphicData uri="http://schemas.openxmlformats.org/drawingml/2006/picture">
                <pic:pic>
                  <pic:nvPicPr>
                    <pic:cNvPr id="0" name="Screenshot 2026-09-17 at 10.35.38.png"/>
                    <pic:cNvPicPr/>
                  </pic:nvPicPr>
                  <pic:blipFill>
                    <a:blip r:embed="rId13"/>
                    <a:stretch>
                      <a:fillRect/>
                    </a:stretch>
                  </pic:blipFill>
                  <pic:spPr>
                    <a:xfrm>
                      <a:off x="0" y="0"/>
                      <a:ext cx="9098280" cy="5074920"/>
                    </a:xfrm>
                    <a:prstGeom prst="rect"/>
                  </pic:spPr>
                </pic:pic>
              </a:graphicData>
            </a:graphic>
          </wp:inline>
        </w:drawing>
      </w:r>
    </w:p>
    <w:tbl>
      <w:tblPr>
        <w:tblW w:type="auto" w:w="0"/>
        <w:jc w:val="center"/>
        <w:tblLayout w:type="fixed"/>
        <w:tblLook w:firstColumn="1" w:firstRow="1" w:lastColumn="0" w:lastRow="0" w:noHBand="0" w:noVBand="1" w:val="04A0"/>
      </w:tblPr>
      <w:tblGrid>
        <w:gridCol w:w="5083"/>
        <w:gridCol w:w="5083"/>
        <w:gridCol w:w="5083"/>
      </w:tblGrid>
      <w:tr>
        <w:tc>
          <w:tcPr>
            <w:tcW w:type="dxa" w:w="5040"/>
            <w:tcMar>
              <w:top w:w="80" w:type="dxa"/>
              <w:start w:w="120" w:type="dxa"/>
              <w:bottom w:w="80" w:type="dxa"/>
              <w:end w:w="120" w:type="dxa"/>
            </w:tcMar>
            <w:tcBorders>
              <w:top w:val="single" w:sz="5" w:color="000000"/>
            </w:tcBorders>
          </w:tcPr>
          <w:p>
            <w:pPr>
              <w:spacing w:after="40"/>
            </w:pPr>
            <w:r>
              <w:rPr>
                <w:rFonts w:ascii="Helvetica" w:hAnsi="Helvetica"/>
                <w:b/>
                <w:i w:val="0"/>
                <w:color w:val="000000"/>
                <w:sz w:val="16"/>
              </w:rPr>
              <w:t>PROGRAMME</w:t>
            </w:r>
          </w:p>
          <w:p>
            <w:pPr>
              <w:spacing w:after="0"/>
            </w:pPr>
            <w:r>
              <w:rPr>
                <w:rFonts w:ascii="Helvetica" w:hAnsi="Helvetica"/>
                <w:b w:val="0"/>
                <w:i w:val="0"/>
                <w:color w:val="000000"/>
                <w:sz w:val="16"/>
              </w:rPr>
              <w:t>Stores · mezzanine · showroom · offices · residential uses subject to the approved brief.</w:t>
            </w:r>
          </w:p>
        </w:tc>
        <w:tc>
          <w:tcPr>
            <w:tcW w:type="dxa" w:w="5040"/>
            <w:tcMar>
              <w:top w:w="80" w:type="dxa"/>
              <w:start w:w="120" w:type="dxa"/>
              <w:bottom w:w="80" w:type="dxa"/>
              <w:end w:w="120" w:type="dxa"/>
            </w:tcMar>
            <w:tcBorders>
              <w:top w:val="single" w:sz="5" w:color="000000"/>
            </w:tcBorders>
          </w:tcPr>
          <w:p>
            <w:pPr>
              <w:spacing w:after="40"/>
            </w:pPr>
            <w:r>
              <w:rPr>
                <w:rFonts w:ascii="Helvetica" w:hAnsi="Helvetica"/>
                <w:b/>
                <w:i w:val="0"/>
                <w:color w:val="000000"/>
                <w:sz w:val="16"/>
              </w:rPr>
              <w:t>DESIGN RELATIONSHIP</w:t>
            </w:r>
          </w:p>
          <w:p>
            <w:pPr>
              <w:spacing w:after="0"/>
            </w:pPr>
            <w:r>
              <w:rPr>
                <w:rFonts w:ascii="Helvetica" w:hAnsi="Helvetica"/>
                <w:b w:val="0"/>
                <w:i w:val="0"/>
                <w:color w:val="000000"/>
                <w:sz w:val="16"/>
              </w:rPr>
              <w:t>Two coordinated masses with a consistent façade family, scale, landscape and street identity.</w:t>
            </w:r>
          </w:p>
        </w:tc>
        <w:tc>
          <w:tcPr>
            <w:tcW w:type="dxa" w:w="5040"/>
            <w:tcMar>
              <w:top w:w="80" w:type="dxa"/>
              <w:start w:w="120" w:type="dxa"/>
              <w:bottom w:w="80" w:type="dxa"/>
              <w:end w:w="120" w:type="dxa"/>
            </w:tcMar>
            <w:tcBorders>
              <w:top w:val="single" w:sz="5" w:color="000000"/>
            </w:tcBorders>
          </w:tcPr>
          <w:p>
            <w:pPr>
              <w:spacing w:after="40"/>
            </w:pPr>
            <w:r>
              <w:rPr>
                <w:rFonts w:ascii="Helvetica" w:hAnsi="Helvetica"/>
                <w:b/>
                <w:i w:val="0"/>
                <w:color w:val="000000"/>
                <w:sz w:val="16"/>
              </w:rPr>
              <w:t>PLANNING STATUS</w:t>
            </w:r>
          </w:p>
          <w:p>
            <w:pPr>
              <w:spacing w:after="0"/>
            </w:pPr>
            <w:r>
              <w:rPr>
                <w:rFonts w:ascii="Helvetica" w:hAnsi="Helvetica"/>
                <w:b w:val="0"/>
                <w:i w:val="0"/>
                <w:color w:val="000000"/>
                <w:sz w:val="16"/>
              </w:rPr>
              <w:t>All areas and massing remain preliminary and subject to survey, zoning and authority confirmation.</w:t>
            </w:r>
          </w:p>
        </w:tc>
      </w:tr>
    </w:tbl>
    <w:p>
      <w:r>
        <w:br w:type="page"/>
      </w:r>
    </w:p>
    <w:p>
      <w:pPr>
        <w:pStyle w:val="Heading1"/>
        <w:keepNext/>
      </w:pPr>
      <w:r>
        <w:t>1. Parties and Appointment</w:t>
      </w:r>
    </w:p>
    <w:p>
      <w:pPr>
        <w:spacing w:after="100" w:line="259" w:lineRule="auto"/>
      </w:pPr>
      <w:r>
        <w:rPr>
          <w:rFonts w:ascii="Helvetica" w:hAnsi="Helvetica"/>
          <w:b w:val="0"/>
          <w:i w:val="0"/>
          <w:color w:val="000000"/>
          <w:sz w:val="20"/>
        </w:rPr>
        <w:t>This Professional Fee Offer and Preliminary Agreement (the “Agreement”) is made between Mr Tarek Karame (the “Client”) and Arch. Mo Kabbara (the “Architect”) for architectural design services relating to the two adjoining plots described below.</w:t>
      </w:r>
    </w:p>
    <w:p>
      <w:pPr>
        <w:spacing w:after="100" w:line="259" w:lineRule="auto"/>
      </w:pPr>
      <w:r>
        <w:rPr>
          <w:rFonts w:ascii="Helvetica" w:hAnsi="Helvetica"/>
          <w:b w:val="0"/>
          <w:i w:val="0"/>
          <w:color w:val="000000"/>
          <w:sz w:val="20"/>
        </w:rPr>
        <w:t>The Client appoints the Architect to perform the services stated in this Agreement. The appointment becomes effective when both parties sign the Agreement and the Phase 1 payment has been received, unless otherwise agreed in writing.</w:t>
      </w:r>
    </w:p>
    <w:p>
      <w:pPr>
        <w:pStyle w:val="Heading1"/>
        <w:keepNext/>
      </w:pPr>
      <w:r>
        <w:t>2. Project Description</w:t>
      </w:r>
    </w:p>
    <w:p>
      <w:pPr>
        <w:spacing w:after="100" w:line="259" w:lineRule="auto"/>
      </w:pPr>
      <w:r>
        <w:rPr>
          <w:rFonts w:ascii="Helvetica" w:hAnsi="Helvetica"/>
          <w:b w:val="0"/>
          <w:i w:val="0"/>
          <w:color w:val="000000"/>
          <w:sz w:val="20"/>
        </w:rPr>
        <w:t>The proposed project concerns two adjoining land parcels within Plot No. 7 in the Basatine area of Tripoli, Lebanon. The larger plot, approximately 2,277 m², is the principal mixed-use development and receives the full scope stated in this Agreement. The smaller adjoining plot, approximately 1,313 m², receives a schematic design concept for land-sale and buyer-attraction purposes only. Both concepts will share a coordinated architectural identity to preserve urban harmony and consistency.</w:t>
      </w:r>
    </w:p>
    <w:p>
      <w:pPr>
        <w:pStyle w:val="ListBullet"/>
        <w:spacing w:after="50" w:line="252" w:lineRule="auto"/>
      </w:pPr>
      <w:r>
        <w:rPr>
          <w:rFonts w:ascii="Helvetica" w:hAnsi="Helvetica"/>
          <w:b w:val="0"/>
          <w:i w:val="0"/>
          <w:color w:val="000000"/>
          <w:sz w:val="20"/>
        </w:rPr>
        <w:t>Three basement levels, primarily for parking, technical rooms, storage and building services;</w:t>
      </w:r>
    </w:p>
    <w:p>
      <w:pPr>
        <w:pStyle w:val="ListBullet"/>
        <w:spacing w:after="50" w:line="252" w:lineRule="auto"/>
      </w:pPr>
      <w:r>
        <w:rPr>
          <w:rFonts w:ascii="Helvetica" w:hAnsi="Helvetica"/>
          <w:b w:val="0"/>
          <w:i w:val="0"/>
          <w:color w:val="000000"/>
          <w:sz w:val="20"/>
        </w:rPr>
        <w:t>Ground-floor retail stores and showrooms;</w:t>
      </w:r>
    </w:p>
    <w:p>
      <w:pPr>
        <w:pStyle w:val="ListBullet"/>
        <w:spacing w:after="50" w:line="252" w:lineRule="auto"/>
      </w:pPr>
      <w:r>
        <w:rPr>
          <w:rFonts w:ascii="Helvetica" w:hAnsi="Helvetica"/>
          <w:b w:val="0"/>
          <w:i w:val="0"/>
          <w:color w:val="000000"/>
          <w:sz w:val="20"/>
        </w:rPr>
        <w:t>Office accommodation;</w:t>
      </w:r>
    </w:p>
    <w:p>
      <w:pPr>
        <w:pStyle w:val="ListBullet"/>
        <w:spacing w:after="50" w:line="252" w:lineRule="auto"/>
      </w:pPr>
      <w:r>
        <w:rPr>
          <w:rFonts w:ascii="Helvetica" w:hAnsi="Helvetica"/>
          <w:b w:val="0"/>
          <w:i w:val="0"/>
          <w:color w:val="000000"/>
          <w:sz w:val="20"/>
        </w:rPr>
        <w:t>Residential apartments; and</w:t>
      </w:r>
    </w:p>
    <w:p>
      <w:pPr>
        <w:pStyle w:val="ListBullet"/>
        <w:spacing w:after="50" w:line="252" w:lineRule="auto"/>
      </w:pPr>
      <w:r>
        <w:rPr>
          <w:rFonts w:ascii="Helvetica" w:hAnsi="Helvetica"/>
          <w:b w:val="0"/>
          <w:i w:val="0"/>
          <w:color w:val="000000"/>
          <w:sz w:val="20"/>
        </w:rPr>
        <w:t>Associated entrances, circulation cores, service spaces and external landscaped areas.</w:t>
      </w:r>
    </w:p>
    <w:p>
      <w:pPr>
        <w:pStyle w:val="Heading1"/>
        <w:keepNext/>
      </w:pPr>
      <w:r>
        <w:t>3. Preliminary Planning and Development Basis</w:t>
      </w:r>
    </w:p>
    <w:tbl>
      <w:tblPr>
        <w:tblW w:type="auto" w:w="0"/>
        <w:jc w:val="center"/>
        <w:tblLayout w:type="fixed"/>
        <w:tblLook w:firstColumn="1" w:firstRow="1" w:lastColumn="0" w:lastRow="0" w:noHBand="0" w:noVBand="1" w:val="04A0"/>
      </w:tblPr>
      <w:tblGrid>
        <w:gridCol w:w="7625"/>
        <w:gridCol w:w="7625"/>
      </w:tblGrid>
      <w:tr>
        <w:tc>
          <w:tcPr>
            <w:tcW w:type="dxa" w:w="7625"/>
            <w:tcMar>
              <w:top w:w="90" w:type="dxa"/>
              <w:start w:w="120" w:type="dxa"/>
              <w:bottom w:w="90" w:type="dxa"/>
              <w:end w:w="120" w:type="dxa"/>
            </w:tcMar>
            <w:shd w:fill="FFFFFF"/>
            <w:tcBorders>
              <w:bottom w:val="single" w:sz="4" w:color="D8DEE3"/>
            </w:tcBorders>
            <w:vAlign w:val="center"/>
          </w:tcPr>
          <w:p>
            <w:pPr>
              <w:spacing w:after="0"/>
            </w:pPr>
            <w:r>
              <w:rPr>
                <w:rFonts w:ascii="Helvetica" w:hAnsi="Helvetica"/>
                <w:b/>
                <w:i w:val="0"/>
                <w:color w:val="000000"/>
                <w:sz w:val="20"/>
              </w:rPr>
              <w:t>Larger plot</w:t>
            </w:r>
          </w:p>
        </w:tc>
        <w:tc>
          <w:tcPr>
            <w:tcW w:type="dxa" w:w="7625"/>
            <w:tcMar>
              <w:top w:w="90" w:type="dxa"/>
              <w:start w:w="120" w:type="dxa"/>
              <w:bottom w:w="90" w:type="dxa"/>
              <w:end w:w="120" w:type="dxa"/>
            </w:tcMar>
            <w:tcBorders>
              <w:bottom w:val="single" w:sz="4" w:color="D8DEE3"/>
            </w:tcBorders>
            <w:vAlign w:val="center"/>
          </w:tcPr>
          <w:p>
            <w:pPr>
              <w:spacing w:after="0"/>
            </w:pPr>
            <w:r>
              <w:rPr>
                <w:rFonts w:ascii="Helvetica" w:hAnsi="Helvetica"/>
                <w:b w:val="0"/>
                <w:i w:val="0"/>
                <w:color w:val="000000"/>
                <w:sz w:val="20"/>
              </w:rPr>
              <w:t>Approximately 2,277 m² - full architectural scope and permits</w:t>
            </w:r>
          </w:p>
        </w:tc>
      </w:tr>
      <w:tr>
        <w:tc>
          <w:tcPr>
            <w:tcW w:type="dxa" w:w="7625"/>
            <w:tcMar>
              <w:top w:w="90" w:type="dxa"/>
              <w:start w:w="120" w:type="dxa"/>
              <w:bottom w:w="90" w:type="dxa"/>
              <w:end w:w="120" w:type="dxa"/>
            </w:tcMar>
            <w:shd w:fill="FFFFFF"/>
            <w:tcBorders>
              <w:bottom w:val="single" w:sz="4" w:color="D8DEE3"/>
            </w:tcBorders>
            <w:vAlign w:val="center"/>
          </w:tcPr>
          <w:p>
            <w:pPr>
              <w:spacing w:after="0"/>
            </w:pPr>
            <w:r>
              <w:rPr>
                <w:rFonts w:ascii="Helvetica" w:hAnsi="Helvetica"/>
                <w:b/>
                <w:i w:val="0"/>
                <w:color w:val="000000"/>
                <w:sz w:val="20"/>
              </w:rPr>
              <w:t>Smaller plot</w:t>
            </w:r>
          </w:p>
        </w:tc>
        <w:tc>
          <w:tcPr>
            <w:tcW w:type="dxa" w:w="7625"/>
            <w:tcMar>
              <w:top w:w="90" w:type="dxa"/>
              <w:start w:w="120" w:type="dxa"/>
              <w:bottom w:w="90" w:type="dxa"/>
              <w:end w:w="120" w:type="dxa"/>
            </w:tcMar>
            <w:tcBorders>
              <w:bottom w:val="single" w:sz="4" w:color="D8DEE3"/>
            </w:tcBorders>
            <w:vAlign w:val="center"/>
          </w:tcPr>
          <w:p>
            <w:pPr>
              <w:spacing w:after="0"/>
            </w:pPr>
            <w:r>
              <w:rPr>
                <w:rFonts w:ascii="Helvetica" w:hAnsi="Helvetica"/>
                <w:b w:val="0"/>
                <w:i w:val="0"/>
                <w:color w:val="000000"/>
                <w:sz w:val="20"/>
              </w:rPr>
              <w:t>Approximately 1,313 m² - schematic land-sale concept only</w:t>
            </w:r>
          </w:p>
        </w:tc>
      </w:tr>
      <w:tr>
        <w:tc>
          <w:tcPr>
            <w:tcW w:type="dxa" w:w="7625"/>
            <w:tcMar>
              <w:top w:w="90" w:type="dxa"/>
              <w:start w:w="120" w:type="dxa"/>
              <w:bottom w:w="90" w:type="dxa"/>
              <w:end w:w="120" w:type="dxa"/>
            </w:tcMar>
            <w:shd w:fill="FFFFFF"/>
            <w:tcBorders>
              <w:bottom w:val="single" w:sz="4" w:color="D8DEE3"/>
            </w:tcBorders>
            <w:vAlign w:val="center"/>
          </w:tcPr>
          <w:p>
            <w:pPr>
              <w:spacing w:after="0"/>
            </w:pPr>
            <w:r>
              <w:rPr>
                <w:rFonts w:ascii="Helvetica" w:hAnsi="Helvetica"/>
                <w:b/>
                <w:i w:val="0"/>
                <w:color w:val="000000"/>
                <w:sz w:val="20"/>
              </w:rPr>
              <w:t>Combined indicative land area</w:t>
            </w:r>
          </w:p>
        </w:tc>
        <w:tc>
          <w:tcPr>
            <w:tcW w:type="dxa" w:w="7625"/>
            <w:tcMar>
              <w:top w:w="90" w:type="dxa"/>
              <w:start w:w="120" w:type="dxa"/>
              <w:bottom w:w="90" w:type="dxa"/>
              <w:end w:w="120" w:type="dxa"/>
            </w:tcMar>
            <w:tcBorders>
              <w:bottom w:val="single" w:sz="4" w:color="D8DEE3"/>
            </w:tcBorders>
            <w:vAlign w:val="center"/>
          </w:tcPr>
          <w:p>
            <w:pPr>
              <w:spacing w:after="0"/>
            </w:pPr>
            <w:r>
              <w:rPr>
                <w:rFonts w:ascii="Helvetica" w:hAnsi="Helvetica"/>
                <w:b w:val="0"/>
                <w:i w:val="0"/>
                <w:color w:val="000000"/>
                <w:sz w:val="20"/>
              </w:rPr>
              <w:t>Approximately 3,590 m²</w:t>
            </w:r>
          </w:p>
        </w:tc>
      </w:tr>
      <w:tr>
        <w:tc>
          <w:tcPr>
            <w:tcW w:type="dxa" w:w="7625"/>
            <w:tcMar>
              <w:top w:w="90" w:type="dxa"/>
              <w:start w:w="120" w:type="dxa"/>
              <w:bottom w:w="90" w:type="dxa"/>
              <w:end w:w="120" w:type="dxa"/>
            </w:tcMar>
            <w:shd w:fill="FFFFFF"/>
            <w:tcBorders>
              <w:bottom w:val="single" w:sz="4" w:color="D8DEE3"/>
            </w:tcBorders>
            <w:vAlign w:val="center"/>
          </w:tcPr>
          <w:p>
            <w:pPr>
              <w:spacing w:after="0"/>
            </w:pPr>
            <w:r>
              <w:rPr>
                <w:rFonts w:ascii="Helvetica" w:hAnsi="Helvetica"/>
                <w:b/>
                <w:i w:val="0"/>
                <w:color w:val="000000"/>
                <w:sz w:val="20"/>
              </w:rPr>
              <w:t>Total zoning coefficient</w:t>
            </w:r>
          </w:p>
        </w:tc>
        <w:tc>
          <w:tcPr>
            <w:tcW w:type="dxa" w:w="7625"/>
            <w:tcMar>
              <w:top w:w="90" w:type="dxa"/>
              <w:start w:w="120" w:type="dxa"/>
              <w:bottom w:w="90" w:type="dxa"/>
              <w:end w:w="120" w:type="dxa"/>
            </w:tcMar>
            <w:tcBorders>
              <w:bottom w:val="single" w:sz="4" w:color="D8DEE3"/>
            </w:tcBorders>
            <w:vAlign w:val="center"/>
          </w:tcPr>
          <w:p>
            <w:pPr>
              <w:spacing w:after="0"/>
            </w:pPr>
            <w:r>
              <w:rPr>
                <w:rFonts w:ascii="Helvetica" w:hAnsi="Helvetica"/>
                <w:b w:val="0"/>
                <w:i w:val="0"/>
                <w:color w:val="000000"/>
                <w:sz w:val="20"/>
              </w:rPr>
              <w:t>3.00</w:t>
            </w:r>
          </w:p>
        </w:tc>
      </w:tr>
      <w:tr>
        <w:tc>
          <w:tcPr>
            <w:tcW w:type="dxa" w:w="7625"/>
            <w:tcMar>
              <w:top w:w="90" w:type="dxa"/>
              <w:start w:w="120" w:type="dxa"/>
              <w:bottom w:w="90" w:type="dxa"/>
              <w:end w:w="120" w:type="dxa"/>
            </w:tcMar>
            <w:shd w:fill="FFFFFF"/>
            <w:tcBorders>
              <w:bottom w:val="single" w:sz="4" w:color="D8DEE3"/>
            </w:tcBorders>
            <w:vAlign w:val="center"/>
          </w:tcPr>
          <w:p>
            <w:pPr>
              <w:spacing w:after="0"/>
            </w:pPr>
            <w:r>
              <w:rPr>
                <w:rFonts w:ascii="Helvetica" w:hAnsi="Helvetica"/>
                <w:b/>
                <w:i w:val="0"/>
                <w:color w:val="000000"/>
                <w:sz w:val="20"/>
              </w:rPr>
              <w:t>Larger-plot zoning-counted floor area</w:t>
            </w:r>
          </w:p>
        </w:tc>
        <w:tc>
          <w:tcPr>
            <w:tcW w:type="dxa" w:w="7625"/>
            <w:tcMar>
              <w:top w:w="90" w:type="dxa"/>
              <w:start w:w="120" w:type="dxa"/>
              <w:bottom w:w="90" w:type="dxa"/>
              <w:end w:w="120" w:type="dxa"/>
            </w:tcMar>
            <w:tcBorders>
              <w:bottom w:val="single" w:sz="4" w:color="D8DEE3"/>
            </w:tcBorders>
            <w:vAlign w:val="center"/>
          </w:tcPr>
          <w:p>
            <w:pPr>
              <w:spacing w:after="0"/>
            </w:pPr>
            <w:r>
              <w:rPr>
                <w:rFonts w:ascii="Helvetica" w:hAnsi="Helvetica"/>
                <w:b w:val="0"/>
                <w:i w:val="0"/>
                <w:color w:val="000000"/>
                <w:sz w:val="20"/>
              </w:rPr>
              <w:t>Approximately 6,831 m²</w:t>
            </w:r>
          </w:p>
        </w:tc>
      </w:tr>
      <w:tr>
        <w:tc>
          <w:tcPr>
            <w:tcW w:type="dxa" w:w="7625"/>
            <w:tcMar>
              <w:top w:w="90" w:type="dxa"/>
              <w:start w:w="120" w:type="dxa"/>
              <w:bottom w:w="90" w:type="dxa"/>
              <w:end w:w="120" w:type="dxa"/>
            </w:tcMar>
            <w:shd w:fill="FFFFFF"/>
            <w:tcBorders>
              <w:bottom w:val="single" w:sz="4" w:color="D8DEE3"/>
            </w:tcBorders>
            <w:vAlign w:val="center"/>
          </w:tcPr>
          <w:p>
            <w:pPr>
              <w:spacing w:after="0"/>
            </w:pPr>
            <w:r>
              <w:rPr>
                <w:rFonts w:ascii="Helvetica" w:hAnsi="Helvetica"/>
                <w:b/>
                <w:i w:val="0"/>
                <w:color w:val="000000"/>
                <w:sz w:val="20"/>
              </w:rPr>
              <w:t>Smaller-plot zoning potential</w:t>
            </w:r>
          </w:p>
        </w:tc>
        <w:tc>
          <w:tcPr>
            <w:tcW w:type="dxa" w:w="7625"/>
            <w:tcMar>
              <w:top w:w="90" w:type="dxa"/>
              <w:start w:w="120" w:type="dxa"/>
              <w:bottom w:w="90" w:type="dxa"/>
              <w:end w:w="120" w:type="dxa"/>
            </w:tcMar>
            <w:tcBorders>
              <w:bottom w:val="single" w:sz="4" w:color="D8DEE3"/>
            </w:tcBorders>
            <w:vAlign w:val="center"/>
          </w:tcPr>
          <w:p>
            <w:pPr>
              <w:spacing w:after="0"/>
            </w:pPr>
            <w:r>
              <w:rPr>
                <w:rFonts w:ascii="Helvetica" w:hAnsi="Helvetica"/>
                <w:b w:val="0"/>
                <w:i w:val="0"/>
                <w:color w:val="000000"/>
                <w:sz w:val="20"/>
              </w:rPr>
              <w:t>Approximately 3,939 m², indicative only</w:t>
            </w:r>
          </w:p>
        </w:tc>
      </w:tr>
      <w:tr>
        <w:tc>
          <w:tcPr>
            <w:tcW w:type="dxa" w:w="7625"/>
            <w:tcMar>
              <w:top w:w="90" w:type="dxa"/>
              <w:start w:w="120" w:type="dxa"/>
              <w:bottom w:w="90" w:type="dxa"/>
              <w:end w:w="120" w:type="dxa"/>
            </w:tcMar>
            <w:shd w:fill="FFFFFF"/>
            <w:tcBorders>
              <w:bottom w:val="single" w:sz="4" w:color="D8DEE3"/>
            </w:tcBorders>
            <w:vAlign w:val="center"/>
          </w:tcPr>
          <w:p>
            <w:pPr>
              <w:spacing w:after="0"/>
            </w:pPr>
            <w:r>
              <w:rPr>
                <w:rFonts w:ascii="Helvetica" w:hAnsi="Helvetica"/>
                <w:b/>
                <w:i w:val="0"/>
                <w:color w:val="000000"/>
                <w:sz w:val="20"/>
              </w:rPr>
              <w:t>Maximum ground coverage</w:t>
            </w:r>
          </w:p>
        </w:tc>
        <w:tc>
          <w:tcPr>
            <w:tcW w:type="dxa" w:w="7625"/>
            <w:tcMar>
              <w:top w:w="90" w:type="dxa"/>
              <w:start w:w="120" w:type="dxa"/>
              <w:bottom w:w="90" w:type="dxa"/>
              <w:end w:w="120" w:type="dxa"/>
            </w:tcMar>
            <w:tcBorders>
              <w:bottom w:val="single" w:sz="4" w:color="D8DEE3"/>
            </w:tcBorders>
            <w:vAlign w:val="center"/>
          </w:tcPr>
          <w:p>
            <w:pPr>
              <w:spacing w:after="0"/>
            </w:pPr>
            <w:r>
              <w:rPr>
                <w:rFonts w:ascii="Helvetica" w:hAnsi="Helvetica"/>
                <w:b w:val="0"/>
                <w:i w:val="0"/>
                <w:color w:val="000000"/>
                <w:sz w:val="20"/>
              </w:rPr>
              <w:t>60% of the plot</w:t>
            </w:r>
          </w:p>
        </w:tc>
      </w:tr>
      <w:tr>
        <w:tc>
          <w:tcPr>
            <w:tcW w:type="dxa" w:w="7625"/>
            <w:tcMar>
              <w:top w:w="90" w:type="dxa"/>
              <w:start w:w="120" w:type="dxa"/>
              <w:bottom w:w="90" w:type="dxa"/>
              <w:end w:w="120" w:type="dxa"/>
            </w:tcMar>
            <w:shd w:fill="FFFFFF"/>
            <w:tcBorders>
              <w:bottom w:val="single" w:sz="4" w:color="D8DEE3"/>
            </w:tcBorders>
            <w:vAlign w:val="center"/>
          </w:tcPr>
          <w:p>
            <w:pPr>
              <w:spacing w:after="0"/>
            </w:pPr>
            <w:r>
              <w:rPr>
                <w:rFonts w:ascii="Helvetica" w:hAnsi="Helvetica"/>
                <w:b/>
                <w:i w:val="0"/>
                <w:color w:val="000000"/>
                <w:sz w:val="20"/>
              </w:rPr>
              <w:t>Maximum height</w:t>
            </w:r>
          </w:p>
        </w:tc>
        <w:tc>
          <w:tcPr>
            <w:tcW w:type="dxa" w:w="7625"/>
            <w:tcMar>
              <w:top w:w="90" w:type="dxa"/>
              <w:start w:w="120" w:type="dxa"/>
              <w:bottom w:w="90" w:type="dxa"/>
              <w:end w:w="120" w:type="dxa"/>
            </w:tcMar>
            <w:tcBorders>
              <w:bottom w:val="single" w:sz="4" w:color="D8DEE3"/>
            </w:tcBorders>
            <w:vAlign w:val="center"/>
          </w:tcPr>
          <w:p>
            <w:pPr>
              <w:spacing w:after="0"/>
            </w:pPr>
            <w:r>
              <w:rPr>
                <w:rFonts w:ascii="Helvetica" w:hAnsi="Helvetica"/>
                <w:b w:val="0"/>
                <w:i w:val="0"/>
                <w:color w:val="000000"/>
                <w:sz w:val="20"/>
              </w:rPr>
              <w:t>42 m + 1 m technical allowance = 43 m</w:t>
            </w:r>
          </w:p>
        </w:tc>
      </w:tr>
      <w:tr>
        <w:tc>
          <w:tcPr>
            <w:tcW w:type="dxa" w:w="7625"/>
            <w:tcMar>
              <w:top w:w="90" w:type="dxa"/>
              <w:start w:w="120" w:type="dxa"/>
              <w:bottom w:w="90" w:type="dxa"/>
              <w:end w:w="120" w:type="dxa"/>
            </w:tcMar>
            <w:shd w:fill="FFFFFF"/>
            <w:tcBorders>
              <w:bottom w:val="single" w:sz="4" w:color="D8DEE3"/>
            </w:tcBorders>
            <w:vAlign w:val="center"/>
          </w:tcPr>
          <w:p>
            <w:pPr>
              <w:spacing w:after="0"/>
            </w:pPr>
            <w:r>
              <w:rPr>
                <w:rFonts w:ascii="Helvetica" w:hAnsi="Helvetica"/>
                <w:b/>
                <w:i w:val="0"/>
                <w:color w:val="000000"/>
                <w:sz w:val="20"/>
              </w:rPr>
              <w:t>Entrance allowance</w:t>
            </w:r>
          </w:p>
        </w:tc>
        <w:tc>
          <w:tcPr>
            <w:tcW w:type="dxa" w:w="7625"/>
            <w:tcMar>
              <w:top w:w="90" w:type="dxa"/>
              <w:start w:w="120" w:type="dxa"/>
              <w:bottom w:w="90" w:type="dxa"/>
              <w:end w:w="120" w:type="dxa"/>
            </w:tcMar>
            <w:tcBorders>
              <w:bottom w:val="single" w:sz="4" w:color="D8DEE3"/>
            </w:tcBorders>
            <w:vAlign w:val="center"/>
          </w:tcPr>
          <w:p>
            <w:pPr>
              <w:spacing w:after="0"/>
            </w:pPr>
            <w:r>
              <w:rPr>
                <w:rFonts w:ascii="Helvetica" w:hAnsi="Helvetica"/>
                <w:b w:val="0"/>
                <w:i w:val="0"/>
                <w:color w:val="000000"/>
                <w:sz w:val="20"/>
              </w:rPr>
              <w:t>Approximately 35 m² per entrance, subject to final planning</w:t>
            </w:r>
          </w:p>
        </w:tc>
      </w:tr>
    </w:tbl>
    <w:p>
      <w:pPr>
        <w:spacing w:after="0"/>
      </w:pPr>
    </w:p>
    <w:p>
      <w:pPr>
        <w:pStyle w:val="Heading2"/>
        <w:keepNext/>
      </w:pPr>
      <w:r>
        <w:t>Preliminary Area Calculation</w:t>
      </w:r>
    </w:p>
    <w:tbl>
      <w:tblPr>
        <w:tblW w:type="auto" w:w="0"/>
        <w:jc w:val="center"/>
        <w:tblLayout w:type="fixed"/>
        <w:tblLook w:firstColumn="1" w:firstRow="1" w:lastColumn="0" w:lastRow="0" w:noHBand="0" w:noVBand="1" w:val="04A0"/>
      </w:tblPr>
      <w:tblGrid>
        <w:gridCol w:w="5083"/>
        <w:gridCol w:w="5083"/>
        <w:gridCol w:w="5083"/>
      </w:tblGrid>
      <w:tr>
        <w:trPr>
          <w:tblHeader w:val="true"/>
        </w:trPr>
        <w:tc>
          <w:tcPr>
            <w:tcW w:type="dxa" w:w="5760"/>
            <w:shd w:fill="000000"/>
            <w:tcMar>
              <w:top w:w="90" w:type="dxa"/>
              <w:start w:w="120" w:type="dxa"/>
              <w:bottom w:w="90" w:type="dxa"/>
              <w:end w:w="120" w:type="dxa"/>
            </w:tcMar>
          </w:tcPr>
          <w:p>
            <w:pPr>
              <w:spacing w:after="0"/>
            </w:pPr>
            <w:r>
              <w:rPr>
                <w:rFonts w:ascii="Helvetica" w:hAnsi="Helvetica"/>
                <w:b/>
                <w:i w:val="0"/>
                <w:color w:val="FFFFFF"/>
                <w:sz w:val="16"/>
              </w:rPr>
              <w:t>Item</w:t>
            </w:r>
          </w:p>
        </w:tc>
        <w:tc>
          <w:tcPr>
            <w:tcW w:type="dxa" w:w="5760"/>
            <w:shd w:fill="000000"/>
            <w:tcMar>
              <w:top w:w="90" w:type="dxa"/>
              <w:start w:w="120" w:type="dxa"/>
              <w:bottom w:w="90" w:type="dxa"/>
              <w:end w:w="120" w:type="dxa"/>
            </w:tcMar>
          </w:tcPr>
          <w:p>
            <w:pPr>
              <w:spacing w:after="0"/>
            </w:pPr>
            <w:r>
              <w:rPr>
                <w:rFonts w:ascii="Helvetica" w:hAnsi="Helvetica"/>
                <w:b/>
                <w:i w:val="0"/>
                <w:color w:val="FFFFFF"/>
                <w:sz w:val="16"/>
              </w:rPr>
              <w:t>Calculation</w:t>
            </w:r>
          </w:p>
        </w:tc>
        <w:tc>
          <w:tcPr>
            <w:tcW w:type="dxa" w:w="3744"/>
            <w:shd w:fill="000000"/>
            <w:tcMar>
              <w:top w:w="90" w:type="dxa"/>
              <w:start w:w="120" w:type="dxa"/>
              <w:bottom w:w="90" w:type="dxa"/>
              <w:end w:w="120" w:type="dxa"/>
            </w:tcMar>
          </w:tcPr>
          <w:p>
            <w:pPr>
              <w:spacing w:after="0"/>
            </w:pPr>
            <w:r>
              <w:rPr>
                <w:rFonts w:ascii="Helvetica" w:hAnsi="Helvetica"/>
                <w:b/>
                <w:i w:val="0"/>
                <w:color w:val="FFFFFF"/>
                <w:sz w:val="16"/>
              </w:rPr>
              <w:t>Indicative result</w:t>
            </w:r>
          </w:p>
        </w:tc>
      </w:tr>
      <w:tr>
        <w:tc>
          <w:tcPr>
            <w:tcW w:type="dxa" w:w="5083"/>
            <w:tcMar>
              <w:top w:w="90" w:type="dxa"/>
              <w:start w:w="120" w:type="dxa"/>
              <w:bottom w:w="90" w:type="dxa"/>
              <w:end w:w="120" w:type="dxa"/>
            </w:tcMar>
            <w:tcBorders>
              <w:bottom w:val="single" w:sz="4" w:color="D8DEE3"/>
            </w:tcBorders>
          </w:tcPr>
          <w:p>
            <w:pPr>
              <w:spacing w:after="0"/>
            </w:pPr>
            <w:r>
              <w:rPr>
                <w:rFonts w:ascii="Helvetica" w:hAnsi="Helvetica"/>
                <w:b w:val="0"/>
                <w:i w:val="0"/>
                <w:color w:val="000000"/>
                <w:sz w:val="16"/>
              </w:rPr>
              <w:t>Larger plot FAR allowance</w:t>
            </w:r>
          </w:p>
        </w:tc>
        <w:tc>
          <w:tcPr>
            <w:tcW w:type="dxa" w:w="5083"/>
            <w:tcMar>
              <w:top w:w="90" w:type="dxa"/>
              <w:start w:w="120" w:type="dxa"/>
              <w:bottom w:w="90" w:type="dxa"/>
              <w:end w:w="120" w:type="dxa"/>
            </w:tcMar>
            <w:tcBorders>
              <w:bottom w:val="single" w:sz="4" w:color="D8DEE3"/>
            </w:tcBorders>
          </w:tcPr>
          <w:p>
            <w:pPr>
              <w:spacing w:after="0"/>
            </w:pPr>
            <w:r>
              <w:rPr>
                <w:rFonts w:ascii="Helvetica" w:hAnsi="Helvetica"/>
                <w:b w:val="0"/>
                <w:i w:val="0"/>
                <w:color w:val="000000"/>
                <w:sz w:val="16"/>
              </w:rPr>
              <w:t>2,277 m² × 3.00</w:t>
            </w:r>
          </w:p>
        </w:tc>
        <w:tc>
          <w:tcPr>
            <w:tcW w:type="dxa" w:w="5083"/>
            <w:tcMar>
              <w:top w:w="90" w:type="dxa"/>
              <w:start w:w="120" w:type="dxa"/>
              <w:bottom w:w="90" w:type="dxa"/>
              <w:end w:w="120" w:type="dxa"/>
            </w:tcMar>
            <w:tcBorders>
              <w:bottom w:val="single" w:sz="4" w:color="D8DEE3"/>
            </w:tcBorders>
          </w:tcPr>
          <w:p>
            <w:pPr>
              <w:spacing w:after="0"/>
            </w:pPr>
            <w:r>
              <w:rPr>
                <w:rFonts w:ascii="Helvetica" w:hAnsi="Helvetica"/>
                <w:b/>
                <w:i w:val="0"/>
                <w:color w:val="000000"/>
                <w:sz w:val="16"/>
              </w:rPr>
              <w:t>6,831.00 m²</w:t>
            </w:r>
          </w:p>
        </w:tc>
      </w:tr>
      <w:tr>
        <w:tc>
          <w:tcPr>
            <w:tcW w:type="dxa" w:w="5083"/>
            <w:tcMar>
              <w:top w:w="90" w:type="dxa"/>
              <w:start w:w="120" w:type="dxa"/>
              <w:bottom w:w="90" w:type="dxa"/>
              <w:end w:w="120" w:type="dxa"/>
            </w:tcMar>
            <w:tcBorders>
              <w:bottom w:val="single" w:sz="4" w:color="D8DEE3"/>
            </w:tcBorders>
          </w:tcPr>
          <w:p>
            <w:pPr>
              <w:spacing w:after="0"/>
            </w:pPr>
            <w:r>
              <w:rPr>
                <w:rFonts w:ascii="Helvetica" w:hAnsi="Helvetica"/>
                <w:b w:val="0"/>
                <w:i w:val="0"/>
                <w:color w:val="000000"/>
                <w:sz w:val="16"/>
              </w:rPr>
              <w:t>Larger plot ground coverage</w:t>
            </w:r>
          </w:p>
        </w:tc>
        <w:tc>
          <w:tcPr>
            <w:tcW w:type="dxa" w:w="5083"/>
            <w:tcMar>
              <w:top w:w="90" w:type="dxa"/>
              <w:start w:w="120" w:type="dxa"/>
              <w:bottom w:w="90" w:type="dxa"/>
              <w:end w:w="120" w:type="dxa"/>
            </w:tcMar>
            <w:tcBorders>
              <w:bottom w:val="single" w:sz="4" w:color="D8DEE3"/>
            </w:tcBorders>
          </w:tcPr>
          <w:p>
            <w:pPr>
              <w:spacing w:after="0"/>
            </w:pPr>
            <w:r>
              <w:rPr>
                <w:rFonts w:ascii="Helvetica" w:hAnsi="Helvetica"/>
                <w:b w:val="0"/>
                <w:i w:val="0"/>
                <w:color w:val="000000"/>
                <w:sz w:val="16"/>
              </w:rPr>
              <w:t>2,277 m² × 60%</w:t>
            </w:r>
          </w:p>
        </w:tc>
        <w:tc>
          <w:tcPr>
            <w:tcW w:type="dxa" w:w="5083"/>
            <w:tcMar>
              <w:top w:w="90" w:type="dxa"/>
              <w:start w:w="120" w:type="dxa"/>
              <w:bottom w:w="90" w:type="dxa"/>
              <w:end w:w="120" w:type="dxa"/>
            </w:tcMar>
            <w:tcBorders>
              <w:bottom w:val="single" w:sz="4" w:color="D8DEE3"/>
            </w:tcBorders>
          </w:tcPr>
          <w:p>
            <w:pPr>
              <w:spacing w:after="0"/>
            </w:pPr>
            <w:r>
              <w:rPr>
                <w:rFonts w:ascii="Helvetica" w:hAnsi="Helvetica"/>
                <w:b/>
                <w:i w:val="0"/>
                <w:color w:val="000000"/>
                <w:sz w:val="16"/>
              </w:rPr>
              <w:t>1,366.20 m²</w:t>
            </w:r>
          </w:p>
        </w:tc>
      </w:tr>
      <w:tr>
        <w:tc>
          <w:tcPr>
            <w:tcW w:type="dxa" w:w="5083"/>
            <w:tcMar>
              <w:top w:w="90" w:type="dxa"/>
              <w:start w:w="120" w:type="dxa"/>
              <w:bottom w:w="90" w:type="dxa"/>
              <w:end w:w="120" w:type="dxa"/>
            </w:tcMar>
            <w:tcBorders>
              <w:bottom w:val="single" w:sz="4" w:color="D8DEE3"/>
            </w:tcBorders>
          </w:tcPr>
          <w:p>
            <w:pPr>
              <w:spacing w:after="0"/>
            </w:pPr>
            <w:r>
              <w:rPr>
                <w:rFonts w:ascii="Helvetica" w:hAnsi="Helvetica"/>
                <w:b w:val="0"/>
                <w:i w:val="0"/>
                <w:color w:val="000000"/>
                <w:sz w:val="16"/>
              </w:rPr>
              <w:t>Larger plot upper-floor balance</w:t>
            </w:r>
          </w:p>
        </w:tc>
        <w:tc>
          <w:tcPr>
            <w:tcW w:type="dxa" w:w="5083"/>
            <w:tcMar>
              <w:top w:w="90" w:type="dxa"/>
              <w:start w:w="120" w:type="dxa"/>
              <w:bottom w:w="90" w:type="dxa"/>
              <w:end w:w="120" w:type="dxa"/>
            </w:tcMar>
            <w:tcBorders>
              <w:bottom w:val="single" w:sz="4" w:color="D8DEE3"/>
            </w:tcBorders>
          </w:tcPr>
          <w:p>
            <w:pPr>
              <w:spacing w:after="0"/>
            </w:pPr>
            <w:r>
              <w:rPr>
                <w:rFonts w:ascii="Helvetica" w:hAnsi="Helvetica"/>
                <w:b w:val="0"/>
                <w:i w:val="0"/>
                <w:color w:val="000000"/>
                <w:sz w:val="16"/>
              </w:rPr>
              <w:t>6,831 − 1,366.20</w:t>
            </w:r>
          </w:p>
        </w:tc>
        <w:tc>
          <w:tcPr>
            <w:tcW w:type="dxa" w:w="5083"/>
            <w:tcMar>
              <w:top w:w="90" w:type="dxa"/>
              <w:start w:w="120" w:type="dxa"/>
              <w:bottom w:w="90" w:type="dxa"/>
              <w:end w:w="120" w:type="dxa"/>
            </w:tcMar>
            <w:tcBorders>
              <w:bottom w:val="single" w:sz="4" w:color="D8DEE3"/>
            </w:tcBorders>
          </w:tcPr>
          <w:p>
            <w:pPr>
              <w:spacing w:after="0"/>
            </w:pPr>
            <w:r>
              <w:rPr>
                <w:rFonts w:ascii="Helvetica" w:hAnsi="Helvetica"/>
                <w:b/>
                <w:i w:val="0"/>
                <w:color w:val="000000"/>
                <w:sz w:val="16"/>
              </w:rPr>
              <w:t>5,464.80 m²</w:t>
            </w:r>
          </w:p>
        </w:tc>
      </w:tr>
      <w:tr>
        <w:tc>
          <w:tcPr>
            <w:tcW w:type="dxa" w:w="5083"/>
            <w:tcMar>
              <w:top w:w="90" w:type="dxa"/>
              <w:start w:w="120" w:type="dxa"/>
              <w:bottom w:w="90" w:type="dxa"/>
              <w:end w:w="120" w:type="dxa"/>
            </w:tcMar>
            <w:tcBorders>
              <w:bottom w:val="single" w:sz="4" w:color="D8DEE3"/>
            </w:tcBorders>
          </w:tcPr>
          <w:p>
            <w:pPr>
              <w:spacing w:after="0"/>
            </w:pPr>
            <w:r>
              <w:rPr>
                <w:rFonts w:ascii="Helvetica" w:hAnsi="Helvetica"/>
                <w:b w:val="0"/>
                <w:i w:val="0"/>
                <w:color w:val="000000"/>
                <w:sz w:val="16"/>
              </w:rPr>
              <w:t>Indicative balconies + walls</w:t>
            </w:r>
          </w:p>
        </w:tc>
        <w:tc>
          <w:tcPr>
            <w:tcW w:type="dxa" w:w="5083"/>
            <w:tcMar>
              <w:top w:w="90" w:type="dxa"/>
              <w:start w:w="120" w:type="dxa"/>
              <w:bottom w:w="90" w:type="dxa"/>
              <w:end w:w="120" w:type="dxa"/>
            </w:tcMar>
            <w:tcBorders>
              <w:bottom w:val="single" w:sz="4" w:color="D8DEE3"/>
            </w:tcBorders>
          </w:tcPr>
          <w:p>
            <w:pPr>
              <w:spacing w:after="0"/>
            </w:pPr>
            <w:r>
              <w:rPr>
                <w:rFonts w:ascii="Helvetica" w:hAnsi="Helvetica"/>
                <w:b w:val="0"/>
                <w:i w:val="0"/>
                <w:color w:val="000000"/>
                <w:sz w:val="16"/>
              </w:rPr>
              <w:t>5,464.80 × (20% + 15%)</w:t>
            </w:r>
          </w:p>
        </w:tc>
        <w:tc>
          <w:tcPr>
            <w:tcW w:type="dxa" w:w="5083"/>
            <w:tcMar>
              <w:top w:w="90" w:type="dxa"/>
              <w:start w:w="120" w:type="dxa"/>
              <w:bottom w:w="90" w:type="dxa"/>
              <w:end w:w="120" w:type="dxa"/>
            </w:tcMar>
            <w:tcBorders>
              <w:bottom w:val="single" w:sz="4" w:color="D8DEE3"/>
            </w:tcBorders>
          </w:tcPr>
          <w:p>
            <w:pPr>
              <w:spacing w:after="0"/>
            </w:pPr>
            <w:r>
              <w:rPr>
                <w:rFonts w:ascii="Helvetica" w:hAnsi="Helvetica"/>
                <w:b/>
                <w:i w:val="0"/>
                <w:color w:val="000000"/>
                <w:sz w:val="16"/>
              </w:rPr>
              <w:t>1,912.68 m²</w:t>
            </w:r>
          </w:p>
        </w:tc>
      </w:tr>
      <w:tr>
        <w:tc>
          <w:tcPr>
            <w:tcW w:type="dxa" w:w="5083"/>
            <w:tcMar>
              <w:top w:w="90" w:type="dxa"/>
              <w:start w:w="120" w:type="dxa"/>
              <w:bottom w:w="90" w:type="dxa"/>
              <w:end w:w="120" w:type="dxa"/>
            </w:tcMar>
            <w:tcBorders>
              <w:bottom w:val="single" w:sz="4" w:color="D8DEE3"/>
            </w:tcBorders>
          </w:tcPr>
          <w:p>
            <w:pPr>
              <w:spacing w:after="0"/>
            </w:pPr>
            <w:r>
              <w:rPr>
                <w:rFonts w:ascii="Helvetica" w:hAnsi="Helvetica"/>
                <w:b w:val="0"/>
                <w:i w:val="0"/>
                <w:color w:val="000000"/>
                <w:sz w:val="16"/>
              </w:rPr>
              <w:t>Indicative larger-plot total</w:t>
            </w:r>
          </w:p>
        </w:tc>
        <w:tc>
          <w:tcPr>
            <w:tcW w:type="dxa" w:w="5083"/>
            <w:tcMar>
              <w:top w:w="90" w:type="dxa"/>
              <w:start w:w="120" w:type="dxa"/>
              <w:bottom w:w="90" w:type="dxa"/>
              <w:end w:w="120" w:type="dxa"/>
            </w:tcMar>
            <w:tcBorders>
              <w:bottom w:val="single" w:sz="4" w:color="D8DEE3"/>
            </w:tcBorders>
          </w:tcPr>
          <w:p>
            <w:pPr>
              <w:spacing w:after="0"/>
            </w:pPr>
            <w:r>
              <w:rPr>
                <w:rFonts w:ascii="Helvetica" w:hAnsi="Helvetica"/>
                <w:b w:val="0"/>
                <w:i w:val="0"/>
                <w:color w:val="000000"/>
                <w:sz w:val="16"/>
              </w:rPr>
              <w:t>1,366.20 + 5,464.80 + 1,912.68</w:t>
            </w:r>
          </w:p>
        </w:tc>
        <w:tc>
          <w:tcPr>
            <w:tcW w:type="dxa" w:w="5083"/>
            <w:tcMar>
              <w:top w:w="90" w:type="dxa"/>
              <w:start w:w="120" w:type="dxa"/>
              <w:bottom w:w="90" w:type="dxa"/>
              <w:end w:w="120" w:type="dxa"/>
            </w:tcMar>
            <w:tcBorders>
              <w:bottom w:val="single" w:sz="4" w:color="D8DEE3"/>
            </w:tcBorders>
          </w:tcPr>
          <w:p>
            <w:pPr>
              <w:spacing w:after="0"/>
            </w:pPr>
            <w:r>
              <w:rPr>
                <w:rFonts w:ascii="Helvetica" w:hAnsi="Helvetica"/>
                <w:b/>
                <w:i w:val="0"/>
                <w:color w:val="000000"/>
                <w:sz w:val="16"/>
              </w:rPr>
              <w:t>8,743.68 m²</w:t>
            </w:r>
          </w:p>
        </w:tc>
      </w:tr>
      <w:tr>
        <w:tc>
          <w:tcPr>
            <w:tcW w:type="dxa" w:w="5083"/>
            <w:tcMar>
              <w:top w:w="90" w:type="dxa"/>
              <w:start w:w="120" w:type="dxa"/>
              <w:bottom w:w="90" w:type="dxa"/>
              <w:end w:w="120" w:type="dxa"/>
            </w:tcMar>
            <w:tcBorders>
              <w:bottom w:val="single" w:sz="4" w:color="D8DEE3"/>
            </w:tcBorders>
          </w:tcPr>
          <w:p>
            <w:pPr>
              <w:spacing w:after="0"/>
            </w:pPr>
            <w:r>
              <w:rPr>
                <w:rFonts w:ascii="Helvetica" w:hAnsi="Helvetica"/>
                <w:b w:val="0"/>
                <w:i w:val="0"/>
                <w:color w:val="000000"/>
                <w:sz w:val="16"/>
              </w:rPr>
              <w:t>Smaller plot FAR potential</w:t>
            </w:r>
          </w:p>
        </w:tc>
        <w:tc>
          <w:tcPr>
            <w:tcW w:type="dxa" w:w="5083"/>
            <w:tcMar>
              <w:top w:w="90" w:type="dxa"/>
              <w:start w:w="120" w:type="dxa"/>
              <w:bottom w:w="90" w:type="dxa"/>
              <w:end w:w="120" w:type="dxa"/>
            </w:tcMar>
            <w:tcBorders>
              <w:bottom w:val="single" w:sz="4" w:color="D8DEE3"/>
            </w:tcBorders>
          </w:tcPr>
          <w:p>
            <w:pPr>
              <w:spacing w:after="0"/>
            </w:pPr>
            <w:r>
              <w:rPr>
                <w:rFonts w:ascii="Helvetica" w:hAnsi="Helvetica"/>
                <w:b w:val="0"/>
                <w:i w:val="0"/>
                <w:color w:val="000000"/>
                <w:sz w:val="16"/>
              </w:rPr>
              <w:t>1,313 m² × 3.00</w:t>
            </w:r>
          </w:p>
        </w:tc>
        <w:tc>
          <w:tcPr>
            <w:tcW w:type="dxa" w:w="5083"/>
            <w:tcMar>
              <w:top w:w="90" w:type="dxa"/>
              <w:start w:w="120" w:type="dxa"/>
              <w:bottom w:w="90" w:type="dxa"/>
              <w:end w:w="120" w:type="dxa"/>
            </w:tcMar>
            <w:tcBorders>
              <w:bottom w:val="single" w:sz="4" w:color="D8DEE3"/>
            </w:tcBorders>
          </w:tcPr>
          <w:p>
            <w:pPr>
              <w:spacing w:after="0"/>
            </w:pPr>
            <w:r>
              <w:rPr>
                <w:rFonts w:ascii="Helvetica" w:hAnsi="Helvetica"/>
                <w:b/>
                <w:i w:val="0"/>
                <w:color w:val="000000"/>
                <w:sz w:val="16"/>
              </w:rPr>
              <w:t>3,939.00 m²</w:t>
            </w:r>
          </w:p>
        </w:tc>
      </w:tr>
    </w:tbl>
    <w:p>
      <w:pPr>
        <w:spacing w:after="0" w:line="259" w:lineRule="auto"/>
      </w:pPr>
      <w:r>
        <w:rPr>
          <w:rFonts w:ascii="Helvetica" w:hAnsi="Helvetica"/>
          <w:b w:val="0"/>
          <w:i/>
          <w:color w:val="000000"/>
          <w:sz w:val="20"/>
        </w:rPr>
        <w:t>The detailed calculation is provided for the larger plot, which is subject to the full design and permit scope. The smaller-plot figure is an indicative schematic potential for land-sale positioning only. The treatment of balconies, walls, basements, exemptions and all areas must be confirmed with the competent authorities.</w:t>
      </w:r>
    </w:p>
    <w:p>
      <w:r>
        <w:br w:type="page"/>
      </w:r>
    </w:p>
    <w:p>
      <w:pPr>
        <w:pStyle w:val="Heading1"/>
        <w:keepNext/>
      </w:pPr>
      <w:r>
        <w:t>4. Scope of Architectural Services</w:t>
      </w:r>
    </w:p>
    <w:p>
      <w:pPr>
        <w:spacing w:after="100" w:line="259" w:lineRule="auto"/>
      </w:pPr>
      <w:r>
        <w:rPr>
          <w:rFonts w:ascii="Helvetica" w:hAnsi="Helvetica"/>
          <w:b w:val="0"/>
          <w:i w:val="0"/>
          <w:color w:val="000000"/>
          <w:sz w:val="20"/>
        </w:rPr>
        <w:t>The Architect will develop the project through the following five phases. Percentages represent instalments of the agreed total professional fee, not percentages of physical completion or construction cost.</w:t>
      </w:r>
    </w:p>
    <w:p>
      <w:pPr>
        <w:spacing w:after="100" w:line="259" w:lineRule="auto"/>
      </w:pPr>
      <w:r>
        <w:rPr>
          <w:rFonts w:ascii="Helvetica" w:hAnsi="Helvetica"/>
          <w:b w:val="0"/>
          <w:i/>
          <w:color w:val="000000"/>
          <w:sz w:val="20"/>
        </w:rPr>
        <w:t>Scope allocation: all five phases apply to the larger plot. For the smaller plot, the included service is limited to the coordinated schematic concept and supporting sales-oriented presentation material described under Phase 1. Later permit, execution, interior, authority or construction-stage services for the smaller plot are excluded unless separately agreed in writing.</w:t>
      </w:r>
    </w:p>
    <w:tbl>
      <w:tblPr>
        <w:tblW w:type="auto" w:w="0"/>
        <w:jc w:val="center"/>
        <w:tblLayout w:type="fixed"/>
        <w:tblLook w:firstColumn="1" w:firstRow="1" w:lastColumn="0" w:lastRow="0" w:noHBand="0" w:noVBand="1" w:val="04A0"/>
      </w:tblPr>
      <w:tblGrid>
        <w:gridCol w:w="7625"/>
        <w:gridCol w:w="7625"/>
      </w:tblGrid>
      <w:tr>
        <w:tc>
          <w:tcPr>
            <w:tcW w:type="dxa" w:w="1800"/>
            <w:shd w:fill="000000"/>
            <w:tcMar>
              <w:top w:w="110" w:type="dxa"/>
              <w:start w:w="120" w:type="dxa"/>
              <w:bottom w:w="110" w:type="dxa"/>
              <w:end w:w="120" w:type="dxa"/>
            </w:tcMar>
            <w:tcBorders>
              <w:top w:val="single" w:sz="4" w:color="D9E0E5"/>
              <w:left w:val="single" w:sz="4" w:color="D9E0E5"/>
              <w:bottom w:val="single" w:sz="4" w:color="D9E0E5"/>
              <w:right w:val="single" w:sz="4" w:color="D9E0E5"/>
            </w:tcBorders>
          </w:tcPr>
          <w:p>
            <w:pPr>
              <w:spacing w:after="0"/>
              <w:jc w:val="center"/>
            </w:pPr>
            <w:r>
              <w:rPr>
                <w:rFonts w:ascii="Helvetica" w:hAnsi="Helvetica"/>
                <w:b/>
                <w:i w:val="0"/>
                <w:color w:val="FFFFFF"/>
                <w:sz w:val="26"/>
              </w:rPr>
              <w:t>25%</w:t>
            </w:r>
          </w:p>
        </w:tc>
        <w:tc>
          <w:tcPr>
            <w:tcW w:type="dxa" w:w="13464"/>
            <w:shd w:fill="FFFFFF"/>
            <w:tcMar>
              <w:top w:w="110" w:type="dxa"/>
              <w:start w:w="120" w:type="dxa"/>
              <w:bottom w:w="110" w:type="dxa"/>
              <w:end w:w="120" w:type="dxa"/>
            </w:tcMar>
            <w:tcBorders>
              <w:top w:val="single" w:sz="4" w:color="D9E0E5"/>
              <w:left w:val="single" w:sz="4" w:color="D9E0E5"/>
              <w:bottom w:val="single" w:sz="4" w:color="D9E0E5"/>
              <w:right w:val="single" w:sz="4" w:color="D9E0E5"/>
            </w:tcBorders>
          </w:tcPr>
          <w:p>
            <w:pPr>
              <w:spacing w:after="40"/>
            </w:pPr>
            <w:r>
              <w:rPr>
                <w:rFonts w:ascii="Helvetica" w:hAnsi="Helvetica"/>
                <w:b/>
                <w:i w:val="0"/>
                <w:color w:val="000000"/>
                <w:sz w:val="20"/>
              </w:rPr>
              <w:t>PHASE 1  |  Schematic Design</w:t>
            </w:r>
          </w:p>
          <w:p>
            <w:pPr>
              <w:pStyle w:val="ListBullet"/>
              <w:spacing w:after="30"/>
            </w:pPr>
            <w:r>
              <w:rPr>
                <w:rFonts w:ascii="Helvetica" w:hAnsi="Helvetica"/>
                <w:b w:val="0"/>
                <w:i w:val="0"/>
                <w:color w:val="000000"/>
                <w:sz w:val="20"/>
              </w:rPr>
              <w:t>Review the Client’s brief, available survey information and preliminary planning parameters.</w:t>
            </w:r>
          </w:p>
          <w:p>
            <w:pPr>
              <w:pStyle w:val="ListBullet"/>
              <w:spacing w:after="30"/>
            </w:pPr>
            <w:r>
              <w:rPr>
                <w:rFonts w:ascii="Helvetica" w:hAnsi="Helvetica"/>
                <w:b w:val="0"/>
                <w:i w:val="0"/>
                <w:color w:val="000000"/>
                <w:sz w:val="20"/>
              </w:rPr>
              <w:t>Develop the architectural concept, massing, functional distribution and overall design direction.</w:t>
            </w:r>
          </w:p>
          <w:p>
            <w:pPr>
              <w:pStyle w:val="ListBullet"/>
              <w:spacing w:after="30"/>
            </w:pPr>
            <w:r>
              <w:rPr>
                <w:rFonts w:ascii="Helvetica" w:hAnsi="Helvetica"/>
                <w:b w:val="0"/>
                <w:i w:val="0"/>
                <w:color w:val="000000"/>
                <w:sz w:val="20"/>
              </w:rPr>
              <w:t>Present two architectural design directions at schematic level for comparison and selection by the Client; one selected direction will proceed to further development.</w:t>
            </w:r>
          </w:p>
          <w:p>
            <w:pPr>
              <w:pStyle w:val="ListBullet"/>
              <w:spacing w:after="30"/>
            </w:pPr>
            <w:r>
              <w:rPr>
                <w:rFonts w:ascii="Helvetica" w:hAnsi="Helvetica"/>
                <w:b w:val="0"/>
                <w:i w:val="0"/>
                <w:color w:val="000000"/>
                <w:sz w:val="20"/>
              </w:rPr>
              <w:t>Prepare preliminary site planning, floor plans, key sections and elevations at schematic level.</w:t>
            </w:r>
          </w:p>
          <w:p>
            <w:pPr>
              <w:pStyle w:val="ListBullet"/>
              <w:spacing w:after="30"/>
            </w:pPr>
            <w:r>
              <w:rPr>
                <w:rFonts w:ascii="Helvetica" w:hAnsi="Helvetica"/>
                <w:b w:val="0"/>
                <w:i w:val="0"/>
                <w:color w:val="000000"/>
                <w:sz w:val="20"/>
              </w:rPr>
              <w:t>Prepare preliminary basement parking and access concepts, typical residential layouts, material palettes and up to six schematic 3D views across the two directions.</w:t>
            </w:r>
          </w:p>
          <w:p>
            <w:pPr>
              <w:pStyle w:val="ListBullet"/>
              <w:spacing w:after="30"/>
            </w:pPr>
            <w:r>
              <w:rPr>
                <w:rFonts w:ascii="Helvetica" w:hAnsi="Helvetica"/>
                <w:b w:val="0"/>
                <w:i w:val="0"/>
                <w:color w:val="000000"/>
                <w:sz w:val="20"/>
              </w:rPr>
              <w:t>Present the preferred concept for the Client’s review and written approval.</w:t>
            </w:r>
          </w:p>
          <w:p>
            <w:pPr>
              <w:pStyle w:val="ListBullet"/>
              <w:spacing w:after="30"/>
            </w:pPr>
            <w:r>
              <w:rPr>
                <w:rFonts w:ascii="Helvetica" w:hAnsi="Helvetica"/>
                <w:b w:val="0"/>
                <w:i w:val="0"/>
                <w:color w:val="000000"/>
                <w:sz w:val="20"/>
              </w:rPr>
              <w:t>Prepare a coordinated schematic concept for the smaller adjoining plot for land-sale presentation, buyer attraction and demonstration of development potential, while maintaining the architectural spirit and urban consistency of the larger plot.</w:t>
            </w:r>
          </w:p>
        </w:tc>
      </w:tr>
    </w:tbl>
    <w:p>
      <w:pPr>
        <w:spacing w:after="20"/>
      </w:pPr>
    </w:p>
    <w:tbl>
      <w:tblPr>
        <w:tblW w:type="auto" w:w="0"/>
        <w:jc w:val="center"/>
        <w:tblLayout w:type="fixed"/>
        <w:tblLook w:firstColumn="1" w:firstRow="1" w:lastColumn="0" w:lastRow="0" w:noHBand="0" w:noVBand="1" w:val="04A0"/>
      </w:tblPr>
      <w:tblGrid>
        <w:gridCol w:w="7625"/>
        <w:gridCol w:w="7625"/>
      </w:tblGrid>
      <w:tr>
        <w:tc>
          <w:tcPr>
            <w:tcW w:type="dxa" w:w="1800"/>
            <w:shd w:fill="000000"/>
            <w:tcMar>
              <w:top w:w="110" w:type="dxa"/>
              <w:start w:w="120" w:type="dxa"/>
              <w:bottom w:w="110" w:type="dxa"/>
              <w:end w:w="120" w:type="dxa"/>
            </w:tcMar>
            <w:tcBorders>
              <w:top w:val="single" w:sz="4" w:color="D9E0E5"/>
              <w:left w:val="single" w:sz="4" w:color="D9E0E5"/>
              <w:bottom w:val="single" w:sz="4" w:color="D9E0E5"/>
              <w:right w:val="single" w:sz="4" w:color="D9E0E5"/>
            </w:tcBorders>
          </w:tcPr>
          <w:p>
            <w:pPr>
              <w:spacing w:after="0"/>
              <w:jc w:val="center"/>
            </w:pPr>
            <w:r>
              <w:rPr>
                <w:rFonts w:ascii="Helvetica" w:hAnsi="Helvetica"/>
                <w:b/>
                <w:i w:val="0"/>
                <w:color w:val="FFFFFF"/>
                <w:sz w:val="26"/>
              </w:rPr>
              <w:t>25%</w:t>
            </w:r>
          </w:p>
        </w:tc>
        <w:tc>
          <w:tcPr>
            <w:tcW w:type="dxa" w:w="13464"/>
            <w:shd w:fill="FFFFFF"/>
            <w:tcMar>
              <w:top w:w="110" w:type="dxa"/>
              <w:start w:w="120" w:type="dxa"/>
              <w:bottom w:w="110" w:type="dxa"/>
              <w:end w:w="120" w:type="dxa"/>
            </w:tcMar>
            <w:tcBorders>
              <w:top w:val="single" w:sz="4" w:color="D9E0E5"/>
              <w:left w:val="single" w:sz="4" w:color="D9E0E5"/>
              <w:bottom w:val="single" w:sz="4" w:color="D9E0E5"/>
              <w:right w:val="single" w:sz="4" w:color="D9E0E5"/>
            </w:tcBorders>
          </w:tcPr>
          <w:p>
            <w:pPr>
              <w:spacing w:after="40"/>
            </w:pPr>
            <w:r>
              <w:rPr>
                <w:rFonts w:ascii="Helvetica" w:hAnsi="Helvetica"/>
                <w:b/>
                <w:i w:val="0"/>
                <w:color w:val="000000"/>
                <w:sz w:val="20"/>
              </w:rPr>
              <w:t>PHASE 2  |  Design Development &amp; Permit Drawings</w:t>
            </w:r>
          </w:p>
          <w:p>
            <w:pPr>
              <w:pStyle w:val="ListBullet"/>
              <w:spacing w:after="30"/>
            </w:pPr>
            <w:r>
              <w:rPr>
                <w:rFonts w:ascii="Helvetica" w:hAnsi="Helvetica"/>
                <w:b w:val="0"/>
                <w:i w:val="0"/>
                <w:color w:val="000000"/>
                <w:sz w:val="20"/>
              </w:rPr>
              <w:t>Develop the approved concept, layouts, elevations, sections, cores and principal materials.</w:t>
            </w:r>
          </w:p>
          <w:p>
            <w:pPr>
              <w:pStyle w:val="ListBullet"/>
              <w:spacing w:after="30"/>
            </w:pPr>
            <w:r>
              <w:rPr>
                <w:rFonts w:ascii="Helvetica" w:hAnsi="Helvetica"/>
                <w:b w:val="0"/>
                <w:i w:val="0"/>
                <w:color w:val="000000"/>
                <w:sz w:val="20"/>
              </w:rPr>
              <w:t>Coordinate architectural information with the Client and appointed specialist consultants.</w:t>
            </w:r>
          </w:p>
          <w:p>
            <w:pPr>
              <w:pStyle w:val="ListBullet"/>
              <w:spacing w:after="30"/>
            </w:pPr>
            <w:r>
              <w:rPr>
                <w:rFonts w:ascii="Helvetica" w:hAnsi="Helvetica"/>
                <w:b w:val="0"/>
                <w:i w:val="0"/>
                <w:color w:val="000000"/>
                <w:sz w:val="20"/>
              </w:rPr>
              <w:t>Prepare the architectural drawings reasonably required for the planning and permit submission.</w:t>
            </w:r>
          </w:p>
          <w:p>
            <w:pPr>
              <w:pStyle w:val="ListBullet"/>
              <w:spacing w:after="30"/>
            </w:pPr>
            <w:r>
              <w:rPr>
                <w:rFonts w:ascii="Helvetica" w:hAnsi="Helvetica"/>
                <w:b w:val="0"/>
                <w:i w:val="0"/>
                <w:color w:val="000000"/>
                <w:sz w:val="20"/>
              </w:rPr>
              <w:t>Respond to routine authority comments relating to the architectural submission.</w:t>
            </w:r>
          </w:p>
        </w:tc>
      </w:tr>
    </w:tbl>
    <w:p>
      <w:pPr>
        <w:spacing w:after="20"/>
      </w:pPr>
    </w:p>
    <w:tbl>
      <w:tblPr>
        <w:tblW w:type="auto" w:w="0"/>
        <w:jc w:val="center"/>
        <w:tblLayout w:type="fixed"/>
        <w:tblLook w:firstColumn="1" w:firstRow="1" w:lastColumn="0" w:lastRow="0" w:noHBand="0" w:noVBand="1" w:val="04A0"/>
      </w:tblPr>
      <w:tblGrid>
        <w:gridCol w:w="7625"/>
        <w:gridCol w:w="7625"/>
      </w:tblGrid>
      <w:tr>
        <w:tc>
          <w:tcPr>
            <w:tcW w:type="dxa" w:w="1800"/>
            <w:shd w:fill="000000"/>
            <w:tcMar>
              <w:top w:w="110" w:type="dxa"/>
              <w:start w:w="120" w:type="dxa"/>
              <w:bottom w:w="110" w:type="dxa"/>
              <w:end w:w="120" w:type="dxa"/>
            </w:tcMar>
            <w:tcBorders>
              <w:top w:val="single" w:sz="4" w:color="D9E0E5"/>
              <w:left w:val="single" w:sz="4" w:color="D9E0E5"/>
              <w:bottom w:val="single" w:sz="4" w:color="D9E0E5"/>
              <w:right w:val="single" w:sz="4" w:color="D9E0E5"/>
            </w:tcBorders>
          </w:tcPr>
          <w:p>
            <w:pPr>
              <w:spacing w:after="0"/>
              <w:jc w:val="center"/>
            </w:pPr>
            <w:r>
              <w:rPr>
                <w:rFonts w:ascii="Helvetica" w:hAnsi="Helvetica"/>
                <w:b/>
                <w:i w:val="0"/>
                <w:color w:val="FFFFFF"/>
                <w:sz w:val="26"/>
              </w:rPr>
              <w:t>25%</w:t>
            </w:r>
          </w:p>
        </w:tc>
        <w:tc>
          <w:tcPr>
            <w:tcW w:type="dxa" w:w="13464"/>
            <w:shd w:fill="FFFFFF"/>
            <w:tcMar>
              <w:top w:w="110" w:type="dxa"/>
              <w:start w:w="120" w:type="dxa"/>
              <w:bottom w:w="110" w:type="dxa"/>
              <w:end w:w="120" w:type="dxa"/>
            </w:tcMar>
            <w:tcBorders>
              <w:top w:val="single" w:sz="4" w:color="D9E0E5"/>
              <w:left w:val="single" w:sz="4" w:color="D9E0E5"/>
              <w:bottom w:val="single" w:sz="4" w:color="D9E0E5"/>
              <w:right w:val="single" w:sz="4" w:color="D9E0E5"/>
            </w:tcBorders>
          </w:tcPr>
          <w:p>
            <w:pPr>
              <w:spacing w:after="40"/>
            </w:pPr>
            <w:r>
              <w:rPr>
                <w:rFonts w:ascii="Helvetica" w:hAnsi="Helvetica"/>
                <w:b/>
                <w:i w:val="0"/>
                <w:color w:val="000000"/>
                <w:sz w:val="20"/>
              </w:rPr>
              <w:t>PHASE 3  |  Execution Design &amp; Architectural Renderings</w:t>
            </w:r>
          </w:p>
          <w:p>
            <w:pPr>
              <w:pStyle w:val="ListBullet"/>
              <w:spacing w:after="30"/>
            </w:pPr>
            <w:r>
              <w:rPr>
                <w:rFonts w:ascii="Helvetica" w:hAnsi="Helvetica"/>
                <w:b w:val="0"/>
                <w:i w:val="0"/>
                <w:color w:val="000000"/>
                <w:sz w:val="20"/>
              </w:rPr>
              <w:t>Prepare architectural execution drawings and principal construction details appropriate to the agreed design stage, including general plans, elevations, sections, cores, typical wall sections, façade setting-out, balconies, parapets, railings, and typical door/window and finish schedules.</w:t>
            </w:r>
          </w:p>
          <w:p>
            <w:pPr>
              <w:pStyle w:val="ListBullet"/>
              <w:spacing w:after="30"/>
            </w:pPr>
            <w:r>
              <w:rPr>
                <w:rFonts w:ascii="Helvetica" w:hAnsi="Helvetica"/>
                <w:b w:val="0"/>
                <w:i w:val="0"/>
                <w:color w:val="000000"/>
                <w:sz w:val="20"/>
              </w:rPr>
              <w:t>Coordinate architectural interfaces with structural and building-services information supplied by others.</w:t>
            </w:r>
          </w:p>
          <w:p>
            <w:pPr>
              <w:pStyle w:val="ListBullet"/>
              <w:spacing w:after="30"/>
            </w:pPr>
            <w:r>
              <w:rPr>
                <w:rFonts w:ascii="Helvetica" w:hAnsi="Helvetica"/>
                <w:b w:val="0"/>
                <w:i w:val="0"/>
                <w:color w:val="000000"/>
                <w:sz w:val="20"/>
              </w:rPr>
              <w:t>Develop material integration and key façade, entrance and common-area details.</w:t>
            </w:r>
          </w:p>
          <w:p>
            <w:pPr>
              <w:pStyle w:val="ListBullet"/>
              <w:spacing w:after="30"/>
            </w:pPr>
            <w:r>
              <w:rPr>
                <w:rFonts w:ascii="Helvetica" w:hAnsi="Helvetica"/>
                <w:b w:val="0"/>
                <w:i w:val="0"/>
                <w:color w:val="000000"/>
                <w:sz w:val="20"/>
              </w:rPr>
              <w:t>Prepare up to six design-development renderings: main street view, secondary corner view, bird’s-eye view, commercial/showroom frontage, residential entrance, and terrace/courtyard or landscaped area.</w:t>
            </w:r>
          </w:p>
        </w:tc>
      </w:tr>
    </w:tbl>
    <w:p>
      <w:pPr>
        <w:spacing w:after="20"/>
      </w:pPr>
    </w:p>
    <w:p>
      <w:pPr>
        <w:pStyle w:val="Heading2"/>
        <w:keepNext/>
      </w:pPr>
      <w:r>
        <w:t>Phase Approvals</w:t>
      </w:r>
    </w:p>
    <w:p>
      <w:pPr>
        <w:spacing w:after="100" w:line="259" w:lineRule="auto"/>
      </w:pPr>
      <w:r>
        <w:rPr>
          <w:rFonts w:ascii="Helvetica" w:hAnsi="Helvetica"/>
          <w:b w:val="0"/>
          <w:i w:val="0"/>
          <w:color w:val="000000"/>
          <w:sz w:val="20"/>
        </w:rPr>
        <w:t>At the end of each phase, the Architect will issue the relevant package for review. The Client shall provide one consolidated written response. Written approval, or instruction to proceed, authorizes commencement of the next phase.</w:t>
      </w:r>
    </w:p>
    <w:p>
      <w:r>
        <w:br w:type="page"/>
      </w:r>
    </w:p>
    <w:p>
      <w:pPr>
        <w:pStyle w:val="Heading1"/>
        <w:keepNext/>
      </w:pPr>
      <w:r>
        <w:t>4. Scope of Architectural Services (continued)</w:t>
      </w:r>
    </w:p>
    <w:tbl>
      <w:tblPr>
        <w:tblW w:type="auto" w:w="0"/>
        <w:jc w:val="center"/>
        <w:tblLayout w:type="fixed"/>
        <w:tblLook w:firstColumn="1" w:firstRow="1" w:lastColumn="0" w:lastRow="0" w:noHBand="0" w:noVBand="1" w:val="04A0"/>
      </w:tblPr>
      <w:tblGrid>
        <w:gridCol w:w="7625"/>
        <w:gridCol w:w="7625"/>
      </w:tblGrid>
      <w:tr>
        <w:tc>
          <w:tcPr>
            <w:tcW w:type="dxa" w:w="1800"/>
            <w:shd w:fill="000000"/>
            <w:tcMar>
              <w:top w:w="110" w:type="dxa"/>
              <w:start w:w="120" w:type="dxa"/>
              <w:bottom w:w="110" w:type="dxa"/>
              <w:end w:w="120" w:type="dxa"/>
            </w:tcMar>
            <w:tcBorders>
              <w:top w:val="single" w:sz="4" w:color="D9E0E5"/>
              <w:left w:val="single" w:sz="4" w:color="D9E0E5"/>
              <w:bottom w:val="single" w:sz="4" w:color="D9E0E5"/>
              <w:right w:val="single" w:sz="4" w:color="D9E0E5"/>
            </w:tcBorders>
          </w:tcPr>
          <w:p>
            <w:pPr>
              <w:spacing w:after="0"/>
              <w:jc w:val="center"/>
            </w:pPr>
            <w:r>
              <w:rPr>
                <w:rFonts w:ascii="Helvetica" w:hAnsi="Helvetica"/>
                <w:b/>
                <w:i w:val="0"/>
                <w:color w:val="FFFFFF"/>
                <w:sz w:val="26"/>
              </w:rPr>
              <w:t>15%</w:t>
            </w:r>
          </w:p>
        </w:tc>
        <w:tc>
          <w:tcPr>
            <w:tcW w:type="dxa" w:w="13464"/>
            <w:shd w:fill="FFFFFF"/>
            <w:tcMar>
              <w:top w:w="110" w:type="dxa"/>
              <w:start w:w="120" w:type="dxa"/>
              <w:bottom w:w="110" w:type="dxa"/>
              <w:end w:w="120" w:type="dxa"/>
            </w:tcMar>
            <w:tcBorders>
              <w:top w:val="single" w:sz="4" w:color="D9E0E5"/>
              <w:left w:val="single" w:sz="4" w:color="D9E0E5"/>
              <w:bottom w:val="single" w:sz="4" w:color="D9E0E5"/>
              <w:right w:val="single" w:sz="4" w:color="D9E0E5"/>
            </w:tcBorders>
          </w:tcPr>
          <w:p>
            <w:pPr>
              <w:spacing w:after="40"/>
            </w:pPr>
            <w:r>
              <w:rPr>
                <w:rFonts w:ascii="Helvetica" w:hAnsi="Helvetica"/>
                <w:b/>
                <w:i w:val="0"/>
                <w:color w:val="000000"/>
                <w:sz w:val="20"/>
              </w:rPr>
              <w:t>PHASE 4  |  Visuals &amp; Marketing Materials</w:t>
            </w:r>
          </w:p>
          <w:p>
            <w:pPr>
              <w:pStyle w:val="ListBullet"/>
              <w:spacing w:after="30"/>
            </w:pPr>
            <w:r>
              <w:rPr>
                <w:rFonts w:ascii="Helvetica" w:hAnsi="Helvetica"/>
                <w:b w:val="0"/>
                <w:i w:val="0"/>
                <w:color w:val="000000"/>
                <w:sz w:val="20"/>
              </w:rPr>
              <w:t>Produce up to 12 final high-resolution photorealistic images based on the approved design.</w:t>
            </w:r>
          </w:p>
          <w:p>
            <w:pPr>
              <w:pStyle w:val="ListBullet"/>
              <w:spacing w:after="30"/>
            </w:pPr>
            <w:r>
              <w:rPr>
                <w:rFonts w:ascii="Helvetica" w:hAnsi="Helvetica"/>
                <w:b w:val="0"/>
                <w:i w:val="0"/>
                <w:color w:val="000000"/>
                <w:sz w:val="20"/>
              </w:rPr>
              <w:t>Exterior images: hero bird’s-eye, main daytime façade, secondary corner, pedestrian-level façade, retail/showroom frontage, residential entrance, evening/dusk view, and terrace/courtyard or landscaped area.</w:t>
            </w:r>
          </w:p>
          <w:p>
            <w:pPr>
              <w:pStyle w:val="ListBullet"/>
              <w:spacing w:after="30"/>
            </w:pPr>
            <w:r>
              <w:rPr>
                <w:rFonts w:ascii="Helvetica" w:hAnsi="Helvetica"/>
                <w:b w:val="0"/>
                <w:i w:val="0"/>
                <w:color w:val="000000"/>
                <w:sz w:val="20"/>
              </w:rPr>
              <w:t>Interior images: residential lobby, typical apartment living/dining space, typical kitchen or master bedroom, and office reception or representative showroom.</w:t>
            </w:r>
          </w:p>
          <w:p>
            <w:pPr>
              <w:pStyle w:val="ListBullet"/>
              <w:spacing w:after="30"/>
            </w:pPr>
            <w:r>
              <w:rPr>
                <w:rFonts w:ascii="Helvetica" w:hAnsi="Helvetica"/>
                <w:b w:val="0"/>
                <w:i w:val="0"/>
                <w:color w:val="000000"/>
                <w:sz w:val="20"/>
              </w:rPr>
              <w:t>Prepare a project cover image, simplified fact sheet, selected coloured plans, unit-type diagrams, material palette, façade concept board, presentation PDF and up to six social-media crops derived from the final images.</w:t>
            </w:r>
          </w:p>
          <w:p>
            <w:pPr>
              <w:pStyle w:val="ListBullet"/>
              <w:spacing w:after="30"/>
            </w:pPr>
            <w:r>
              <w:rPr>
                <w:rFonts w:ascii="Helvetica" w:hAnsi="Helvetica"/>
                <w:b w:val="0"/>
                <w:i w:val="0"/>
                <w:color w:val="000000"/>
                <w:sz w:val="20"/>
              </w:rPr>
              <w:t>Each final image includes one approved camera position, one draft review, one consolidated correction round and one final high-resolution issue.</w:t>
            </w:r>
          </w:p>
          <w:p>
            <w:pPr>
              <w:pStyle w:val="ListBullet"/>
              <w:spacing w:after="30"/>
            </w:pPr>
            <w:r>
              <w:rPr>
                <w:rFonts w:ascii="Helvetica" w:hAnsi="Helvetica"/>
                <w:b w:val="0"/>
                <w:i w:val="0"/>
                <w:color w:val="000000"/>
                <w:sz w:val="20"/>
              </w:rPr>
              <w:t>Marketing copywriting, media buying, website development, printing and animation are excluded unless added in writing.</w:t>
            </w:r>
          </w:p>
        </w:tc>
      </w:tr>
    </w:tbl>
    <w:p>
      <w:pPr>
        <w:spacing w:after="20"/>
      </w:pPr>
    </w:p>
    <w:tbl>
      <w:tblPr>
        <w:tblW w:type="auto" w:w="0"/>
        <w:jc w:val="center"/>
        <w:tblLayout w:type="fixed"/>
        <w:tblLook w:firstColumn="1" w:firstRow="1" w:lastColumn="0" w:lastRow="0" w:noHBand="0" w:noVBand="1" w:val="04A0"/>
      </w:tblPr>
      <w:tblGrid>
        <w:gridCol w:w="7625"/>
        <w:gridCol w:w="7625"/>
      </w:tblGrid>
      <w:tr>
        <w:tc>
          <w:tcPr>
            <w:tcW w:type="dxa" w:w="1800"/>
            <w:shd w:fill="000000"/>
            <w:tcMar>
              <w:top w:w="110" w:type="dxa"/>
              <w:start w:w="120" w:type="dxa"/>
              <w:bottom w:w="110" w:type="dxa"/>
              <w:end w:w="120" w:type="dxa"/>
            </w:tcMar>
            <w:tcBorders>
              <w:top w:val="single" w:sz="4" w:color="D9E0E5"/>
              <w:left w:val="single" w:sz="4" w:color="D9E0E5"/>
              <w:bottom w:val="single" w:sz="4" w:color="D9E0E5"/>
              <w:right w:val="single" w:sz="4" w:color="D9E0E5"/>
            </w:tcBorders>
          </w:tcPr>
          <w:p>
            <w:pPr>
              <w:spacing w:after="0"/>
              <w:jc w:val="center"/>
            </w:pPr>
            <w:r>
              <w:rPr>
                <w:rFonts w:ascii="Helvetica" w:hAnsi="Helvetica"/>
                <w:b/>
                <w:i w:val="0"/>
                <w:color w:val="FFFFFF"/>
                <w:sz w:val="26"/>
              </w:rPr>
              <w:t>10%</w:t>
            </w:r>
          </w:p>
        </w:tc>
        <w:tc>
          <w:tcPr>
            <w:tcW w:type="dxa" w:w="13464"/>
            <w:shd w:fill="FFFFFF"/>
            <w:tcMar>
              <w:top w:w="110" w:type="dxa"/>
              <w:start w:w="120" w:type="dxa"/>
              <w:bottom w:w="110" w:type="dxa"/>
              <w:end w:w="120" w:type="dxa"/>
            </w:tcMar>
            <w:tcBorders>
              <w:top w:val="single" w:sz="4" w:color="D9E0E5"/>
              <w:left w:val="single" w:sz="4" w:color="D9E0E5"/>
              <w:bottom w:val="single" w:sz="4" w:color="D9E0E5"/>
              <w:right w:val="single" w:sz="4" w:color="D9E0E5"/>
            </w:tcBorders>
          </w:tcPr>
          <w:p>
            <w:pPr>
              <w:spacing w:after="40"/>
            </w:pPr>
            <w:r>
              <w:rPr>
                <w:rFonts w:ascii="Helvetica" w:hAnsi="Helvetica"/>
                <w:b/>
                <w:i w:val="0"/>
                <w:color w:val="000000"/>
                <w:sz w:val="20"/>
              </w:rPr>
              <w:t>PHASE 5  |  Finalization, Design Follow-up &amp; Fine-tuning</w:t>
            </w:r>
          </w:p>
          <w:p>
            <w:pPr>
              <w:pStyle w:val="ListBullet"/>
              <w:spacing w:after="30"/>
            </w:pPr>
            <w:r>
              <w:rPr>
                <w:rFonts w:ascii="Helvetica" w:hAnsi="Helvetica"/>
                <w:b w:val="0"/>
                <w:i w:val="0"/>
                <w:color w:val="000000"/>
                <w:sz w:val="20"/>
              </w:rPr>
              <w:t>Undertake minor design adjustments and fine-tuning after completion of the principal design packages.</w:t>
            </w:r>
          </w:p>
          <w:p>
            <w:pPr>
              <w:pStyle w:val="ListBullet"/>
              <w:spacing w:after="30"/>
            </w:pPr>
            <w:r>
              <w:rPr>
                <w:rFonts w:ascii="Helvetica" w:hAnsi="Helvetica"/>
                <w:b w:val="0"/>
                <w:i w:val="0"/>
                <w:color w:val="000000"/>
                <w:sz w:val="20"/>
              </w:rPr>
              <w:t>Support final architectural material and finish selections.</w:t>
            </w:r>
          </w:p>
          <w:p>
            <w:pPr>
              <w:pStyle w:val="ListBullet"/>
              <w:spacing w:after="30"/>
            </w:pPr>
            <w:r>
              <w:rPr>
                <w:rFonts w:ascii="Helvetica" w:hAnsi="Helvetica"/>
                <w:b w:val="0"/>
                <w:i w:val="0"/>
                <w:color w:val="000000"/>
                <w:sz w:val="20"/>
              </w:rPr>
              <w:t>Provide limited interior-concept input for the main residential lobby, one typical apartment living/dining area, one representative office reception and one representative showroom, including general colours, materials, lighting direction and visualization furniture suggestions.</w:t>
            </w:r>
          </w:p>
          <w:p>
            <w:pPr>
              <w:pStyle w:val="ListBullet"/>
              <w:spacing w:after="30"/>
            </w:pPr>
            <w:r>
              <w:rPr>
                <w:rFonts w:ascii="Helvetica" w:hAnsi="Helvetica"/>
                <w:b w:val="0"/>
                <w:i w:val="0"/>
                <w:color w:val="000000"/>
                <w:sz w:val="20"/>
              </w:rPr>
              <w:t>Provide design clarification and minor updates for up to 90 days after the final design issue. Site supervision and redesign are not included.</w:t>
            </w:r>
          </w:p>
        </w:tc>
      </w:tr>
    </w:tbl>
    <w:p>
      <w:pPr>
        <w:spacing w:after="20"/>
      </w:pPr>
    </w:p>
    <w:p>
      <w:pPr>
        <w:pStyle w:val="Heading1"/>
        <w:keepNext/>
      </w:pPr>
      <w:r>
        <w:t>5. Deliverable Format and Revisions</w:t>
      </w:r>
    </w:p>
    <w:p>
      <w:pPr>
        <w:pStyle w:val="ListBullet"/>
        <w:spacing w:after="50" w:line="252" w:lineRule="auto"/>
      </w:pPr>
      <w:r>
        <w:rPr>
          <w:rFonts w:ascii="Helvetica" w:hAnsi="Helvetica"/>
          <w:b w:val="0"/>
          <w:i w:val="0"/>
          <w:color w:val="000000"/>
          <w:sz w:val="20"/>
        </w:rPr>
        <w:t>Unless otherwise agreed, formal deliverables will be issued electronically in PDF format. Editable CAD/BIM, 3D model and source files remain working instruments of the Architect and are not included automatically.</w:t>
      </w:r>
    </w:p>
    <w:p>
      <w:pPr>
        <w:pStyle w:val="ListBullet"/>
        <w:spacing w:after="50" w:line="252" w:lineRule="auto"/>
      </w:pPr>
      <w:r>
        <w:rPr>
          <w:rFonts w:ascii="Helvetica" w:hAnsi="Helvetica"/>
          <w:b w:val="0"/>
          <w:i w:val="0"/>
          <w:color w:val="000000"/>
          <w:sz w:val="20"/>
        </w:rPr>
        <w:t>The fee includes up to two consolidated revision rounds during each of Phases 1-4, provided the revisions remain consistent with the approved brief and do not reverse an earlier approval. The Client’s selection of one schematic direction closes the alternative-direction exercise.</w:t>
      </w:r>
    </w:p>
    <w:p>
      <w:pPr>
        <w:pStyle w:val="ListBullet"/>
        <w:spacing w:after="50" w:line="252" w:lineRule="auto"/>
      </w:pPr>
      <w:r>
        <w:rPr>
          <w:rFonts w:ascii="Helvetica" w:hAnsi="Helvetica"/>
          <w:b w:val="0"/>
          <w:i w:val="0"/>
          <w:color w:val="000000"/>
          <w:sz w:val="20"/>
        </w:rPr>
        <w:t>Additional alternatives, repeated fragmented comments, substantial redesign, or changes arising from a revised Client brief, land information, regulations, consultant information or authority requirements will be treated as additional services.</w:t>
      </w:r>
    </w:p>
    <w:p>
      <w:pPr>
        <w:pStyle w:val="ListBullet"/>
        <w:spacing w:after="50" w:line="252" w:lineRule="auto"/>
      </w:pPr>
      <w:r>
        <w:rPr>
          <w:rFonts w:ascii="Helvetica" w:hAnsi="Helvetica"/>
          <w:b w:val="0"/>
          <w:i w:val="0"/>
          <w:color w:val="000000"/>
          <w:sz w:val="20"/>
        </w:rPr>
        <w:t>The programme and precise drawing list will be agreed after receipt of the verified survey, legal planning information and complete Client brief.</w:t>
      </w:r>
    </w:p>
    <w:p>
      <w:pPr>
        <w:pStyle w:val="ListBullet"/>
        <w:spacing w:after="50" w:line="252" w:lineRule="auto"/>
      </w:pPr>
      <w:r>
        <w:rPr>
          <w:rFonts w:ascii="Helvetica" w:hAnsi="Helvetica"/>
          <w:b w:val="0"/>
          <w:i w:val="0"/>
          <w:color w:val="000000"/>
          <w:sz w:val="20"/>
        </w:rPr>
        <w:t>The fee includes up to two coordination meetings per phase and up to four design-coordination site visits in Tripoli. Additional meetings, visits, travel or construction attendance are additional services.</w:t>
      </w:r>
    </w:p>
    <w:p>
      <w:pPr>
        <w:pStyle w:val="ListBullet"/>
        <w:spacing w:after="50" w:line="252" w:lineRule="auto"/>
      </w:pPr>
      <w:r>
        <w:rPr>
          <w:rFonts w:ascii="Helvetica" w:hAnsi="Helvetica"/>
          <w:b w:val="0"/>
          <w:i w:val="0"/>
          <w:color w:val="000000"/>
          <w:sz w:val="20"/>
        </w:rPr>
        <w:t>A change exceeding 5% of the agreed development area, a change of use or floor count, or reopening a previously approved phase requires a fee and programme adjustment.</w:t>
      </w:r>
    </w:p>
    <w:p>
      <w:pPr>
        <w:pStyle w:val="Heading1"/>
        <w:keepNext/>
      </w:pPr>
      <w:r>
        <w:t>6. Client Information and Responsibilities</w:t>
      </w:r>
    </w:p>
    <w:p>
      <w:pPr>
        <w:pStyle w:val="ListBullet"/>
        <w:spacing w:after="50" w:line="252" w:lineRule="auto"/>
      </w:pPr>
      <w:r>
        <w:rPr>
          <w:rFonts w:ascii="Helvetica" w:hAnsi="Helvetica"/>
          <w:b w:val="0"/>
          <w:i w:val="0"/>
          <w:color w:val="000000"/>
          <w:sz w:val="20"/>
        </w:rPr>
        <w:t>Provide accurate ownership documents, cadastral plans, topographical and boundary surveys, geotechnical information and applicable planning records.</w:t>
      </w:r>
    </w:p>
    <w:p>
      <w:pPr>
        <w:pStyle w:val="ListBullet"/>
        <w:spacing w:after="50" w:line="252" w:lineRule="auto"/>
      </w:pPr>
      <w:r>
        <w:rPr>
          <w:rFonts w:ascii="Helvetica" w:hAnsi="Helvetica"/>
          <w:b w:val="0"/>
          <w:i w:val="0"/>
          <w:color w:val="000000"/>
          <w:sz w:val="20"/>
        </w:rPr>
        <w:t>Appoint and pay all required structural, civil, MEP, fire-safety, geotechnical, traffic, quantity-surveying and other specialist consultants.</w:t>
      </w:r>
    </w:p>
    <w:p>
      <w:pPr>
        <w:pStyle w:val="ListBullet"/>
        <w:spacing w:after="50" w:line="252" w:lineRule="auto"/>
      </w:pPr>
      <w:r>
        <w:rPr>
          <w:rFonts w:ascii="Helvetica" w:hAnsi="Helvetica"/>
          <w:b w:val="0"/>
          <w:i w:val="0"/>
          <w:color w:val="000000"/>
          <w:sz w:val="20"/>
        </w:rPr>
        <w:t>Nominate one authorized representative and provide timely, consolidated instructions and approvals.</w:t>
      </w:r>
    </w:p>
    <w:p>
      <w:pPr>
        <w:pStyle w:val="ListBullet"/>
        <w:spacing w:after="50" w:line="252" w:lineRule="auto"/>
      </w:pPr>
      <w:r>
        <w:rPr>
          <w:rFonts w:ascii="Helvetica" w:hAnsi="Helvetica"/>
          <w:b w:val="0"/>
          <w:i w:val="0"/>
          <w:color w:val="000000"/>
          <w:sz w:val="20"/>
        </w:rPr>
        <w:t>Pay all authority, permit, printing, testing and third-party fees directly unless otherwise agreed.</w:t>
      </w:r>
    </w:p>
    <w:p>
      <w:pPr>
        <w:pStyle w:val="ListBullet"/>
        <w:spacing w:after="50" w:line="252" w:lineRule="auto"/>
      </w:pPr>
      <w:r>
        <w:rPr>
          <w:rFonts w:ascii="Helvetica" w:hAnsi="Helvetica"/>
          <w:b w:val="0"/>
          <w:i w:val="0"/>
          <w:color w:val="000000"/>
          <w:sz w:val="20"/>
        </w:rPr>
        <w:t>Promptly inform the Architect of decisions or circumstances that may affect scope, cost, programme or approvals.</w:t>
      </w:r>
    </w:p>
    <w:p>
      <w:r>
        <w:br w:type="page"/>
      </w:r>
    </w:p>
    <w:p>
      <w:pPr>
        <w:pStyle w:val="Heading1"/>
        <w:keepNext/>
      </w:pPr>
      <w:r>
        <w:t>7. Professional Fee and Payment Schedule</w:t>
      </w:r>
    </w:p>
    <w:tbl>
      <w:tblPr>
        <w:tblW w:type="auto" w:w="0"/>
        <w:jc w:val="center"/>
        <w:tblLayout w:type="fixed"/>
        <w:tblLook w:firstColumn="1" w:firstRow="1" w:lastColumn="0" w:lastRow="0" w:noHBand="0" w:noVBand="1" w:val="04A0"/>
      </w:tblPr>
      <w:tblGrid>
        <w:gridCol w:w="7625"/>
        <w:gridCol w:w="7625"/>
      </w:tblGrid>
      <w:tr>
        <w:tc>
          <w:tcPr>
            <w:tcW w:type="dxa" w:w="7625"/>
            <w:tcMar>
              <w:top w:w="90" w:type="dxa"/>
              <w:start w:w="120" w:type="dxa"/>
              <w:bottom w:w="90" w:type="dxa"/>
              <w:end w:w="120" w:type="dxa"/>
            </w:tcMar>
            <w:shd w:fill="FFFFFF"/>
            <w:tcBorders>
              <w:bottom w:val="single" w:sz="4" w:color="D8DEE3"/>
            </w:tcBorders>
            <w:vAlign w:val="center"/>
          </w:tcPr>
          <w:p>
            <w:pPr>
              <w:spacing w:after="0"/>
            </w:pPr>
            <w:r>
              <w:rPr>
                <w:rFonts w:ascii="Helvetica" w:hAnsi="Helvetica"/>
                <w:b/>
                <w:i w:val="0"/>
                <w:color w:val="000000"/>
                <w:sz w:val="20"/>
              </w:rPr>
              <w:t>ORIGINAL PROFESSIONAL FEE</w:t>
            </w:r>
          </w:p>
        </w:tc>
        <w:tc>
          <w:tcPr>
            <w:tcW w:type="dxa" w:w="7625"/>
            <w:tcMar>
              <w:top w:w="90" w:type="dxa"/>
              <w:start w:w="120" w:type="dxa"/>
              <w:bottom w:w="90" w:type="dxa"/>
              <w:end w:w="120" w:type="dxa"/>
            </w:tcMar>
            <w:tcBorders>
              <w:bottom w:val="single" w:sz="4" w:color="D8DEE3"/>
            </w:tcBorders>
            <w:vAlign w:val="center"/>
          </w:tcPr>
          <w:p>
            <w:pPr>
              <w:spacing w:after="0"/>
            </w:pPr>
            <w:r>
              <w:rPr>
                <w:rFonts w:ascii="Helvetica" w:hAnsi="Helvetica"/>
                <w:b w:val="0"/>
                <w:i w:val="0"/>
                <w:color w:val="000000"/>
                <w:sz w:val="20"/>
              </w:rPr>
              <w:t>USD 43,000</w:t>
            </w:r>
          </w:p>
        </w:tc>
      </w:tr>
      <w:tr>
        <w:tc>
          <w:tcPr>
            <w:tcW w:type="dxa" w:w="7625"/>
            <w:tcMar>
              <w:top w:w="90" w:type="dxa"/>
              <w:start w:w="120" w:type="dxa"/>
              <w:bottom w:w="90" w:type="dxa"/>
              <w:end w:w="120" w:type="dxa"/>
            </w:tcMar>
            <w:shd w:fill="FFFFFF"/>
            <w:tcBorders>
              <w:bottom w:val="single" w:sz="4" w:color="D8DEE3"/>
            </w:tcBorders>
            <w:vAlign w:val="center"/>
          </w:tcPr>
          <w:p>
            <w:pPr>
              <w:spacing w:after="0"/>
            </w:pPr>
            <w:r>
              <w:rPr>
                <w:rFonts w:ascii="Helvetica" w:hAnsi="Helvetica"/>
                <w:b/>
                <w:i w:val="0"/>
                <w:color w:val="000000"/>
                <w:sz w:val="20"/>
              </w:rPr>
              <w:t>AGREED DISCOUNT</w:t>
            </w:r>
          </w:p>
        </w:tc>
        <w:tc>
          <w:tcPr>
            <w:tcW w:type="dxa" w:w="7625"/>
            <w:tcMar>
              <w:top w:w="90" w:type="dxa"/>
              <w:start w:w="120" w:type="dxa"/>
              <w:bottom w:w="90" w:type="dxa"/>
              <w:end w:w="120" w:type="dxa"/>
            </w:tcMar>
            <w:tcBorders>
              <w:bottom w:val="single" w:sz="4" w:color="D8DEE3"/>
            </w:tcBorders>
            <w:vAlign w:val="center"/>
          </w:tcPr>
          <w:p>
            <w:pPr>
              <w:spacing w:after="0"/>
            </w:pPr>
            <w:r>
              <w:rPr>
                <w:rFonts w:ascii="Helvetica" w:hAnsi="Helvetica"/>
                <w:b w:val="0"/>
                <w:i w:val="0"/>
                <w:color w:val="000000"/>
                <w:sz w:val="20"/>
              </w:rPr>
              <w:t>15% (USD 6,450)</w:t>
            </w:r>
          </w:p>
        </w:tc>
      </w:tr>
      <w:tr>
        <w:tc>
          <w:tcPr>
            <w:tcW w:type="dxa" w:w="7625"/>
            <w:tcMar>
              <w:top w:w="90" w:type="dxa"/>
              <w:start w:w="120" w:type="dxa"/>
              <w:bottom w:w="90" w:type="dxa"/>
              <w:end w:w="120" w:type="dxa"/>
            </w:tcMar>
            <w:shd w:fill="FFFFFF"/>
            <w:tcBorders>
              <w:bottom w:val="single" w:sz="4" w:color="D8DEE3"/>
            </w:tcBorders>
            <w:vAlign w:val="center"/>
          </w:tcPr>
          <w:p>
            <w:pPr>
              <w:spacing w:after="0"/>
            </w:pPr>
            <w:r>
              <w:rPr>
                <w:rFonts w:ascii="Helvetica" w:hAnsi="Helvetica"/>
                <w:b/>
                <w:i w:val="0"/>
                <w:color w:val="000000"/>
                <w:sz w:val="20"/>
              </w:rPr>
              <w:t>DISCOUNTED PROFESSIONAL FEE</w:t>
            </w:r>
          </w:p>
        </w:tc>
        <w:tc>
          <w:tcPr>
            <w:tcW w:type="dxa" w:w="7625"/>
            <w:tcMar>
              <w:top w:w="90" w:type="dxa"/>
              <w:start w:w="120" w:type="dxa"/>
              <w:bottom w:w="90" w:type="dxa"/>
              <w:end w:w="120" w:type="dxa"/>
            </w:tcMar>
            <w:tcBorders>
              <w:bottom w:val="single" w:sz="4" w:color="D8DEE3"/>
            </w:tcBorders>
            <w:vAlign w:val="center"/>
          </w:tcPr>
          <w:p>
            <w:pPr>
              <w:spacing w:after="0"/>
            </w:pPr>
            <w:r>
              <w:rPr>
                <w:rFonts w:ascii="Helvetica" w:hAnsi="Helvetica"/>
                <w:b w:val="0"/>
                <w:i w:val="0"/>
                <w:color w:val="000000"/>
                <w:sz w:val="20"/>
              </w:rPr>
              <w:t>USD 36,550 (Thirty-six thousand five hundred fifty United States dollars)</w:t>
            </w:r>
          </w:p>
        </w:tc>
      </w:tr>
      <w:tr>
        <w:tc>
          <w:tcPr>
            <w:tcW w:type="dxa" w:w="7625"/>
            <w:tcMar>
              <w:top w:w="90" w:type="dxa"/>
              <w:start w:w="120" w:type="dxa"/>
              <w:bottom w:w="90" w:type="dxa"/>
              <w:end w:w="120" w:type="dxa"/>
            </w:tcMar>
            <w:shd w:fill="FFFFFF"/>
            <w:tcBorders>
              <w:bottom w:val="single" w:sz="4" w:color="D8DEE3"/>
            </w:tcBorders>
            <w:vAlign w:val="center"/>
          </w:tcPr>
          <w:p>
            <w:pPr>
              <w:spacing w:after="0"/>
            </w:pPr>
            <w:r>
              <w:rPr>
                <w:rFonts w:ascii="Helvetica" w:hAnsi="Helvetica"/>
                <w:b/>
                <w:i w:val="0"/>
                <w:color w:val="000000"/>
                <w:sz w:val="20"/>
              </w:rPr>
              <w:t>TAXES</w:t>
            </w:r>
          </w:p>
        </w:tc>
        <w:tc>
          <w:tcPr>
            <w:tcW w:type="dxa" w:w="7625"/>
            <w:tcMar>
              <w:top w:w="90" w:type="dxa"/>
              <w:start w:w="120" w:type="dxa"/>
              <w:bottom w:w="90" w:type="dxa"/>
              <w:end w:w="120" w:type="dxa"/>
            </w:tcMar>
            <w:tcBorders>
              <w:bottom w:val="single" w:sz="4" w:color="D8DEE3"/>
            </w:tcBorders>
            <w:vAlign w:val="center"/>
          </w:tcPr>
          <w:p>
            <w:pPr>
              <w:spacing w:after="0"/>
            </w:pPr>
            <w:r>
              <w:rPr>
                <w:rFonts w:ascii="Helvetica" w:hAnsi="Helvetica"/>
                <w:b w:val="0"/>
                <w:i w:val="0"/>
                <w:color w:val="000000"/>
                <w:sz w:val="20"/>
              </w:rPr>
              <w:t>Exclusive of VAT and any applicable withholding or statutory taxes, unless written otherwise</w:t>
            </w:r>
          </w:p>
        </w:tc>
      </w:tr>
      <w:tr>
        <w:tc>
          <w:tcPr>
            <w:tcW w:type="dxa" w:w="7625"/>
            <w:tcMar>
              <w:top w:w="90" w:type="dxa"/>
              <w:start w:w="120" w:type="dxa"/>
              <w:bottom w:w="90" w:type="dxa"/>
              <w:end w:w="120" w:type="dxa"/>
            </w:tcMar>
            <w:shd w:fill="FFFFFF"/>
            <w:tcBorders>
              <w:bottom w:val="single" w:sz="4" w:color="D8DEE3"/>
            </w:tcBorders>
            <w:vAlign w:val="center"/>
          </w:tcPr>
          <w:p>
            <w:pPr>
              <w:spacing w:after="0"/>
            </w:pPr>
            <w:r>
              <w:rPr>
                <w:rFonts w:ascii="Helvetica" w:hAnsi="Helvetica"/>
                <w:b/>
                <w:i w:val="0"/>
                <w:color w:val="000000"/>
                <w:sz w:val="20"/>
              </w:rPr>
              <w:t>PAYMENT ACCOUNT</w:t>
            </w:r>
          </w:p>
        </w:tc>
        <w:tc>
          <w:tcPr>
            <w:tcW w:type="dxa" w:w="7625"/>
            <w:tcMar>
              <w:top w:w="90" w:type="dxa"/>
              <w:start w:w="120" w:type="dxa"/>
              <w:bottom w:w="90" w:type="dxa"/>
              <w:end w:w="120" w:type="dxa"/>
            </w:tcMar>
            <w:tcBorders>
              <w:bottom w:val="single" w:sz="4" w:color="D8DEE3"/>
            </w:tcBorders>
            <w:vAlign w:val="center"/>
          </w:tcPr>
          <w:p>
            <w:pPr>
              <w:spacing w:after="0"/>
            </w:pPr>
            <w:r>
              <w:rPr>
                <w:rFonts w:ascii="Helvetica" w:hAnsi="Helvetica"/>
                <w:b w:val="0"/>
                <w:i w:val="0"/>
                <w:color w:val="000000"/>
                <w:sz w:val="20"/>
              </w:rPr>
              <w:t>To be stated on the Architect’s invoice</w:t>
            </w:r>
          </w:p>
        </w:tc>
      </w:tr>
    </w:tbl>
    <w:p>
      <w:pPr>
        <w:spacing w:after="0"/>
      </w:pPr>
    </w:p>
    <w:tbl>
      <w:tblPr>
        <w:tblW w:type="auto" w:w="0"/>
        <w:jc w:val="center"/>
        <w:tblLayout w:type="fixed"/>
        <w:tblLook w:firstColumn="1" w:firstRow="1" w:lastColumn="0" w:lastRow="0" w:noHBand="0" w:noVBand="1" w:val="04A0"/>
      </w:tblPr>
      <w:tblGrid>
        <w:gridCol w:w="3812"/>
        <w:gridCol w:w="3812"/>
        <w:gridCol w:w="3812"/>
        <w:gridCol w:w="3812"/>
      </w:tblGrid>
      <w:tr>
        <w:trPr>
          <w:tblHeader w:val="true"/>
        </w:trPr>
        <w:tc>
          <w:tcPr>
            <w:tcW w:type="dxa" w:w="1080"/>
            <w:shd w:fill="000000"/>
            <w:tcMar>
              <w:top w:w="90" w:type="dxa"/>
              <w:start w:w="120" w:type="dxa"/>
              <w:bottom w:w="90" w:type="dxa"/>
              <w:end w:w="120" w:type="dxa"/>
            </w:tcMar>
          </w:tcPr>
          <w:p>
            <w:pPr>
              <w:spacing w:after="0"/>
            </w:pPr>
            <w:r>
              <w:rPr>
                <w:rFonts w:ascii="Helvetica" w:hAnsi="Helvetica"/>
                <w:b/>
                <w:i w:val="0"/>
                <w:color w:val="FFFFFF"/>
                <w:sz w:val="20"/>
              </w:rPr>
              <w:t>No.</w:t>
            </w:r>
          </w:p>
        </w:tc>
        <w:tc>
          <w:tcPr>
            <w:tcW w:type="dxa" w:w="7992"/>
            <w:shd w:fill="000000"/>
            <w:tcMar>
              <w:top w:w="90" w:type="dxa"/>
              <w:start w:w="120" w:type="dxa"/>
              <w:bottom w:w="90" w:type="dxa"/>
              <w:end w:w="120" w:type="dxa"/>
            </w:tcMar>
          </w:tcPr>
          <w:p>
            <w:pPr>
              <w:spacing w:after="0"/>
            </w:pPr>
            <w:r>
              <w:rPr>
                <w:rFonts w:ascii="Helvetica" w:hAnsi="Helvetica"/>
                <w:b/>
                <w:i w:val="0"/>
                <w:color w:val="FFFFFF"/>
                <w:sz w:val="20"/>
              </w:rPr>
              <w:t>Milestone</w:t>
            </w:r>
          </w:p>
        </w:tc>
        <w:tc>
          <w:tcPr>
            <w:tcW w:type="dxa" w:w="1872"/>
            <w:shd w:fill="000000"/>
            <w:tcMar>
              <w:top w:w="90" w:type="dxa"/>
              <w:start w:w="120" w:type="dxa"/>
              <w:bottom w:w="90" w:type="dxa"/>
              <w:end w:w="120" w:type="dxa"/>
            </w:tcMar>
          </w:tcPr>
          <w:p>
            <w:pPr>
              <w:spacing w:after="0"/>
            </w:pPr>
            <w:r>
              <w:rPr>
                <w:rFonts w:ascii="Helvetica" w:hAnsi="Helvetica"/>
                <w:b/>
                <w:i w:val="0"/>
                <w:color w:val="FFFFFF"/>
                <w:sz w:val="20"/>
              </w:rPr>
              <w:t>%</w:t>
            </w:r>
          </w:p>
        </w:tc>
        <w:tc>
          <w:tcPr>
            <w:tcW w:type="dxa" w:w="4320"/>
            <w:shd w:fill="000000"/>
            <w:tcMar>
              <w:top w:w="90" w:type="dxa"/>
              <w:start w:w="120" w:type="dxa"/>
              <w:bottom w:w="90" w:type="dxa"/>
              <w:end w:w="120" w:type="dxa"/>
            </w:tcMar>
          </w:tcPr>
          <w:p>
            <w:pPr>
              <w:spacing w:after="0"/>
            </w:pPr>
            <w:r>
              <w:rPr>
                <w:rFonts w:ascii="Helvetica" w:hAnsi="Helvetica"/>
                <w:b/>
                <w:i w:val="0"/>
                <w:color w:val="FFFFFF"/>
                <w:sz w:val="20"/>
              </w:rPr>
              <w:t>Amount</w:t>
            </w:r>
          </w:p>
        </w:tc>
      </w:tr>
      <w:tr>
        <w:tc>
          <w:tcPr>
            <w:tcW w:type="dxa" w:w="3812"/>
            <w:tcMar>
              <w:top w:w="90" w:type="dxa"/>
              <w:start w:w="120" w:type="dxa"/>
              <w:bottom w:w="90" w:type="dxa"/>
              <w:end w:w="120" w:type="dxa"/>
            </w:tcMar>
            <w:tcBorders>
              <w:bottom w:val="single" w:sz="4" w:color="D8DEE3"/>
            </w:tcBorders>
          </w:tcPr>
          <w:p>
            <w:pPr>
              <w:spacing w:after="0"/>
            </w:pPr>
            <w:r>
              <w:rPr>
                <w:rFonts w:ascii="Helvetica" w:hAnsi="Helvetica"/>
                <w:b w:val="0"/>
                <w:i w:val="0"/>
                <w:color w:val="000000"/>
                <w:sz w:val="20"/>
              </w:rPr>
              <w:t>1</w:t>
            </w:r>
          </w:p>
        </w:tc>
        <w:tc>
          <w:tcPr>
            <w:tcW w:type="dxa" w:w="3812"/>
            <w:tcMar>
              <w:top w:w="90" w:type="dxa"/>
              <w:start w:w="120" w:type="dxa"/>
              <w:bottom w:w="90" w:type="dxa"/>
              <w:end w:w="120" w:type="dxa"/>
            </w:tcMar>
            <w:tcBorders>
              <w:bottom w:val="single" w:sz="4" w:color="D8DEE3"/>
            </w:tcBorders>
          </w:tcPr>
          <w:p>
            <w:pPr>
              <w:spacing w:after="0"/>
            </w:pPr>
            <w:r>
              <w:rPr>
                <w:rFonts w:ascii="Helvetica" w:hAnsi="Helvetica"/>
                <w:b w:val="0"/>
                <w:i w:val="0"/>
                <w:color w:val="000000"/>
                <w:sz w:val="20"/>
              </w:rPr>
              <w:t>Schematic Design - due upon signing and before commencement</w:t>
            </w:r>
          </w:p>
        </w:tc>
        <w:tc>
          <w:tcPr>
            <w:tcW w:type="dxa" w:w="3812"/>
            <w:tcMar>
              <w:top w:w="90" w:type="dxa"/>
              <w:start w:w="120" w:type="dxa"/>
              <w:bottom w:w="90" w:type="dxa"/>
              <w:end w:w="120" w:type="dxa"/>
            </w:tcMar>
            <w:tcBorders>
              <w:bottom w:val="single" w:sz="4" w:color="D8DEE3"/>
            </w:tcBorders>
          </w:tcPr>
          <w:p>
            <w:pPr>
              <w:spacing w:after="0"/>
            </w:pPr>
            <w:r>
              <w:rPr>
                <w:rFonts w:ascii="Helvetica" w:hAnsi="Helvetica"/>
                <w:b/>
                <w:i w:val="0"/>
                <w:color w:val="000000"/>
                <w:sz w:val="20"/>
              </w:rPr>
              <w:t>25%</w:t>
            </w:r>
          </w:p>
        </w:tc>
        <w:tc>
          <w:tcPr>
            <w:tcW w:type="dxa" w:w="3812"/>
            <w:tcMar>
              <w:top w:w="90" w:type="dxa"/>
              <w:start w:w="120" w:type="dxa"/>
              <w:bottom w:w="90" w:type="dxa"/>
              <w:end w:w="120" w:type="dxa"/>
            </w:tcMar>
            <w:tcBorders>
              <w:bottom w:val="single" w:sz="4" w:color="D8DEE3"/>
            </w:tcBorders>
          </w:tcPr>
          <w:p>
            <w:pPr>
              <w:spacing w:after="0"/>
            </w:pPr>
            <w:r>
              <w:rPr>
                <w:rFonts w:ascii="Helvetica" w:hAnsi="Helvetica"/>
                <w:b w:val="0"/>
                <w:i w:val="0"/>
                <w:color w:val="000000"/>
                <w:sz w:val="20"/>
              </w:rPr>
              <w:t>USD 9,137.50</w:t>
            </w:r>
          </w:p>
        </w:tc>
      </w:tr>
      <w:tr>
        <w:tc>
          <w:tcPr>
            <w:tcW w:type="dxa" w:w="3812"/>
            <w:tcMar>
              <w:top w:w="90" w:type="dxa"/>
              <w:start w:w="120" w:type="dxa"/>
              <w:bottom w:w="90" w:type="dxa"/>
              <w:end w:w="120" w:type="dxa"/>
            </w:tcMar>
            <w:tcBorders>
              <w:bottom w:val="single" w:sz="4" w:color="D8DEE3"/>
            </w:tcBorders>
          </w:tcPr>
          <w:p>
            <w:pPr>
              <w:spacing w:after="0"/>
            </w:pPr>
            <w:r>
              <w:rPr>
                <w:rFonts w:ascii="Helvetica" w:hAnsi="Helvetica"/>
                <w:b w:val="0"/>
                <w:i w:val="0"/>
                <w:color w:val="000000"/>
                <w:sz w:val="20"/>
              </w:rPr>
              <w:t>2</w:t>
            </w:r>
          </w:p>
        </w:tc>
        <w:tc>
          <w:tcPr>
            <w:tcW w:type="dxa" w:w="3812"/>
            <w:tcMar>
              <w:top w:w="90" w:type="dxa"/>
              <w:start w:w="120" w:type="dxa"/>
              <w:bottom w:w="90" w:type="dxa"/>
              <w:end w:w="120" w:type="dxa"/>
            </w:tcMar>
            <w:tcBorders>
              <w:bottom w:val="single" w:sz="4" w:color="D8DEE3"/>
            </w:tcBorders>
          </w:tcPr>
          <w:p>
            <w:pPr>
              <w:spacing w:after="0"/>
            </w:pPr>
            <w:r>
              <w:rPr>
                <w:rFonts w:ascii="Helvetica" w:hAnsi="Helvetica"/>
                <w:b w:val="0"/>
                <w:i w:val="0"/>
                <w:color w:val="000000"/>
                <w:sz w:val="20"/>
              </w:rPr>
              <w:t>Design Development &amp; Permit Drawings - due before Phase 2</w:t>
            </w:r>
          </w:p>
        </w:tc>
        <w:tc>
          <w:tcPr>
            <w:tcW w:type="dxa" w:w="3812"/>
            <w:tcMar>
              <w:top w:w="90" w:type="dxa"/>
              <w:start w:w="120" w:type="dxa"/>
              <w:bottom w:w="90" w:type="dxa"/>
              <w:end w:w="120" w:type="dxa"/>
            </w:tcMar>
            <w:tcBorders>
              <w:bottom w:val="single" w:sz="4" w:color="D8DEE3"/>
            </w:tcBorders>
          </w:tcPr>
          <w:p>
            <w:pPr>
              <w:spacing w:after="0"/>
            </w:pPr>
            <w:r>
              <w:rPr>
                <w:rFonts w:ascii="Helvetica" w:hAnsi="Helvetica"/>
                <w:b/>
                <w:i w:val="0"/>
                <w:color w:val="000000"/>
                <w:sz w:val="20"/>
              </w:rPr>
              <w:t>25%</w:t>
            </w:r>
          </w:p>
        </w:tc>
        <w:tc>
          <w:tcPr>
            <w:tcW w:type="dxa" w:w="3812"/>
            <w:tcMar>
              <w:top w:w="90" w:type="dxa"/>
              <w:start w:w="120" w:type="dxa"/>
              <w:bottom w:w="90" w:type="dxa"/>
              <w:end w:w="120" w:type="dxa"/>
            </w:tcMar>
            <w:tcBorders>
              <w:bottom w:val="single" w:sz="4" w:color="D8DEE3"/>
            </w:tcBorders>
          </w:tcPr>
          <w:p>
            <w:pPr>
              <w:spacing w:after="0"/>
            </w:pPr>
            <w:r>
              <w:rPr>
                <w:rFonts w:ascii="Helvetica" w:hAnsi="Helvetica"/>
                <w:b w:val="0"/>
                <w:i w:val="0"/>
                <w:color w:val="000000"/>
                <w:sz w:val="20"/>
              </w:rPr>
              <w:t>USD 9,137.50</w:t>
            </w:r>
          </w:p>
        </w:tc>
      </w:tr>
      <w:tr>
        <w:tc>
          <w:tcPr>
            <w:tcW w:type="dxa" w:w="3812"/>
            <w:tcMar>
              <w:top w:w="90" w:type="dxa"/>
              <w:start w:w="120" w:type="dxa"/>
              <w:bottom w:w="90" w:type="dxa"/>
              <w:end w:w="120" w:type="dxa"/>
            </w:tcMar>
            <w:tcBorders>
              <w:bottom w:val="single" w:sz="4" w:color="D8DEE3"/>
            </w:tcBorders>
          </w:tcPr>
          <w:p>
            <w:pPr>
              <w:spacing w:after="0"/>
            </w:pPr>
            <w:r>
              <w:rPr>
                <w:rFonts w:ascii="Helvetica" w:hAnsi="Helvetica"/>
                <w:b w:val="0"/>
                <w:i w:val="0"/>
                <w:color w:val="000000"/>
                <w:sz w:val="20"/>
              </w:rPr>
              <w:t>3</w:t>
            </w:r>
          </w:p>
        </w:tc>
        <w:tc>
          <w:tcPr>
            <w:tcW w:type="dxa" w:w="3812"/>
            <w:tcMar>
              <w:top w:w="90" w:type="dxa"/>
              <w:start w:w="120" w:type="dxa"/>
              <w:bottom w:w="90" w:type="dxa"/>
              <w:end w:w="120" w:type="dxa"/>
            </w:tcMar>
            <w:tcBorders>
              <w:bottom w:val="single" w:sz="4" w:color="D8DEE3"/>
            </w:tcBorders>
          </w:tcPr>
          <w:p>
            <w:pPr>
              <w:spacing w:after="0"/>
            </w:pPr>
            <w:r>
              <w:rPr>
                <w:rFonts w:ascii="Helvetica" w:hAnsi="Helvetica"/>
                <w:b w:val="0"/>
                <w:i w:val="0"/>
                <w:color w:val="000000"/>
                <w:sz w:val="20"/>
              </w:rPr>
              <w:t>Execution Design &amp; Architectural Renderings - due before Phase 3</w:t>
            </w:r>
          </w:p>
        </w:tc>
        <w:tc>
          <w:tcPr>
            <w:tcW w:type="dxa" w:w="3812"/>
            <w:tcMar>
              <w:top w:w="90" w:type="dxa"/>
              <w:start w:w="120" w:type="dxa"/>
              <w:bottom w:w="90" w:type="dxa"/>
              <w:end w:w="120" w:type="dxa"/>
            </w:tcMar>
            <w:tcBorders>
              <w:bottom w:val="single" w:sz="4" w:color="D8DEE3"/>
            </w:tcBorders>
          </w:tcPr>
          <w:p>
            <w:pPr>
              <w:spacing w:after="0"/>
            </w:pPr>
            <w:r>
              <w:rPr>
                <w:rFonts w:ascii="Helvetica" w:hAnsi="Helvetica"/>
                <w:b/>
                <w:i w:val="0"/>
                <w:color w:val="000000"/>
                <w:sz w:val="20"/>
              </w:rPr>
              <w:t>25%</w:t>
            </w:r>
          </w:p>
        </w:tc>
        <w:tc>
          <w:tcPr>
            <w:tcW w:type="dxa" w:w="3812"/>
            <w:tcMar>
              <w:top w:w="90" w:type="dxa"/>
              <w:start w:w="120" w:type="dxa"/>
              <w:bottom w:w="90" w:type="dxa"/>
              <w:end w:w="120" w:type="dxa"/>
            </w:tcMar>
            <w:tcBorders>
              <w:bottom w:val="single" w:sz="4" w:color="D8DEE3"/>
            </w:tcBorders>
          </w:tcPr>
          <w:p>
            <w:pPr>
              <w:spacing w:after="0"/>
            </w:pPr>
            <w:r>
              <w:rPr>
                <w:rFonts w:ascii="Helvetica" w:hAnsi="Helvetica"/>
                <w:b w:val="0"/>
                <w:i w:val="0"/>
                <w:color w:val="000000"/>
                <w:sz w:val="20"/>
              </w:rPr>
              <w:t>USD 9,137.50</w:t>
            </w:r>
          </w:p>
        </w:tc>
      </w:tr>
      <w:tr>
        <w:tc>
          <w:tcPr>
            <w:tcW w:type="dxa" w:w="3812"/>
            <w:tcMar>
              <w:top w:w="90" w:type="dxa"/>
              <w:start w:w="120" w:type="dxa"/>
              <w:bottom w:w="90" w:type="dxa"/>
              <w:end w:w="120" w:type="dxa"/>
            </w:tcMar>
            <w:tcBorders>
              <w:bottom w:val="single" w:sz="4" w:color="D8DEE3"/>
            </w:tcBorders>
          </w:tcPr>
          <w:p>
            <w:pPr>
              <w:spacing w:after="0"/>
            </w:pPr>
            <w:r>
              <w:rPr>
                <w:rFonts w:ascii="Helvetica" w:hAnsi="Helvetica"/>
                <w:b w:val="0"/>
                <w:i w:val="0"/>
                <w:color w:val="000000"/>
                <w:sz w:val="20"/>
              </w:rPr>
              <w:t>4</w:t>
            </w:r>
          </w:p>
        </w:tc>
        <w:tc>
          <w:tcPr>
            <w:tcW w:type="dxa" w:w="3812"/>
            <w:tcMar>
              <w:top w:w="90" w:type="dxa"/>
              <w:start w:w="120" w:type="dxa"/>
              <w:bottom w:w="90" w:type="dxa"/>
              <w:end w:w="120" w:type="dxa"/>
            </w:tcMar>
            <w:tcBorders>
              <w:bottom w:val="single" w:sz="4" w:color="D8DEE3"/>
            </w:tcBorders>
          </w:tcPr>
          <w:p>
            <w:pPr>
              <w:spacing w:after="0"/>
            </w:pPr>
            <w:r>
              <w:rPr>
                <w:rFonts w:ascii="Helvetica" w:hAnsi="Helvetica"/>
                <w:b w:val="0"/>
                <w:i w:val="0"/>
                <w:color w:val="000000"/>
                <w:sz w:val="20"/>
              </w:rPr>
              <w:t>Visuals &amp; Marketing Materials - due before Phase 4</w:t>
            </w:r>
          </w:p>
        </w:tc>
        <w:tc>
          <w:tcPr>
            <w:tcW w:type="dxa" w:w="3812"/>
            <w:tcMar>
              <w:top w:w="90" w:type="dxa"/>
              <w:start w:w="120" w:type="dxa"/>
              <w:bottom w:w="90" w:type="dxa"/>
              <w:end w:w="120" w:type="dxa"/>
            </w:tcMar>
            <w:tcBorders>
              <w:bottom w:val="single" w:sz="4" w:color="D8DEE3"/>
            </w:tcBorders>
          </w:tcPr>
          <w:p>
            <w:pPr>
              <w:spacing w:after="0"/>
            </w:pPr>
            <w:r>
              <w:rPr>
                <w:rFonts w:ascii="Helvetica" w:hAnsi="Helvetica"/>
                <w:b/>
                <w:i w:val="0"/>
                <w:color w:val="000000"/>
                <w:sz w:val="20"/>
              </w:rPr>
              <w:t>15%</w:t>
            </w:r>
          </w:p>
        </w:tc>
        <w:tc>
          <w:tcPr>
            <w:tcW w:type="dxa" w:w="3812"/>
            <w:tcMar>
              <w:top w:w="90" w:type="dxa"/>
              <w:start w:w="120" w:type="dxa"/>
              <w:bottom w:w="90" w:type="dxa"/>
              <w:end w:w="120" w:type="dxa"/>
            </w:tcMar>
            <w:tcBorders>
              <w:bottom w:val="single" w:sz="4" w:color="D8DEE3"/>
            </w:tcBorders>
          </w:tcPr>
          <w:p>
            <w:pPr>
              <w:spacing w:after="0"/>
            </w:pPr>
            <w:r>
              <w:rPr>
                <w:rFonts w:ascii="Helvetica" w:hAnsi="Helvetica"/>
                <w:b w:val="0"/>
                <w:i w:val="0"/>
                <w:color w:val="000000"/>
                <w:sz w:val="20"/>
              </w:rPr>
              <w:t>USD 5,482.50</w:t>
            </w:r>
          </w:p>
        </w:tc>
      </w:tr>
      <w:tr>
        <w:tc>
          <w:tcPr>
            <w:tcW w:type="dxa" w:w="3812"/>
            <w:tcMar>
              <w:top w:w="90" w:type="dxa"/>
              <w:start w:w="120" w:type="dxa"/>
              <w:bottom w:w="90" w:type="dxa"/>
              <w:end w:w="120" w:type="dxa"/>
            </w:tcMar>
            <w:tcBorders>
              <w:bottom w:val="single" w:sz="4" w:color="D8DEE3"/>
            </w:tcBorders>
          </w:tcPr>
          <w:p>
            <w:pPr>
              <w:spacing w:after="0"/>
            </w:pPr>
            <w:r>
              <w:rPr>
                <w:rFonts w:ascii="Helvetica" w:hAnsi="Helvetica"/>
                <w:b w:val="0"/>
                <w:i w:val="0"/>
                <w:color w:val="000000"/>
                <w:sz w:val="20"/>
              </w:rPr>
              <w:t>5</w:t>
            </w:r>
          </w:p>
        </w:tc>
        <w:tc>
          <w:tcPr>
            <w:tcW w:type="dxa" w:w="3812"/>
            <w:tcMar>
              <w:top w:w="90" w:type="dxa"/>
              <w:start w:w="120" w:type="dxa"/>
              <w:bottom w:w="90" w:type="dxa"/>
              <w:end w:w="120" w:type="dxa"/>
            </w:tcMar>
            <w:tcBorders>
              <w:bottom w:val="single" w:sz="4" w:color="D8DEE3"/>
            </w:tcBorders>
          </w:tcPr>
          <w:p>
            <w:pPr>
              <w:spacing w:after="0"/>
            </w:pPr>
            <w:r>
              <w:rPr>
                <w:rFonts w:ascii="Helvetica" w:hAnsi="Helvetica"/>
                <w:b w:val="0"/>
                <w:i w:val="0"/>
                <w:color w:val="000000"/>
                <w:sz w:val="20"/>
              </w:rPr>
              <w:t>Finalization &amp; Design Follow-up - due before Phase 5</w:t>
            </w:r>
          </w:p>
        </w:tc>
        <w:tc>
          <w:tcPr>
            <w:tcW w:type="dxa" w:w="3812"/>
            <w:tcMar>
              <w:top w:w="90" w:type="dxa"/>
              <w:start w:w="120" w:type="dxa"/>
              <w:bottom w:w="90" w:type="dxa"/>
              <w:end w:w="120" w:type="dxa"/>
            </w:tcMar>
            <w:tcBorders>
              <w:bottom w:val="single" w:sz="4" w:color="D8DEE3"/>
            </w:tcBorders>
          </w:tcPr>
          <w:p>
            <w:pPr>
              <w:spacing w:after="0"/>
            </w:pPr>
            <w:r>
              <w:rPr>
                <w:rFonts w:ascii="Helvetica" w:hAnsi="Helvetica"/>
                <w:b/>
                <w:i w:val="0"/>
                <w:color w:val="000000"/>
                <w:sz w:val="20"/>
              </w:rPr>
              <w:t>10%</w:t>
            </w:r>
          </w:p>
        </w:tc>
        <w:tc>
          <w:tcPr>
            <w:tcW w:type="dxa" w:w="3812"/>
            <w:tcMar>
              <w:top w:w="90" w:type="dxa"/>
              <w:start w:w="120" w:type="dxa"/>
              <w:bottom w:w="90" w:type="dxa"/>
              <w:end w:w="120" w:type="dxa"/>
            </w:tcMar>
            <w:tcBorders>
              <w:bottom w:val="single" w:sz="4" w:color="D8DEE3"/>
            </w:tcBorders>
          </w:tcPr>
          <w:p>
            <w:pPr>
              <w:spacing w:after="0"/>
            </w:pPr>
            <w:r>
              <w:rPr>
                <w:rFonts w:ascii="Helvetica" w:hAnsi="Helvetica"/>
                <w:b w:val="0"/>
                <w:i w:val="0"/>
                <w:color w:val="000000"/>
                <w:sz w:val="20"/>
              </w:rPr>
              <w:t>USD 3,655.00</w:t>
            </w:r>
          </w:p>
        </w:tc>
      </w:tr>
    </w:tbl>
    <w:p>
      <w:pPr>
        <w:pStyle w:val="Heading2"/>
        <w:keepNext/>
      </w:pPr>
      <w:r>
        <w:t>Payment Conditions</w:t>
      </w:r>
    </w:p>
    <w:p>
      <w:pPr>
        <w:pStyle w:val="ListBullet"/>
        <w:spacing w:after="50" w:line="252" w:lineRule="auto"/>
      </w:pPr>
      <w:r>
        <w:rPr>
          <w:rFonts w:ascii="Helvetica" w:hAnsi="Helvetica"/>
          <w:b w:val="0"/>
          <w:i w:val="0"/>
          <w:color w:val="000000"/>
          <w:sz w:val="20"/>
        </w:rPr>
        <w:t>Invoices are payable within seven calendar days of issue.</w:t>
      </w:r>
    </w:p>
    <w:p>
      <w:pPr>
        <w:pStyle w:val="ListBullet"/>
        <w:spacing w:after="50" w:line="252" w:lineRule="auto"/>
      </w:pPr>
      <w:r>
        <w:rPr>
          <w:rFonts w:ascii="Helvetica" w:hAnsi="Helvetica"/>
          <w:b w:val="0"/>
          <w:i w:val="0"/>
          <w:color w:val="000000"/>
          <w:sz w:val="20"/>
        </w:rPr>
        <w:t>The Architect may pause work where an invoice remains unpaid after written notice. The programme will be adjusted for the resulting delay.</w:t>
      </w:r>
    </w:p>
    <w:p>
      <w:pPr>
        <w:pStyle w:val="ListBullet"/>
        <w:spacing w:after="50" w:line="252" w:lineRule="auto"/>
      </w:pPr>
      <w:r>
        <w:rPr>
          <w:rFonts w:ascii="Helvetica" w:hAnsi="Helvetica"/>
          <w:b w:val="0"/>
          <w:i w:val="0"/>
          <w:color w:val="000000"/>
          <w:sz w:val="20"/>
        </w:rPr>
        <w:t>Payments for work already performed are non-refundable. Any bank transfer, currency conversion or intermediary charges are borne by the Client.</w:t>
      </w:r>
    </w:p>
    <w:p>
      <w:pPr>
        <w:pStyle w:val="ListBullet"/>
        <w:spacing w:after="50" w:line="252" w:lineRule="auto"/>
      </w:pPr>
      <w:r>
        <w:rPr>
          <w:rFonts w:ascii="Helvetica" w:hAnsi="Helvetica"/>
          <w:b w:val="0"/>
          <w:i w:val="0"/>
          <w:color w:val="000000"/>
          <w:sz w:val="20"/>
        </w:rPr>
        <w:t>Additional services will commence only after written approval of their scope and fee or hourly/daily rate.</w:t>
      </w:r>
    </w:p>
    <w:p>
      <w:pPr>
        <w:pStyle w:val="Heading1"/>
        <w:keepNext/>
      </w:pPr>
      <w:r>
        <w:t>8. Services Not Included</w:t>
      </w:r>
    </w:p>
    <w:p>
      <w:pPr>
        <w:spacing w:after="100" w:line="259" w:lineRule="auto"/>
      </w:pPr>
      <w:r>
        <w:rPr>
          <w:rFonts w:ascii="Helvetica" w:hAnsi="Helvetica"/>
          <w:b w:val="0"/>
          <w:i w:val="0"/>
          <w:color w:val="000000"/>
          <w:sz w:val="20"/>
        </w:rPr>
        <w:t>Unless expressly added through a written amendment, the fee excludes:</w:t>
      </w:r>
    </w:p>
    <w:p>
      <w:pPr>
        <w:pStyle w:val="ListBullet"/>
        <w:spacing w:after="50" w:line="252" w:lineRule="auto"/>
      </w:pPr>
      <w:r>
        <w:rPr>
          <w:rFonts w:ascii="Helvetica" w:hAnsi="Helvetica"/>
          <w:b w:val="0"/>
          <w:i w:val="0"/>
          <w:color w:val="000000"/>
          <w:sz w:val="20"/>
        </w:rPr>
        <w:t>Structural, civil, MEP, fire, geotechnical, landscape, traffic, environmental, acoustic, lighting, kitchen, signage and other specialist design services;</w:t>
      </w:r>
    </w:p>
    <w:p>
      <w:pPr>
        <w:pStyle w:val="ListBullet"/>
        <w:spacing w:after="50" w:line="252" w:lineRule="auto"/>
      </w:pPr>
      <w:r>
        <w:rPr>
          <w:rFonts w:ascii="Helvetica" w:hAnsi="Helvetica"/>
          <w:b w:val="0"/>
          <w:i w:val="0"/>
          <w:color w:val="000000"/>
          <w:sz w:val="20"/>
        </w:rPr>
        <w:t>Bills of quantities, cost consultancy, tender administration, contractor procurement and construction management;</w:t>
      </w:r>
    </w:p>
    <w:p>
      <w:pPr>
        <w:pStyle w:val="ListBullet"/>
        <w:spacing w:after="50" w:line="252" w:lineRule="auto"/>
      </w:pPr>
      <w:r>
        <w:rPr>
          <w:rFonts w:ascii="Helvetica" w:hAnsi="Helvetica"/>
          <w:b w:val="0"/>
          <w:i w:val="0"/>
          <w:color w:val="000000"/>
          <w:sz w:val="20"/>
        </w:rPr>
        <w:t>Continuous site supervision, clerk-of-works services, contractor means and methods, health and safety responsibility, or certification of construction;</w:t>
      </w:r>
    </w:p>
    <w:p>
      <w:pPr>
        <w:pStyle w:val="ListBullet"/>
        <w:spacing w:after="50" w:line="252" w:lineRule="auto"/>
      </w:pPr>
      <w:r>
        <w:rPr>
          <w:rFonts w:ascii="Helvetica" w:hAnsi="Helvetica"/>
          <w:b w:val="0"/>
          <w:i w:val="0"/>
          <w:color w:val="000000"/>
          <w:sz w:val="20"/>
        </w:rPr>
        <w:t>Measured surveys, legal/title verification, authority and permit fees, physical models, printing, travel and accommodation; and</w:t>
      </w:r>
    </w:p>
    <w:p>
      <w:pPr>
        <w:pStyle w:val="ListBullet"/>
        <w:spacing w:after="50" w:line="252" w:lineRule="auto"/>
      </w:pPr>
      <w:r>
        <w:rPr>
          <w:rFonts w:ascii="Helvetica" w:hAnsi="Helvetica"/>
          <w:b w:val="0"/>
          <w:i w:val="0"/>
          <w:color w:val="000000"/>
          <w:sz w:val="20"/>
        </w:rPr>
        <w:t>Full interior-design packages, detailed joinery, furniture procurement, branding, animation, website development and post-occupancy services.</w:t>
      </w:r>
    </w:p>
    <w:p>
      <w:pPr>
        <w:pStyle w:val="ListBullet"/>
        <w:spacing w:after="50" w:line="252" w:lineRule="auto"/>
      </w:pPr>
      <w:r>
        <w:rPr>
          <w:rFonts w:ascii="Helvetica" w:hAnsi="Helvetica"/>
          <w:b w:val="0"/>
          <w:i w:val="0"/>
          <w:color w:val="000000"/>
          <w:sz w:val="20"/>
        </w:rPr>
        <w:t>For the smaller adjoining plot: permit drawings, authority submissions, design development, execution drawings, detailed interior design, tender documents, construction coordination and site supervision.</w:t>
      </w:r>
    </w:p>
    <w:p>
      <w:pPr>
        <w:pStyle w:val="Heading1"/>
        <w:keepNext/>
      </w:pPr>
      <w:r>
        <w:t>9. Principal Terms</w:t>
      </w:r>
    </w:p>
    <w:p>
      <w:pPr>
        <w:keepNext/>
        <w:spacing w:before="80" w:after="60"/>
      </w:pPr>
      <w:r>
        <w:rPr>
          <w:rFonts w:ascii="Helvetica" w:hAnsi="Helvetica"/>
          <w:b/>
          <w:i w:val="0"/>
          <w:color w:val="000000"/>
          <w:sz w:val="21"/>
        </w:rPr>
        <w:t>9.1. Preliminary information</w:t>
      </w:r>
    </w:p>
    <w:p>
      <w:pPr>
        <w:spacing w:after="100" w:line="259" w:lineRule="auto"/>
      </w:pPr>
      <w:r>
        <w:rPr>
          <w:rFonts w:ascii="Helvetica" w:hAnsi="Helvetica"/>
          <w:b w:val="0"/>
          <w:i w:val="0"/>
          <w:color w:val="000000"/>
          <w:sz w:val="20"/>
        </w:rPr>
        <w:t>The project areas, height, coefficients and development potential in this Agreement are preliminary assumptions for defining scope and fee. They do not constitute a survey, title opinion, permit approval, legal development-right confirmation or construction guarantee. All parameters are subject to verification against the official survey, cadastral records, setbacks, road alignments, parking, accessibility, fire-safety, structural, services and authority requirements.</w:t>
      </w:r>
    </w:p>
    <w:p>
      <w:pPr>
        <w:keepNext/>
        <w:spacing w:before="80" w:after="60"/>
      </w:pPr>
      <w:r>
        <w:rPr>
          <w:rFonts w:ascii="Helvetica" w:hAnsi="Helvetica"/>
          <w:b/>
          <w:i w:val="0"/>
          <w:color w:val="000000"/>
          <w:sz w:val="21"/>
        </w:rPr>
        <w:t>9.2. Programme</w:t>
      </w:r>
    </w:p>
    <w:p>
      <w:pPr>
        <w:spacing w:after="100" w:line="259" w:lineRule="auto"/>
      </w:pPr>
      <w:r>
        <w:rPr>
          <w:rFonts w:ascii="Helvetica" w:hAnsi="Helvetica"/>
          <w:b w:val="0"/>
          <w:i w:val="0"/>
          <w:color w:val="000000"/>
          <w:sz w:val="20"/>
        </w:rPr>
        <w:t>The Architect will prepare an indicative programme once the required information, consultant appointments and Client decision dates are confirmed. Authority review periods, third-party performance and delays caused by incomplete or changed information are outside the Architect’s control and will extend the programme reasonably.</w:t>
      </w:r>
    </w:p>
    <w:p>
      <w:pPr>
        <w:keepNext/>
        <w:spacing w:before="80" w:after="60"/>
      </w:pPr>
      <w:r>
        <w:rPr>
          <w:rFonts w:ascii="Helvetica" w:hAnsi="Helvetica"/>
          <w:b/>
          <w:i w:val="0"/>
          <w:color w:val="000000"/>
          <w:sz w:val="21"/>
        </w:rPr>
        <w:t>9.3. Changes and additional services</w:t>
      </w:r>
    </w:p>
    <w:p>
      <w:pPr>
        <w:spacing w:after="100" w:line="259" w:lineRule="auto"/>
      </w:pPr>
      <w:r>
        <w:rPr>
          <w:rFonts w:ascii="Helvetica" w:hAnsi="Helvetica"/>
          <w:b w:val="0"/>
          <w:i w:val="0"/>
          <w:color w:val="000000"/>
          <w:sz w:val="20"/>
        </w:rPr>
        <w:t>A material change to the plot information, approved programme, development area, number or use of floors, regulations, approved design, Client brief or authority requirements may require a written adjustment to the scope, fee and programme. Work outside the agreed scope will not be undertaken without written authorization, except urgent protective action requested by the Client.</w:t>
      </w:r>
    </w:p>
    <w:p>
      <w:pPr>
        <w:keepNext/>
        <w:spacing w:before="80" w:after="60"/>
      </w:pPr>
      <w:r>
        <w:rPr>
          <w:rFonts w:ascii="Helvetica" w:hAnsi="Helvetica"/>
          <w:b/>
          <w:i w:val="0"/>
          <w:color w:val="000000"/>
          <w:sz w:val="21"/>
        </w:rPr>
        <w:t>9.4. Consultants and coordination</w:t>
      </w:r>
    </w:p>
    <w:p>
      <w:pPr>
        <w:spacing w:after="100" w:line="259" w:lineRule="auto"/>
      </w:pPr>
      <w:r>
        <w:rPr>
          <w:rFonts w:ascii="Helvetica" w:hAnsi="Helvetica"/>
          <w:b w:val="0"/>
          <w:i w:val="0"/>
          <w:color w:val="000000"/>
          <w:sz w:val="20"/>
        </w:rPr>
        <w:t>The Architect may coordinate architectural information with specialist consultants, but each consultant remains responsible for the adequacy, accuracy and compliance of their own design. The Architect is not responsible for contractor workmanship, construction methods or departures from the issued architectural documents.</w:t>
      </w:r>
    </w:p>
    <w:p>
      <w:pPr>
        <w:keepNext/>
        <w:spacing w:before="80" w:after="60"/>
      </w:pPr>
      <w:r>
        <w:rPr>
          <w:rFonts w:ascii="Helvetica" w:hAnsi="Helvetica"/>
          <w:b/>
          <w:i w:val="0"/>
          <w:color w:val="000000"/>
          <w:sz w:val="21"/>
        </w:rPr>
        <w:t>9.5. Intellectual property and use</w:t>
      </w:r>
    </w:p>
    <w:p>
      <w:pPr>
        <w:spacing w:after="100" w:line="259" w:lineRule="auto"/>
      </w:pPr>
      <w:r>
        <w:rPr>
          <w:rFonts w:ascii="Helvetica" w:hAnsi="Helvetica"/>
          <w:b w:val="0"/>
          <w:i w:val="0"/>
          <w:color w:val="000000"/>
          <w:sz w:val="20"/>
        </w:rPr>
        <w:t>The Architect retains copyright and authorship in all drawings, models, images and design material. Once all fees due have been paid, the Client receives a non-exclusive licence to use the issued material solely for this project and site. The material may not be reused, altered by others, sold or applied to another site without the Architect’s written consent. The Architect may photograph and publish the project for professional portfolio purposes, excluding confidential commercial information, unless the Client objects in writing.</w:t>
      </w:r>
    </w:p>
    <w:p>
      <w:pPr>
        <w:keepNext/>
        <w:spacing w:before="80" w:after="60"/>
      </w:pPr>
      <w:r>
        <w:rPr>
          <w:rFonts w:ascii="Helvetica" w:hAnsi="Helvetica"/>
          <w:b/>
          <w:i w:val="0"/>
          <w:color w:val="000000"/>
          <w:sz w:val="21"/>
        </w:rPr>
        <w:t>9.6. Suspension and termination</w:t>
      </w:r>
    </w:p>
    <w:p>
      <w:pPr>
        <w:spacing w:after="100" w:line="259" w:lineRule="auto"/>
      </w:pPr>
      <w:r>
        <w:rPr>
          <w:rFonts w:ascii="Helvetica" w:hAnsi="Helvetica"/>
          <w:b w:val="0"/>
          <w:i w:val="0"/>
          <w:color w:val="000000"/>
          <w:sz w:val="20"/>
        </w:rPr>
        <w:t>Either party may terminate this Agreement by giving 14 calendar days’ written notice. The Client shall pay for all services completed, authorized additional services and committed third-party costs up to the termination date. The Architect may suspend services following written notice of overdue payment, unsafe conditions, unlawful instructions or prolonged Client inactivity.</w:t>
      </w:r>
    </w:p>
    <w:p>
      <w:pPr>
        <w:keepNext/>
        <w:spacing w:before="80" w:after="60"/>
      </w:pPr>
      <w:r>
        <w:rPr>
          <w:rFonts w:ascii="Helvetica" w:hAnsi="Helvetica"/>
          <w:b/>
          <w:i w:val="0"/>
          <w:color w:val="000000"/>
          <w:sz w:val="21"/>
        </w:rPr>
        <w:t>9.7. Professional standard</w:t>
      </w:r>
    </w:p>
    <w:p>
      <w:pPr>
        <w:spacing w:after="100" w:line="259" w:lineRule="auto"/>
      </w:pPr>
      <w:r>
        <w:rPr>
          <w:rFonts w:ascii="Helvetica" w:hAnsi="Helvetica"/>
          <w:b w:val="0"/>
          <w:i w:val="0"/>
          <w:color w:val="000000"/>
          <w:sz w:val="20"/>
        </w:rPr>
        <w:t>The Architect will perform the services with reasonable professional skill and care appropriate to the agreed scope and project stage. No approval, commercial result, construction cost or programme outcome is guaranteed.</w:t>
      </w:r>
    </w:p>
    <w:p>
      <w:pPr>
        <w:keepNext/>
        <w:spacing w:before="80" w:after="60"/>
      </w:pPr>
      <w:r>
        <w:rPr>
          <w:rFonts w:ascii="Helvetica" w:hAnsi="Helvetica"/>
          <w:b/>
          <w:i w:val="0"/>
          <w:color w:val="000000"/>
          <w:sz w:val="21"/>
        </w:rPr>
        <w:t>9.8. Communications and entire preliminary agreement</w:t>
      </w:r>
    </w:p>
    <w:p>
      <w:pPr>
        <w:spacing w:after="100" w:line="259" w:lineRule="auto"/>
      </w:pPr>
      <w:r>
        <w:rPr>
          <w:rFonts w:ascii="Helvetica" w:hAnsi="Helvetica"/>
          <w:b w:val="0"/>
          <w:i w:val="0"/>
          <w:color w:val="000000"/>
          <w:sz w:val="20"/>
        </w:rPr>
        <w:t>Email and signed electronic copies are acceptable for notices, approvals and execution. This document records the current preliminary agreement between the parties and may be amended only in writing and accepted by both parties. A more detailed consultant agreement may replace it by mutual written consent.</w:t>
      </w:r>
    </w:p>
    <w:p>
      <w:pPr>
        <w:keepNext/>
        <w:spacing w:before="80" w:after="60"/>
      </w:pPr>
      <w:r>
        <w:rPr>
          <w:rFonts w:ascii="Helvetica" w:hAnsi="Helvetica"/>
          <w:b/>
          <w:i w:val="0"/>
          <w:color w:val="000000"/>
          <w:sz w:val="21"/>
        </w:rPr>
        <w:t>9.9. Good-faith resolution and governing law</w:t>
      </w:r>
    </w:p>
    <w:p>
      <w:pPr>
        <w:spacing w:after="100" w:line="259" w:lineRule="auto"/>
      </w:pPr>
      <w:r>
        <w:rPr>
          <w:rFonts w:ascii="Helvetica" w:hAnsi="Helvetica"/>
          <w:b w:val="0"/>
          <w:i w:val="0"/>
          <w:color w:val="000000"/>
          <w:sz w:val="20"/>
        </w:rPr>
        <w:t>The parties will first attempt to resolve any disagreement through good-faith negotiation. Unless replaced by a later written agreement, this Agreement is governed by the laws of Lebanon and disputes not resolved amicably shall be referred to the competent courts of Tripoli, Lebanon.</w:t>
      </w:r>
    </w:p>
    <w:p>
      <w:r>
        <w:br w:type="page"/>
      </w:r>
    </w:p>
    <w:p>
      <w:pPr>
        <w:pStyle w:val="Heading1"/>
        <w:keepNext/>
      </w:pPr>
      <w:r>
        <w:t>10. Acceptance and Signatures</w:t>
      </w:r>
    </w:p>
    <w:p>
      <w:pPr>
        <w:spacing w:after="100" w:line="259" w:lineRule="auto"/>
      </w:pPr>
      <w:r>
        <w:rPr>
          <w:rFonts w:ascii="Helvetica" w:hAnsi="Helvetica"/>
          <w:b w:val="0"/>
          <w:i w:val="0"/>
          <w:color w:val="000000"/>
          <w:sz w:val="20"/>
        </w:rPr>
        <w:t>By signing below, the Client and the Architect confirm that they have read, understood and accepted this Professional Fee Offer and Preliminary Agreement, including its scope, assumptions, exclusions, payment schedule and principal terms.</w:t>
      </w:r>
    </w:p>
    <w:tbl>
      <w:tblPr>
        <w:tblW w:type="auto" w:w="0"/>
        <w:jc w:val="center"/>
        <w:tblLayout w:type="fixed"/>
        <w:tblLook w:firstColumn="1" w:firstRow="1" w:lastColumn="0" w:lastRow="0" w:noHBand="0" w:noVBand="1" w:val="04A0"/>
      </w:tblPr>
      <w:tblGrid>
        <w:gridCol w:w="15250"/>
      </w:tblGrid>
      <w:tr>
        <w:tc>
          <w:tcPr>
            <w:tcW w:type="dxa" w:w="15264"/>
            <w:shd w:fill="FFFFFF"/>
            <w:tcMar>
              <w:top w:w="140" w:type="dxa"/>
              <w:start w:w="160" w:type="dxa"/>
              <w:bottom w:w="140" w:type="dxa"/>
              <w:end w:w="160" w:type="dxa"/>
            </w:tcMar>
            <w:tcBorders>
              <w:top w:val="single" w:sz="5" w:color="000000"/>
              <w:left w:val="single" w:sz="5" w:color="000000"/>
              <w:bottom w:val="single" w:sz="5" w:color="000000"/>
              <w:right w:val="single" w:sz="5" w:color="000000"/>
            </w:tcBorders>
          </w:tcPr>
          <w:p>
            <w:pPr>
              <w:spacing w:after="60"/>
            </w:pPr>
            <w:r>
              <w:rPr>
                <w:rFonts w:ascii="Helvetica" w:hAnsi="Helvetica"/>
                <w:b/>
                <w:i w:val="0"/>
                <w:color w:val="000000"/>
                <w:sz w:val="20"/>
              </w:rPr>
              <w:t>AGREED TOTAL PROFESSIONAL FEE</w:t>
            </w:r>
          </w:p>
          <w:p>
            <w:pPr>
              <w:spacing w:after="0"/>
            </w:pPr>
            <w:r>
              <w:rPr>
                <w:rFonts w:ascii="Helvetica" w:hAnsi="Helvetica"/>
                <w:b w:val="0"/>
                <w:i w:val="0"/>
                <w:color w:val="000000"/>
                <w:sz w:val="20"/>
              </w:rPr>
              <w:t>Currency: USD     Amount in figures: USD 36,550 (after 15% discount)</w:t>
            </w:r>
          </w:p>
          <w:p>
            <w:pPr>
              <w:spacing w:after="0"/>
            </w:pPr>
            <w:r>
              <w:rPr>
                <w:rFonts w:ascii="Helvetica" w:hAnsi="Helvetica"/>
                <w:b w:val="0"/>
                <w:i w:val="0"/>
                <w:color w:val="000000"/>
                <w:sz w:val="20"/>
              </w:rPr>
              <w:t>Amount in words: Thirty-six thousand five hundred fifty United States dollars</w:t>
            </w:r>
          </w:p>
        </w:tc>
      </w:tr>
    </w:tbl>
    <w:p>
      <w:pPr>
        <w:spacing w:after="200"/>
      </w:pPr>
    </w:p>
    <w:tbl>
      <w:tblPr>
        <w:tblW w:type="auto" w:w="0"/>
        <w:jc w:val="center"/>
        <w:tblLayout w:type="fixed"/>
        <w:tblLook w:firstColumn="1" w:firstRow="1" w:lastColumn="0" w:lastRow="0" w:noHBand="0" w:noVBand="1" w:val="04A0"/>
      </w:tblPr>
      <w:tblGrid>
        <w:gridCol w:w="7625"/>
        <w:gridCol w:w="7625"/>
      </w:tblGrid>
      <w:tr>
        <w:tc>
          <w:tcPr>
            <w:tcW w:type="dxa" w:w="7416"/>
            <w:tcMar>
              <w:top w:w="140" w:type="dxa"/>
              <w:start w:w="130" w:type="dxa"/>
              <w:bottom w:w="140" w:type="dxa"/>
              <w:end w:w="130" w:type="dxa"/>
            </w:tcMar>
            <w:tcBorders>
              <w:top w:val="single" w:sz="5" w:color="C9D0D6"/>
              <w:left w:val="single" w:sz="5" w:color="C9D0D6"/>
              <w:bottom w:val="single" w:sz="5" w:color="C9D0D6"/>
              <w:right w:val="single" w:sz="5" w:color="C9D0D6"/>
            </w:tcBorders>
          </w:tcPr>
          <w:p>
            <w:pPr>
              <w:spacing w:after="320"/>
            </w:pPr>
            <w:r>
              <w:rPr>
                <w:rFonts w:ascii="Helvetica" w:hAnsi="Helvetica"/>
                <w:b/>
                <w:i w:val="0"/>
                <w:color w:val="000000"/>
                <w:sz w:val="20"/>
              </w:rPr>
              <w:t>FOR THE CLIENT</w:t>
            </w:r>
          </w:p>
          <w:p>
            <w:pPr>
              <w:spacing w:after="160"/>
            </w:pPr>
            <w:r>
              <w:rPr>
                <w:rFonts w:ascii="Helvetica" w:hAnsi="Helvetica"/>
                <w:b/>
                <w:i w:val="0"/>
                <w:color w:val="000000"/>
                <w:sz w:val="20"/>
              </w:rPr>
              <w:t xml:space="preserve">Name: </w:t>
            </w:r>
            <w:r>
              <w:rPr>
                <w:rFonts w:ascii="Helvetica" w:hAnsi="Helvetica"/>
                <w:b w:val="0"/>
                <w:i w:val="0"/>
                <w:color w:val="000000"/>
                <w:sz w:val="20"/>
              </w:rPr>
              <w:t>Mr Tarek Karame</w:t>
            </w:r>
          </w:p>
          <w:p>
            <w:pPr>
              <w:spacing w:after="160"/>
            </w:pPr>
            <w:r>
              <w:rPr>
                <w:rFonts w:ascii="Helvetica" w:hAnsi="Helvetica"/>
                <w:b/>
                <w:i w:val="0"/>
                <w:color w:val="000000"/>
                <w:sz w:val="20"/>
              </w:rPr>
              <w:t xml:space="preserve">Address: </w:t>
            </w:r>
            <w:r>
              <w:rPr>
                <w:rFonts w:ascii="Helvetica" w:hAnsi="Helvetica"/>
                <w:b w:val="0"/>
                <w:i w:val="0"/>
                <w:color w:val="000000"/>
                <w:sz w:val="20"/>
              </w:rPr>
              <w:t>________________________________</w:t>
            </w:r>
          </w:p>
          <w:p>
            <w:pPr>
              <w:spacing w:after="160"/>
            </w:pPr>
            <w:r>
              <w:rPr>
                <w:rFonts w:ascii="Helvetica" w:hAnsi="Helvetica"/>
                <w:b/>
                <w:i w:val="0"/>
                <w:color w:val="000000"/>
                <w:sz w:val="20"/>
              </w:rPr>
              <w:t xml:space="preserve">Email / phone: </w:t>
            </w:r>
            <w:r>
              <w:rPr>
                <w:rFonts w:ascii="Helvetica" w:hAnsi="Helvetica"/>
                <w:b w:val="0"/>
                <w:i w:val="0"/>
                <w:color w:val="000000"/>
                <w:sz w:val="20"/>
              </w:rPr>
              <w:t>________________________________</w:t>
            </w:r>
          </w:p>
          <w:p>
            <w:pPr>
              <w:spacing w:after="160"/>
            </w:pPr>
            <w:r>
              <w:rPr>
                <w:rFonts w:ascii="Helvetica" w:hAnsi="Helvetica"/>
                <w:b/>
                <w:i w:val="0"/>
                <w:color w:val="000000"/>
                <w:sz w:val="20"/>
              </w:rPr>
              <w:t xml:space="preserve">Signature: </w:t>
            </w:r>
            <w:r>
              <w:rPr>
                <w:rFonts w:ascii="Helvetica" w:hAnsi="Helvetica"/>
                <w:b w:val="0"/>
                <w:i w:val="0"/>
                <w:color w:val="000000"/>
                <w:sz w:val="20"/>
              </w:rPr>
              <w:t>________________________________</w:t>
            </w:r>
          </w:p>
          <w:p>
            <w:pPr>
              <w:spacing w:after="160"/>
            </w:pPr>
            <w:r>
              <w:rPr>
                <w:rFonts w:ascii="Helvetica" w:hAnsi="Helvetica"/>
                <w:b/>
                <w:i w:val="0"/>
                <w:color w:val="000000"/>
                <w:sz w:val="20"/>
              </w:rPr>
              <w:t xml:space="preserve">Date: </w:t>
            </w:r>
            <w:r>
              <w:rPr>
                <w:rFonts w:ascii="Helvetica" w:hAnsi="Helvetica"/>
                <w:b w:val="0"/>
                <w:i w:val="0"/>
                <w:color w:val="000000"/>
                <w:sz w:val="20"/>
              </w:rPr>
              <w:t>________________________________</w:t>
            </w:r>
          </w:p>
        </w:tc>
        <w:tc>
          <w:tcPr>
            <w:tcW w:type="dxa" w:w="7416"/>
            <w:tcMar>
              <w:top w:w="140" w:type="dxa"/>
              <w:start w:w="130" w:type="dxa"/>
              <w:bottom w:w="140" w:type="dxa"/>
              <w:end w:w="130" w:type="dxa"/>
            </w:tcMar>
            <w:tcBorders>
              <w:top w:val="single" w:sz="5" w:color="C9D0D6"/>
              <w:left w:val="single" w:sz="5" w:color="C9D0D6"/>
              <w:bottom w:val="single" w:sz="5" w:color="C9D0D6"/>
              <w:right w:val="single" w:sz="5" w:color="C9D0D6"/>
            </w:tcBorders>
          </w:tcPr>
          <w:p>
            <w:pPr>
              <w:spacing w:after="320"/>
            </w:pPr>
            <w:r>
              <w:rPr>
                <w:rFonts w:ascii="Helvetica" w:hAnsi="Helvetica"/>
                <w:b/>
                <w:i w:val="0"/>
                <w:color w:val="000000"/>
                <w:sz w:val="20"/>
              </w:rPr>
              <w:t>FOR THE ARCHITECT</w:t>
            </w:r>
          </w:p>
          <w:p>
            <w:pPr>
              <w:spacing w:after="160"/>
            </w:pPr>
            <w:r>
              <w:rPr>
                <w:rFonts w:ascii="Helvetica" w:hAnsi="Helvetica"/>
                <w:b/>
                <w:i w:val="0"/>
                <w:color w:val="000000"/>
                <w:sz w:val="20"/>
              </w:rPr>
              <w:t xml:space="preserve">Name: </w:t>
            </w:r>
            <w:r>
              <w:rPr>
                <w:rFonts w:ascii="Helvetica" w:hAnsi="Helvetica"/>
                <w:b w:val="0"/>
                <w:i w:val="0"/>
                <w:color w:val="000000"/>
                <w:sz w:val="20"/>
              </w:rPr>
              <w:t>Arch. Mo Kabbara</w:t>
            </w:r>
          </w:p>
          <w:p>
            <w:pPr>
              <w:spacing w:after="160"/>
            </w:pPr>
            <w:r>
              <w:rPr>
                <w:rFonts w:ascii="Helvetica" w:hAnsi="Helvetica"/>
                <w:b/>
                <w:i w:val="0"/>
                <w:color w:val="000000"/>
                <w:sz w:val="20"/>
              </w:rPr>
              <w:t xml:space="preserve">Email: </w:t>
            </w:r>
            <w:r>
              <w:rPr>
                <w:rFonts w:ascii="Helvetica" w:hAnsi="Helvetica"/>
                <w:b w:val="0"/>
                <w:i w:val="0"/>
                <w:color w:val="000000"/>
                <w:sz w:val="20"/>
              </w:rPr>
              <w:t>mo@mokabbara.com</w:t>
            </w:r>
          </w:p>
          <w:p>
            <w:pPr>
              <w:spacing w:after="160"/>
            </w:pPr>
            <w:r>
              <w:rPr>
                <w:rFonts w:ascii="Helvetica" w:hAnsi="Helvetica"/>
                <w:b/>
                <w:i w:val="0"/>
                <w:color w:val="000000"/>
                <w:sz w:val="20"/>
              </w:rPr>
              <w:t xml:space="preserve">Website: </w:t>
            </w:r>
            <w:r>
              <w:rPr>
                <w:rFonts w:ascii="Helvetica" w:hAnsi="Helvetica"/>
                <w:b w:val="0"/>
                <w:i w:val="0"/>
                <w:color w:val="000000"/>
                <w:sz w:val="20"/>
              </w:rPr>
              <w:t>www.mokabbara.com</w:t>
            </w:r>
          </w:p>
          <w:p>
            <w:pPr>
              <w:spacing w:after="160"/>
            </w:pPr>
            <w:r>
              <w:rPr>
                <w:rFonts w:ascii="Helvetica" w:hAnsi="Helvetica"/>
                <w:b/>
                <w:i w:val="0"/>
                <w:color w:val="000000"/>
                <w:sz w:val="20"/>
              </w:rPr>
              <w:t xml:space="preserve">Signature: </w:t>
            </w:r>
            <w:r>
              <w:rPr>
                <w:rFonts w:ascii="Helvetica" w:hAnsi="Helvetica"/>
                <w:b w:val="0"/>
                <w:i w:val="0"/>
                <w:color w:val="000000"/>
                <w:sz w:val="20"/>
              </w:rPr>
              <w:t>________________________________</w:t>
            </w:r>
          </w:p>
          <w:p>
            <w:pPr>
              <w:spacing w:after="160"/>
            </w:pPr>
            <w:r>
              <w:rPr>
                <w:rFonts w:ascii="Helvetica" w:hAnsi="Helvetica"/>
                <w:b/>
                <w:i w:val="0"/>
                <w:color w:val="000000"/>
                <w:sz w:val="20"/>
              </w:rPr>
              <w:t xml:space="preserve">Date: </w:t>
            </w:r>
            <w:r>
              <w:rPr>
                <w:rFonts w:ascii="Helvetica" w:hAnsi="Helvetica"/>
                <w:b w:val="0"/>
                <w:i w:val="0"/>
                <w:color w:val="000000"/>
                <w:sz w:val="20"/>
              </w:rPr>
              <w:t>________________________________</w:t>
            </w:r>
          </w:p>
        </w:tc>
      </w:tr>
    </w:tbl>
    <w:p>
      <w:pPr>
        <w:pStyle w:val="Heading2"/>
        <w:keepNext/>
      </w:pPr>
      <w:r>
        <w:t>Before Signing</w:t>
      </w:r>
    </w:p>
    <w:p>
      <w:pPr>
        <w:spacing w:after="100" w:line="259" w:lineRule="auto"/>
      </w:pPr>
      <w:r>
        <w:rPr>
          <w:rFonts w:ascii="Helvetica" w:hAnsi="Helvetica"/>
          <w:b w:val="0"/>
          <w:i/>
          <w:color w:val="000000"/>
          <w:sz w:val="20"/>
        </w:rPr>
        <w:t>Complete the Client contact details and signature dates. Each party should retain a signed copy. Because this document may create legal obligations, the parties may obtain independent legal and tax advice before execution.</w:t>
      </w:r>
    </w:p>
    <w:p>
      <w:r>
        <w:br w:type="page"/>
      </w:r>
    </w:p>
    <w:p>
      <w:pPr>
        <w:pStyle w:val="Heading1"/>
        <w:keepNext/>
      </w:pPr>
      <w:r>
        <w:t>Appendix A · Area Distribution and Plot Diagram</w:t>
      </w:r>
    </w:p>
    <w:p>
      <w:pPr>
        <w:spacing w:after="100" w:line="259" w:lineRule="auto"/>
      </w:pPr>
      <w:r>
        <w:rPr>
          <w:rFonts w:ascii="Helvetica" w:hAnsi="Helvetica"/>
          <w:b w:val="0"/>
          <w:i w:val="0"/>
          <w:color w:val="000000"/>
          <w:sz w:val="20"/>
        </w:rPr>
        <w:t>The following supplied diagram records the preliminary relationship and indicative areas of the two adjoining plots. It forms part of the project reference information and remains subject to verification by the official cadastral and topographical documents.</w:t>
      </w:r>
    </w:p>
    <w:p>
      <w:pPr>
        <w:spacing w:after="0"/>
        <w:jc w:val="center"/>
      </w:pPr>
      <w:r>
        <w:drawing>
          <wp:inline xmlns:a="http://schemas.openxmlformats.org/drawingml/2006/main" xmlns:pic="http://schemas.openxmlformats.org/drawingml/2006/picture">
            <wp:extent cx="9372600" cy="5486400"/>
            <wp:docPr id="4" name="Picture 4"/>
            <wp:cNvGraphicFramePr>
              <a:graphicFrameLocks noChangeAspect="1"/>
            </wp:cNvGraphicFramePr>
            <a:graphic>
              <a:graphicData uri="http://schemas.openxmlformats.org/drawingml/2006/picture">
                <pic:pic>
                  <pic:nvPicPr>
                    <pic:cNvPr id="0" name="model-1.png"/>
                    <pic:cNvPicPr/>
                  </pic:nvPicPr>
                  <pic:blipFill>
                    <a:blip r:embed="rId12"/>
                    <a:stretch>
                      <a:fillRect/>
                    </a:stretch>
                  </pic:blipFill>
                  <pic:spPr>
                    <a:xfrm>
                      <a:off x="0" y="0"/>
                      <a:ext cx="9372600" cy="5486400"/>
                    </a:xfrm>
                    <a:prstGeom prst="rect"/>
                  </pic:spPr>
                </pic:pic>
              </a:graphicData>
            </a:graphic>
          </wp:inline>
        </w:drawing>
      </w:r>
    </w:p>
    <w:sectPr w:rsidR="00FC693F" w:rsidRPr="0006063C" w:rsidSect="00034616">
      <w:headerReference w:type="default" r:id="rId9"/>
      <w:footerReference w:type="default" r:id="rId10"/>
      <w:pgSz w:w="16834" w:h="11909" w:orient="landscape"/>
      <w:pgMar w:top="792" w:right="792" w:bottom="749" w:left="792"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5083"/>
      <w:gridCol w:w="5083"/>
      <w:gridCol w:w="5083"/>
    </w:tblGrid>
    <w:tr>
      <w:tc>
        <w:tcPr>
          <w:tcW w:type="dxa" w:w="5040"/>
          <w:tcMar>
            <w:top w:w="40" w:type="dxa"/>
            <w:start w:w="0" w:type="dxa"/>
            <w:bottom w:w="0" w:type="dxa"/>
            <w:end w:w="0" w:type="dxa"/>
          </w:tcMar>
          <w:tcBorders>
            <w:top w:val="single" w:sz="4" w:color="C9D0D6"/>
          </w:tcBorders>
        </w:tcPr>
        <w:p>
          <w:pPr>
            <w:spacing w:after="0"/>
          </w:pPr>
          <w:r>
            <w:rPr>
              <w:rFonts w:ascii="Helvetica" w:hAnsi="Helvetica"/>
              <w:b w:val="0"/>
              <w:i w:val="0"/>
              <w:color w:val="000000"/>
              <w:sz w:val="15"/>
            </w:rPr>
            <w:t>www.mokabbara.com</w:t>
          </w:r>
        </w:p>
      </w:tc>
      <w:tc>
        <w:tcPr>
          <w:tcW w:type="dxa" w:w="5040"/>
          <w:tcMar>
            <w:top w:w="40" w:type="dxa"/>
            <w:start w:w="0" w:type="dxa"/>
            <w:bottom w:w="0" w:type="dxa"/>
            <w:end w:w="0" w:type="dxa"/>
          </w:tcMar>
          <w:tcBorders>
            <w:top w:val="single" w:sz="4" w:color="C9D0D6"/>
          </w:tcBorders>
        </w:tcPr>
        <w:p>
          <w:pPr>
            <w:spacing w:after="0"/>
            <w:jc w:val="center"/>
          </w:pPr>
          <w:r>
            <w:rPr>
              <w:rFonts w:ascii="Helvetica" w:hAnsi="Helvetica"/>
              <w:b w:val="0"/>
              <w:i w:val="0"/>
              <w:color w:val="000000"/>
              <w:sz w:val="15"/>
            </w:rPr>
            <w:t>MK-TAK-P07-2026-02</w:t>
          </w:r>
        </w:p>
      </w:tc>
      <w:tc>
        <w:tcPr>
          <w:tcW w:type="dxa" w:w="5169"/>
          <w:tcMar>
            <w:top w:w="40" w:type="dxa"/>
            <w:start w:w="0" w:type="dxa"/>
            <w:bottom w:w="0" w:type="dxa"/>
            <w:end w:w="0" w:type="dxa"/>
          </w:tcMar>
          <w:tcBorders>
            <w:top w:val="single" w:sz="4" w:color="C9D0D6"/>
          </w:tcBorders>
        </w:tcPr>
        <w:p>
          <w:pPr>
            <w:spacing w:after="0"/>
            <w:jc w:val="right"/>
          </w:pPr>
          <w:r>
            <w:rPr>
              <w:rFonts w:ascii="Helvetica" w:hAnsi="Helvetica"/>
              <w:b w:val="0"/>
              <w:i w:val="0"/>
              <w:color w:val="000000"/>
              <w:sz w:val="15"/>
            </w:rPr>
            <w:t xml:space="preserve">PAGE </w:t>
          </w:r>
          <w:r>
            <w:rPr>
              <w:rFonts w:ascii="Helvetica" w:hAnsi="Helvetica"/>
              <w:color w:val="000000"/>
              <w:sz w:val="16"/>
            </w:rPr>
            <w:fldChar w:fldCharType="begin"/>
            <w:instrText xml:space="preserve">PAGE</w:instrText>
            <w:fldChar w:fldCharType="end"/>
          </w:r>
          <w:r>
            <w:rPr>
              <w:rFonts w:ascii="Helvetica" w:hAnsi="Helvetica"/>
              <w:b w:val="0"/>
              <w:i w:val="0"/>
              <w:color w:val="000000"/>
              <w:sz w:val="15"/>
            </w:rPr>
            <w:t xml:space="preserve"> OF </w:t>
          </w:r>
          <w:r>
            <w:rPr>
              <w:rFonts w:ascii="Helvetica" w:hAnsi="Helvetica"/>
              <w:color w:val="000000"/>
              <w:sz w:val="16"/>
            </w:rPr>
            <w:fldChar w:fldCharType="begin"/>
            <w:instrText xml:space="preserve">NUMPAGES</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7625"/>
      <w:gridCol w:w="7625"/>
    </w:tblGrid>
    <w:tr>
      <w:tc>
        <w:tcPr>
          <w:tcW w:type="dxa" w:w="10080"/>
          <w:tcMar>
            <w:top w:w="0" w:type="dxa"/>
            <w:start w:w="0" w:type="dxa"/>
            <w:bottom w:w="45" w:type="dxa"/>
            <w:end w:w="0" w:type="dxa"/>
          </w:tcMar>
          <w:tcBorders>
            <w:bottom w:val="single" w:sz="10" w:color="000000"/>
          </w:tcBorders>
        </w:tcPr>
        <w:p>
          <w:pPr>
            <w:spacing w:after="0"/>
          </w:pPr>
          <w:r>
            <w:rPr>
              <w:rFonts w:ascii="Helvetica" w:hAnsi="Helvetica"/>
              <w:b/>
              <w:i w:val="0"/>
              <w:color w:val="000000"/>
              <w:sz w:val="18"/>
            </w:rPr>
            <w:t>MO KABBARA</w:t>
          </w:r>
          <w:r>
            <w:rPr>
              <w:rFonts w:ascii="Helvetica" w:hAnsi="Helvetica"/>
              <w:b w:val="0"/>
              <w:i w:val="0"/>
              <w:color w:val="000000"/>
              <w:sz w:val="18"/>
            </w:rPr>
            <w:t xml:space="preserve">  ARCHITECTURE &amp; DESIGN</w:t>
          </w:r>
        </w:p>
      </w:tc>
      <w:tc>
        <w:tcPr>
          <w:tcW w:type="dxa" w:w="5169"/>
          <w:tcMar>
            <w:top w:w="0" w:type="dxa"/>
            <w:start w:w="0" w:type="dxa"/>
            <w:bottom w:w="45" w:type="dxa"/>
            <w:end w:w="0" w:type="dxa"/>
          </w:tcMar>
          <w:tcBorders>
            <w:bottom w:val="single" w:sz="10" w:color="000000"/>
          </w:tcBorders>
        </w:tcPr>
        <w:p>
          <w:pPr>
            <w:spacing w:after="0"/>
            <w:jc w:val="right"/>
          </w:pPr>
          <w:r>
            <w:rPr>
              <w:rFonts w:ascii="Helvetica" w:hAnsi="Helvetica"/>
              <w:b/>
              <w:i w:val="0"/>
              <w:color w:val="000000"/>
              <w:sz w:val="18"/>
            </w:rPr>
            <w:t>OFFER + PRELIMINARY AGREEMENT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Helvetica" w:hAnsi="Helvetica"/>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Helvetica" w:hAnsi="Helvetica"/>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Helvetica" w:hAnsi="Helvetica"/>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Helvetica" w:hAnsi="Helvetica"/>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2" w:lineRule="auto"/>
      <w:ind w:left="360" w:hanging="230"/>
      <w:contextualSpacing/>
    </w:pPr>
    <w:rPr>
      <w:rFonts w:ascii="Helvetica" w:hAnsi="Helvetica"/>
      <w:sz w:val="20"/>
    </w:rPr>
  </w:style>
  <w:style w:type="paragraph" w:styleId="ListBullet2">
    <w:name w:val="List Bullet 2"/>
    <w:basedOn w:val="Normal"/>
    <w:uiPriority w:val="99"/>
    <w:unhideWhenUsed/>
    <w:rsid w:val="00326F90"/>
    <w:pPr>
      <w:numPr>
        <w:numId w:val="2"/>
      </w:numPr>
      <w:spacing w:after="50" w:line="252" w:lineRule="auto"/>
      <w:ind w:left="691" w:hanging="230"/>
      <w:contextualSpacing/>
    </w:pPr>
    <w:rPr>
      <w:rFonts w:ascii="Helvetica" w:hAnsi="Helvetica"/>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Architectural Design Services - Professional Fee Offer and Preliminary Agreement</dc:title>
  <dc:subject>Two adjoining plots within Plot No. 7, Basatine, Tripoli, Lebanon</dc:subject>
  <dc:creator>Arch. Mo Kabbara</dc:creator>
  <cp:keywords>architectural offer, preliminary agreement, Plot 7, Basatine, Tripoli</cp:keywords>
  <dc:description>generated by python-docx</dc:description>
  <cp:lastModifiedBy/>
  <cp:revision>1</cp:revision>
  <dcterms:created xsi:type="dcterms:W3CDTF">2013-12-23T23:15:00Z</dcterms:created>
  <dcterms:modified xsi:type="dcterms:W3CDTF">2013-12-23T23:15:00Z</dcterms:modified>
  <cp:category/>
</cp:coreProperties>
</file>