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Architecture globale et Page d’accueil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L’application du projet se situe dans le dossier ‘src’. Ce dossier contient les différents modules de l’application.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‘css’ : contient les styles de la page d’accueil</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‘images’ : contient toutes les images utilisées pour l’application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‘inscription’ : contient la page d’inscription pour les participants et les propriétaires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‘mail’ : contient les fonctions utilisées pour l’envoi de mails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‘staff’ : contient l’ensemble des pages et des fonctions utilisées pour l’interface Staff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page d’accueil est directement située dans le dossier ‘src’ et correspond au fichier ‘index.php’.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Inscription Joueurs &amp; Propriétaire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formulaires d’inscription pour les joueurs et les propriétaires sont situés dans le dossier ‘inscription’. Ce sont les formulaires que les visiteurs utiliseront pour s’inscrire.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formulaire d’inscription de joueurs correspond au fichier ‘index.php’.</w:t>
      </w:r>
    </w:p>
    <w:p w:rsidR="00000000" w:rsidDel="00000000" w:rsidP="00000000" w:rsidRDefault="00000000" w:rsidRPr="00000000">
      <w:pPr>
        <w:contextualSpacing w:val="0"/>
        <w:jc w:val="both"/>
      </w:pPr>
      <w:r w:rsidDel="00000000" w:rsidR="00000000" w:rsidRPr="00000000">
        <w:rPr>
          <w:rtl w:val="0"/>
        </w:rPr>
        <w:t xml:space="preserve">Le formulaire d’inscription de joueurs correspond au fichier ‘inscription-owner.php’.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Interface Staff</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Présentation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dossier staff comprend les dossiers :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‘dist’ : contient les styles utilisés pour l’interface Staff</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‘pages’ : contient toutes les pages et les fonctions de l’interface Staff</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‘tcpdf’ : module utilisé pour générer des fichiers PDF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dossier ‘pages’ contient tous les formulaires (ou vues) d’ajout et d’édition des entités (joueur, propriétaire, terrain, match, …). Ils sont représentés par des fichier PHP. Les formulaires d’édition sont caractérisés par le mot ‘edit’ en début de nom de fichier. Les formulaires d’ajout sont simplement désignés par le nom de l’entité qui leur correspond. Par exemple, le fichier ‘court.php’ correspond au formulaire d’ajout un terrain, et le fichier ‘edit-court.php’ correspond au formulaire d’édition d’un terrain.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dossier ‘html’ contient un fichier ‘header.php’ qui correspond à l’en-tête visible sur toutes les pages de l’interface Staff.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dossier ‘php’ contient toutes les fonctions d’interaction avec la base de données. Les fonctions d’ajout sont situées dans les fichiers dont le nom commence par ‘add’. Les fonctions de suppression sont situées dans les fichiers dont le nom commence par ‘delete’. </w:t>
      </w:r>
    </w:p>
    <w:p w:rsidR="00000000" w:rsidDel="00000000" w:rsidP="00000000" w:rsidRDefault="00000000" w:rsidRPr="00000000">
      <w:pPr>
        <w:contextualSpacing w:val="0"/>
        <w:jc w:val="both"/>
      </w:pPr>
      <w:r w:rsidDel="00000000" w:rsidR="00000000" w:rsidRPr="00000000">
        <w:rPr>
          <w:rtl w:val="0"/>
        </w:rPr>
        <w:t xml:space="preserve">Le dossier ‘inc’ (dans ‘php’) contient les fonctions d’affichage et d’édition. Les fonctions d’édition sont situées dans les fichiers dont le nom commence par ‘edit’. Les fonctions d’affichage sont situées dans les fichiers dont le nom commence par ‘list’ (pour les listes) et ‘show’ (pour les affichages unitaires). </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