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57A0"/>
          <w:sz w:val="56"/>
        </w:rPr>
        <w:t>FANTASY FOOTBALL</w:t>
        <w:br/>
        <w:t>INTELLIGENCE HUB</w:t>
      </w:r>
    </w:p>
    <w:p>
      <w:pPr>
        <w:jc w:val="center"/>
      </w:pPr>
      <w:r>
        <w:rPr>
          <w:b/>
          <w:sz w:val="44"/>
        </w:rPr>
        <w:t>Software Design Specification</w:t>
      </w:r>
    </w:p>
    <w:p>
      <w:pPr>
        <w:jc w:val="center"/>
      </w:pPr>
      <w:r>
        <w:rPr>
          <w:i/>
        </w:rPr>
        <w:t>Architecture, Data Dictionary, Automation, Testing, Deployment, and Revision History</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tcPr>
          <w:p>
            <w:r>
              <w:rPr>
                <w:b/>
                <w:sz w:val="18"/>
              </w:rPr>
              <w:t>Document control</w:t>
            </w:r>
          </w:p>
        </w:tc>
        <w:tc>
          <w:tcPr>
            <w:tcW w:type="dxa" w:w="6912"/>
            <w:shd w:fill="D9EAF7"/>
          </w:tcPr>
          <w:p>
            <w:r>
              <w:rPr>
                <w:b/>
                <w:sz w:val="18"/>
              </w:rPr>
              <w:t>Current value</w:t>
            </w:r>
          </w:p>
        </w:tc>
      </w:tr>
      <w:tr>
        <w:tc>
          <w:tcPr>
            <w:tcW w:type="dxa" w:w="3168"/>
            <w:vAlign w:val="top"/>
          </w:tcPr>
          <w:p>
            <w:pPr>
              <w:spacing w:after="0"/>
            </w:pPr>
            <w:r>
              <w:rPr>
                <w:sz w:val="18"/>
              </w:rPr>
              <w:t>Document version</w:t>
            </w:r>
          </w:p>
        </w:tc>
        <w:tc>
          <w:tcPr>
            <w:tcW w:type="dxa" w:w="6912"/>
            <w:vAlign w:val="top"/>
          </w:tcPr>
          <w:p>
            <w:r>
              <w:t>2.3.0</w:t>
            </w:r>
          </w:p>
        </w:tc>
      </w:tr>
      <w:tr>
        <w:tc>
          <w:tcPr>
            <w:tcW w:type="dxa" w:w="3168"/>
            <w:vAlign w:val="top"/>
          </w:tcPr>
          <w:p>
            <w:pPr>
              <w:spacing w:after="0"/>
            </w:pPr>
            <w:r>
              <w:rPr>
                <w:sz w:val="18"/>
              </w:rPr>
              <w:t>Application baseline</w:t>
            </w:r>
          </w:p>
        </w:tc>
        <w:tc>
          <w:tcPr>
            <w:tcW w:type="dxa" w:w="6912"/>
            <w:vAlign w:val="top"/>
          </w:tcPr>
          <w:p>
            <w:r>
              <w:t>Fantasy Football Intelligence Hub v2.3.0 / APP_VERSION 2.3.0</w:t>
            </w:r>
          </w:p>
        </w:tc>
      </w:tr>
      <w:tr>
        <w:tc>
          <w:tcPr>
            <w:tcW w:type="dxa" w:w="3168"/>
            <w:vAlign w:val="top"/>
          </w:tcPr>
          <w:p>
            <w:pPr>
              <w:spacing w:after="0"/>
            </w:pPr>
            <w:r>
              <w:rPr>
                <w:sz w:val="18"/>
              </w:rPr>
              <w:t>Status</w:t>
            </w:r>
          </w:p>
        </w:tc>
        <w:tc>
          <w:tcPr>
            <w:tcW w:type="dxa" w:w="6912"/>
            <w:vAlign w:val="top"/>
          </w:tcPr>
          <w:p>
            <w:r>
              <w:t>Living design specification — Version 2.3.0 release</w:t>
            </w:r>
          </w:p>
        </w:tc>
      </w:tr>
      <w:tr>
        <w:tc>
          <w:tcPr>
            <w:tcW w:type="dxa" w:w="3168"/>
            <w:vAlign w:val="top"/>
          </w:tcPr>
          <w:p>
            <w:pPr>
              <w:spacing w:after="0"/>
            </w:pPr>
            <w:r>
              <w:rPr>
                <w:sz w:val="18"/>
              </w:rPr>
              <w:t>Created</w:t>
            </w:r>
          </w:p>
        </w:tc>
        <w:tc>
          <w:tcPr>
            <w:tcW w:type="dxa" w:w="6912"/>
            <w:vAlign w:val="top"/>
          </w:tcPr>
          <w:p>
            <w:pPr>
              <w:spacing w:after="0"/>
            </w:pPr>
            <w:r>
              <w:rPr>
                <w:sz w:val="18"/>
              </w:rPr>
              <w:t>July 26, 2026</w:t>
            </w:r>
          </w:p>
        </w:tc>
      </w:tr>
      <w:tr>
        <w:tc>
          <w:tcPr>
            <w:tcW w:type="dxa" w:w="3168"/>
            <w:vAlign w:val="top"/>
          </w:tcPr>
          <w:p>
            <w:pPr>
              <w:spacing w:after="0"/>
            </w:pPr>
            <w:r>
              <w:rPr>
                <w:sz w:val="18"/>
              </w:rPr>
              <w:t>Last updated</w:t>
            </w:r>
          </w:p>
        </w:tc>
        <w:tc>
          <w:tcPr>
            <w:tcW w:type="dxa" w:w="6912"/>
            <w:vAlign w:val="top"/>
          </w:tcPr>
          <w:p>
            <w:r>
              <w:t>August 1, 2026</w:t>
            </w:r>
          </w:p>
        </w:tc>
      </w:tr>
      <w:tr>
        <w:tc>
          <w:tcPr>
            <w:tcW w:type="dxa" w:w="3168"/>
            <w:vAlign w:val="top"/>
          </w:tcPr>
          <w:p>
            <w:pPr>
              <w:spacing w:after="0"/>
            </w:pPr>
            <w:r>
              <w:rPr>
                <w:sz w:val="18"/>
              </w:rPr>
              <w:t>Created by</w:t>
            </w:r>
          </w:p>
        </w:tc>
        <w:tc>
          <w:tcPr>
            <w:tcW w:type="dxa" w:w="6912"/>
            <w:vAlign w:val="top"/>
          </w:tcPr>
          <w:p>
            <w:pPr>
              <w:spacing w:after="0"/>
            </w:pPr>
            <w:r>
              <w:rPr>
                <w:sz w:val="18"/>
              </w:rPr>
              <w:t>Mohamad Mokbel</w:t>
            </w:r>
          </w:p>
        </w:tc>
      </w:tr>
      <w:tr>
        <w:tc>
          <w:tcPr>
            <w:tcW w:type="dxa" w:w="3168"/>
            <w:vAlign w:val="top"/>
          </w:tcPr>
          <w:p>
            <w:pPr>
              <w:spacing w:after="0"/>
            </w:pPr>
            <w:r>
              <w:rPr>
                <w:sz w:val="18"/>
              </w:rPr>
              <w:t>Deployment</w:t>
            </w:r>
          </w:p>
        </w:tc>
        <w:tc>
          <w:tcPr>
            <w:tcW w:type="dxa" w:w="6912"/>
            <w:vAlign w:val="top"/>
          </w:tcPr>
          <w:p>
            <w:pPr>
              <w:spacing w:after="0"/>
            </w:pPr>
            <w:r>
              <w:rPr>
                <w:sz w:val="18"/>
              </w:rPr>
              <w:t>GitHub Pages from main branch / repository root</w:t>
            </w:r>
          </w:p>
        </w:tc>
      </w:tr>
      <w:tr>
        <w:tc>
          <w:tcPr>
            <w:tcW w:type="dxa" w:w="3168"/>
            <w:vAlign w:val="top"/>
          </w:tcPr>
          <w:p>
            <w:pPr>
              <w:spacing w:after="0"/>
            </w:pPr>
            <w:r>
              <w:rPr>
                <w:sz w:val="18"/>
              </w:rPr>
              <w:t>Source of truth</w:t>
            </w:r>
          </w:p>
        </w:tc>
        <w:tc>
          <w:tcPr>
            <w:tcW w:type="dxa" w:w="6912"/>
            <w:vAlign w:val="top"/>
          </w:tcPr>
          <w:p>
            <w:pPr>
              <w:spacing w:after="0"/>
            </w:pPr>
            <w:r>
              <w:rPr>
                <w:sz w:val="18"/>
              </w:rPr>
              <w:t>GitHub repository</w:t>
            </w:r>
          </w:p>
        </w:tc>
      </w:tr>
    </w:tbl>
    <w:p/>
    <w:tbl>
      <w:tblPr>
        <w:tblStyle w:val="TableGrid"/>
        <w:tblW w:type="auto" w:w="0"/>
        <w:tblLook w:firstColumn="1" w:firstRow="1" w:lastColumn="0" w:lastRow="0" w:noHBand="0" w:noVBand="1" w:val="04A0"/>
      </w:tblPr>
      <w:tblGrid>
        <w:gridCol w:w="10224"/>
      </w:tblGrid>
      <w:tr>
        <w:tc>
          <w:tcPr>
            <w:tcW w:type="dxa" w:w="10224"/>
            <w:shd w:fill="EEF5FB"/>
          </w:tcPr>
          <w:p>
            <w:r>
              <w:t>Version-control decision: Version 2.3.0 is the application baseline. This release adds stateless Sleeper acquisition, on-demand linked-season evidence, Settings-based methodology and weighting, privacy safeguards, and the refined report navigation.</w:t>
            </w:r>
          </w:p>
        </w:tc>
      </w:tr>
      <w:tr>
        <w:tc>
          <w:tcPr>
            <w:tcW w:type="dxa" w:w="10224"/>
          </w:tcPr>
          <w:p>
            <w:r>
              <w:t>2.2.1</w:t>
            </w:r>
          </w:p>
        </w:tc>
      </w:tr>
    </w:tbl>
    <w:p/>
    <w:p>
      <w:r>
        <w:br w:type="page"/>
      </w:r>
    </w:p>
    <w:p>
      <w:pPr>
        <w:pStyle w:val="Heading1"/>
      </w:pPr>
      <w:r>
        <w:t>Table of Contents</w:t>
      </w:r>
    </w:p>
    <w:p>
      <w:r>
        <w:t>1. Executive Summary</w:t>
      </w:r>
    </w:p>
    <w:p>
      <w:r>
        <w:t>2. Scope and Product Objectives</w:t>
      </w:r>
    </w:p>
    <w:p>
      <w:r>
        <w:t>3. Current System Context and Architecture</w:t>
      </w:r>
    </w:p>
    <w:p>
      <w:r>
        <w:t>4. Repository and Module Architecture</w:t>
      </w:r>
    </w:p>
    <w:p>
      <w:r>
        <w:t>5. Application Components and User Experience</w:t>
      </w:r>
    </w:p>
    <w:p>
      <w:pPr>
        <w:pStyle w:val="Heading2"/>
      </w:pPr>
      <w:r>
        <w:t>5.1 Version 2.3 League Analysis Experience</w:t>
      </w:r>
    </w:p>
    <w:p>
      <w:pPr/>
      <w:r>
        <w:t>Analyze retrieves the current league data required for the Dashboard, then builds a metadata-only index of linked seasons. The landing page accepts a public Sleeper league ID and Contender Index weights; report persistence, report controls, and advanced detection overrides are removed. Deep transactions, drafts, matchups, and brackets load only when their related view is opened. Progress reflects real work without manufactured delay, and incomplete upstream results remain visible as warnings.</w:t>
      </w:r>
    </w:p>
    <w:p>
      <w:pPr>
        <w:pStyle w:val="Heading2"/>
      </w:pPr>
      <w:r>
        <w:t>5.2 Dashboard and Team Insights Hierarchy</w:t>
      </w:r>
    </w:p>
    <w:p>
      <w:pPr/>
      <w:r>
        <w:t>The Dashboard is now league-centric. It presents the League Scoring History chart and full-width League Power Rankings, keeping its purpose focused on comparing every roster. Focused-team Current Season, Overall Performance, Championship Outlook, and roster-review content moved to Team Insights so users do not see the same analysis twice.</w:t>
      </w:r>
    </w:p>
    <w:p>
      <w:pPr>
        <w:pStyle w:val="Heading2"/>
      </w:pPr>
      <w:r>
        <w:t>5.3 Focused Team Insights</w:t>
      </w:r>
    </w:p>
    <w:p>
      <w:r>
        <w:t>Team Insights is organized around the selected team: championship recommendation, key current-season and overall-performance context, roster profile, strengths and weaknesses, position/bench/draft reviews, actionable Build and Shop candidates, optimal-lineup evidence, and the full roster. It consumes the same detailed recommendation and position-review data as the analytical model.</w:t>
      </w:r>
    </w:p>
    <w:p>
      <w:r>
        <w:t>League Scoring History renders one concurrent line per roster across linked seasons. Every reported matchup score is a weekly point; the focused team is bold and other teams are faint comparison lines. The alternate view shows one completed-season wins point per season. Previous franchises are matched by owner before roster ID.</w:t>
      </w:r>
    </w:p>
    <w:p>
      <w:r>
        <w:t>All matchup-derived team-performance data is capped at the Week 17 fantasy championship. NFL Week 18 is excluded during matchup fetch, analysis, production aggregation, historical series construction, and chart rendering. A reported zero remains a valid score, while a missing score is not displayed as zero.</w:t>
      </w:r>
    </w:p>
    <w:p>
      <w:pPr>
        <w:pStyle w:val="Heading2"/>
      </w:pPr>
      <w:r>
        <w:t>5.4 Player Trends Placeholder</w:t>
      </w:r>
    </w:p>
    <w:p>
      <w:pPr/>
      <w:r>
        <w:t>Player Trends is intentionally empty while its future feature is under design. Existing optimal-lineup analysis remains on Team Insights alongside its full-roster evidence, avoiding duplicate reports.</w:t>
      </w:r>
    </w:p>
    <w:p>
      <w:pPr>
        <w:pStyle w:val="Heading2"/>
      </w:pPr>
      <w:r>
        <w:t>5.5 Version 2.3 Header and Navigation</w:t>
      </w:r>
    </w:p>
    <w:p>
      <w:r>
        <w:t>The application uses one sticky responsive header with a larger product logo, release/data/version detail below the brand, Focus Team selection, and league context. Its eight tabs are Dashboard, Team Insights, Trade Center, Draft Capital, Player Trends, Player Tiers, Player Master, and Settings. Overflow menus, creator text, Sleeper identifiers, exports, and report-management controls are absent. Page changes update the URL hash and browser history while preserving the selected focus team.</w:t>
      </w:r>
    </w:p>
    <w:p>
      <w:r>
        <w:t>6. Data Processing and Analytical Logic</w:t>
      </w:r>
    </w:p>
    <w:p>
      <w:r>
        <w:t>7. External Data Sources and Provider Design</w:t>
      </w:r>
    </w:p>
    <w:p>
      <w:r>
        <w:t>8. Snapshot Automation and GitHub Actions</w:t>
      </w:r>
    </w:p>
    <w:p>
      <w:r>
        <w:t>9. Storage, Caching, and Export Design</w:t>
      </w:r>
    </w:p>
    <w:p>
      <w:r>
        <w:t>10. Testing, Validation, Error Handling, and Reliability</w:t>
      </w:r>
    </w:p>
    <w:p>
      <w:r>
        <w:t>11. Deployment, Security, and Operations</w:t>
      </w:r>
    </w:p>
    <w:p>
      <w:r>
        <w:t>12. Data Dictionary and Source Lineage</w:t>
      </w:r>
    </w:p>
    <w:p>
      <w:r>
        <w:t>13. Architecture Decision Record - Version 2.0 Refactor</w:t>
      </w:r>
    </w:p>
    <w:p>
      <w:r>
        <w:t>14. Revision History</w:t>
      </w:r>
    </w:p>
    <w:p>
      <w:r>
        <w:t>15. Release Maintenance Checklist</w:t>
      </w:r>
    </w:p>
    <w:p>
      <w:pPr>
        <w:pStyle w:val="Heading1"/>
      </w:pPr>
      <w:r>
        <w:t>1. Executive Summary</w:t>
      </w:r>
    </w:p>
    <w:p>
      <w:r>
        <w:t>Fantasy Football Intelligence Hub is a static, browser-based dynasty football analysis application published through GitHub Pages. Version 2.3.0 analyzes public Sleeper leagues, indexes linked seasons without persisting league data, joins projection and dynasty-value sources, builds legal optimal lineups, ranks teams, evaluates risk and draft capital, and presents league-wide and focused-team reports.</w:t>
      </w:r>
    </w:p>
    <w:p>
      <w:r>
        <w:t>Version 2.3.0 adds stateless, on-demand Sleeper history acquisition with bounded concurrency, retries, timeouts, progress messages, session-only caching, and visible partial-failure handling. It moves Methodology into Settings, removes report persistence and exports, protects submitted identifiers, and preserves the strict Week 17 cutoff for fantasy-team performance data.</w:t>
      </w:r>
    </w:p>
    <w:tbl>
      <w:tblPr>
        <w:tblStyle w:val="TableGrid"/>
        <w:tblW w:type="auto" w:w="0"/>
        <w:tblLook w:firstColumn="1" w:firstRow="1" w:lastColumn="0" w:lastRow="0" w:noHBand="0" w:noVBand="1" w:val="04A0"/>
      </w:tblPr>
      <w:tblGrid>
        <w:gridCol w:w="10224"/>
      </w:tblGrid>
      <w:tr>
        <w:tc>
          <w:tcPr>
            <w:tcW w:type="dxa" w:w="10224"/>
            <w:shd w:fill="EEF5FB"/>
          </w:tcPr>
          <w:p>
            <w:r>
              <w:t>Current processing boundary: League-specific analysis executes in the user's browser. Linked-season metadata is indexed during Analyze; deeper history is requested only when its related page opens and remains only in session memory. GitHub Actions preprocesses shared public source snapshots, while live APIs remain available as fallbacks when snapshots are empty, stale, or unavailable.</w:t>
            </w:r>
          </w:p>
        </w:tc>
      </w:tr>
    </w:tbl>
    <w:p/>
    <w:p>
      <w:pPr>
        <w:pStyle w:val="Heading1"/>
      </w:pPr>
      <w:r>
        <w:t>2. Scope and Product Objectives</w:t>
      </w:r>
    </w:p>
    <w:p>
      <w:pPr>
        <w:pStyle w:val="Heading2"/>
      </w:pPr>
      <w:r>
        <w:t>2.1 In Scope</w:t>
      </w:r>
    </w:p>
    <w:p>
      <w:pPr>
        <w:pStyle w:val="ListBullet"/>
      </w:pPr>
      <w:r>
        <w:t>Analyze any supported public Sleeper NFL league by league ID.</w:t>
      </w:r>
    </w:p>
    <w:p>
      <w:pPr>
        <w:pStyle w:val="ListBullet"/>
      </w:pPr>
      <w:r>
        <w:t>Detect format, scoring, roster slots, linked seasons, and future pick horizon.</w:t>
      </w:r>
    </w:p>
    <w:p>
      <w:pPr>
        <w:pStyle w:val="ListBullet"/>
      </w:pPr>
      <w:r>
        <w:t>Aggregate matchup production and build normalized player records.</w:t>
      </w:r>
    </w:p>
    <w:p>
      <w:pPr>
        <w:pStyle w:val="ListBullet"/>
      </w:pPr>
      <w:r>
        <w:t>Combine RosterAudit and DynastyProcess market values with RosterAudit and Sleeper projections.</w:t>
      </w:r>
    </w:p>
    <w:p>
      <w:pPr>
        <w:pStyle w:val="ListBullet"/>
      </w:pPr>
      <w:r>
        <w:t>Calculate legal lineups, depth, risk, contender score, franchise score, player tiers, and draft capital.</w:t>
      </w:r>
    </w:p>
    <w:p>
      <w:pPr>
        <w:pStyle w:val="ListBullet"/>
      </w:pPr>
      <w:r>
        <w:t>Publish a responsive static application through GitHub Pages.</w:t>
      </w:r>
    </w:p>
    <w:p>
      <w:pPr>
        <w:pStyle w:val="ListBullet"/>
      </w:pPr>
      <w:r>
        <w:t>Use same-origin snapshots for shared datasets and live fallbacks for resilience.</w:t>
      </w:r>
    </w:p>
    <w:p>
      <w:pPr>
        <w:pStyle w:val="ListBullet"/>
      </w:pPr>
      <w:r>
        <w:t>Run repeatable Node tests, syntax validation, JSON validation, and scheduled snapshot refresh jobs.</w:t>
      </w:r>
    </w:p>
    <w:p>
      <w:pPr>
        <w:pStyle w:val="Heading2"/>
      </w:pPr>
      <w:r>
        <w:t>2.2 Out of Scope</w:t>
      </w:r>
    </w:p>
    <w:p>
      <w:pPr>
        <w:pStyle w:val="ListBullet"/>
      </w:pPr>
      <w:r>
        <w:t>Authenticated private Sleeper leagues.</w:t>
      </w:r>
    </w:p>
    <w:p>
      <w:pPr>
        <w:pStyle w:val="ListBullet"/>
      </w:pPr>
      <w:r>
        <w:t>Automated KeepTradeCut scraping.</w:t>
      </w:r>
    </w:p>
    <w:p>
      <w:pPr>
        <w:pStyle w:val="ListBullet"/>
      </w:pPr>
      <w:r>
        <w:t>Application-owned user accounts or centralized private databases.</w:t>
      </w:r>
    </w:p>
    <w:p>
      <w:pPr>
        <w:pStyle w:val="ListBullet"/>
      </w:pPr>
      <w:r>
        <w:t>Guaranteed availability of third-party APIs.</w:t>
      </w:r>
    </w:p>
    <w:p>
      <w:pPr>
        <w:pStyle w:val="ListBullet"/>
      </w:pPr>
      <w:r>
        <w:t>Full transaction-based trade impact and waiver reporting.</w:t>
      </w:r>
    </w:p>
    <w:p>
      <w:pPr>
        <w:pStyle w:val="ListBullet"/>
      </w:pPr>
      <w:r>
        <w:t>Direct nflverse production integration in the current codebase.</w:t>
      </w:r>
    </w:p>
    <w:p>
      <w:pPr>
        <w:pStyle w:val="Heading1"/>
      </w:pPr>
      <w:r>
        <w:t>3. Current System Context and Architecture</w:t>
      </w:r>
    </w:p>
    <w:p>
      <w:r>
        <w:t>Figure 1 shows the Version 2.x static architecture after GitHub publication and modularization.</w:t>
      </w:r>
    </w:p>
    <w:p>
      <w:r>
        <w:drawing>
          <wp:inline xmlns:a="http://schemas.openxmlformats.org/drawingml/2006/main" xmlns:pic="http://schemas.openxmlformats.org/drawingml/2006/picture">
            <wp:extent cx="6400800" cy="2851085"/>
            <wp:docPr id="1" name="Picture 1"/>
            <wp:cNvGraphicFramePr>
              <a:graphicFrameLocks noChangeAspect="1"/>
            </wp:cNvGraphicFramePr>
            <a:graphic>
              <a:graphicData uri="http://schemas.openxmlformats.org/drawingml/2006/picture">
                <pic:pic>
                  <pic:nvPicPr>
                    <pic:cNvPr id="0" name="Fantasy_Football_Intelligence_Hub_Architecture_v2.png"/>
                    <pic:cNvPicPr/>
                  </pic:nvPicPr>
                  <pic:blipFill>
                    <a:blip r:embed="rId9"/>
                    <a:stretch>
                      <a:fillRect/>
                    </a:stretch>
                  </pic:blipFill>
                  <pic:spPr>
                    <a:xfrm>
                      <a:off x="0" y="0"/>
                      <a:ext cx="6400800" cy="2851085"/>
                    </a:xfrm>
                    <a:prstGeom prst="rect"/>
                  </pic:spPr>
                </pic:pic>
              </a:graphicData>
            </a:graphic>
          </wp:inline>
        </w:drawing>
      </w:r>
    </w:p>
    <w:p>
      <w:pPr>
        <w:jc w:val="center"/>
      </w:pPr>
      <w:r>
        <w:t>Figure 1. Fantasy Football Intelligence Hub Version 2.3.0 stateless client architecture and data flow.</w:t>
      </w:r>
    </w:p>
    <w:p>
      <w:pPr>
        <w:pStyle w:val="Heading2"/>
      </w:pPr>
      <w:r>
        <w:t>3.1 Architectural Layers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D9EAF7"/>
          </w:tcPr>
          <w:p>
            <w:r>
              <w:rPr>
                <w:b/>
                <w:sz w:val="15"/>
              </w:rPr>
              <w:t>Layer</w:t>
            </w:r>
          </w:p>
        </w:tc>
        <w:tc>
          <w:tcPr>
            <w:tcW w:type="dxa" w:w="3168"/>
            <w:shd w:fill="D9EAF7"/>
          </w:tcPr>
          <w:p>
            <w:r>
              <w:rPr>
                <w:b/>
                <w:sz w:val="15"/>
              </w:rPr>
              <w:t>Current implementation</w:t>
            </w:r>
          </w:p>
        </w:tc>
        <w:tc>
          <w:tcPr>
            <w:tcW w:type="dxa" w:w="5328"/>
            <w:shd w:fill="D9EAF7"/>
          </w:tcPr>
          <w:p>
            <w:r>
              <w:rPr>
                <w:b/>
                <w:sz w:val="15"/>
              </w:rPr>
              <w:t>Primary responsibility</w:t>
            </w:r>
          </w:p>
        </w:tc>
      </w:tr>
      <w:tr>
        <w:tc>
          <w:tcPr>
            <w:tcW w:type="dxa" w:w="1584"/>
            <w:vAlign w:val="top"/>
          </w:tcPr>
          <w:p>
            <w:pPr>
              <w:spacing w:after="0"/>
            </w:pPr>
            <w:r>
              <w:rPr>
                <w:sz w:val="15"/>
              </w:rPr>
              <w:t>Hosting</w:t>
            </w:r>
          </w:p>
        </w:tc>
        <w:tc>
          <w:tcPr>
            <w:tcW w:type="dxa" w:w="3168"/>
            <w:vAlign w:val="top"/>
          </w:tcPr>
          <w:p>
            <w:pPr>
              <w:spacing w:after="0"/>
            </w:pPr>
            <w:r>
              <w:rPr>
                <w:sz w:val="15"/>
              </w:rPr>
              <w:t>GitHub Pages</w:t>
            </w:r>
          </w:p>
        </w:tc>
        <w:tc>
          <w:tcPr>
            <w:tcW w:type="dxa" w:w="5328"/>
            <w:vAlign w:val="top"/>
          </w:tcPr>
          <w:p>
            <w:pPr>
              <w:spacing w:after="0"/>
            </w:pPr>
            <w:r>
              <w:rPr>
                <w:sz w:val="15"/>
              </w:rPr>
              <w:t>Serve index.html, CSS, modules, images, and snapshots over HTTPS.</w:t>
            </w:r>
          </w:p>
        </w:tc>
      </w:tr>
      <w:tr>
        <w:tc>
          <w:tcPr>
            <w:tcW w:type="dxa" w:w="1584"/>
            <w:vAlign w:val="top"/>
          </w:tcPr>
          <w:p>
            <w:pPr>
              <w:spacing w:after="0"/>
            </w:pPr>
            <w:r>
              <w:rPr>
                <w:sz w:val="15"/>
              </w:rPr>
              <w:t>Application shell</w:t>
            </w:r>
          </w:p>
        </w:tc>
        <w:tc>
          <w:tcPr>
            <w:tcW w:type="dxa" w:w="3168"/>
            <w:vAlign w:val="top"/>
          </w:tcPr>
          <w:p>
            <w:pPr>
              <w:spacing w:after="0"/>
            </w:pPr>
            <w:r>
              <w:rPr>
                <w:sz w:val="15"/>
              </w:rPr>
              <w:t>index.html + css/*</w:t>
            </w:r>
          </w:p>
        </w:tc>
        <w:tc>
          <w:tcPr>
            <w:tcW w:type="dxa" w:w="5328"/>
            <w:vAlign w:val="top"/>
          </w:tcPr>
          <w:p>
            <w:r>
              <w:t>Provide branded single-page structure, sticky global header, grouped navigation, and responsive styles.</w:t>
            </w:r>
          </w:p>
        </w:tc>
      </w:tr>
      <w:tr>
        <w:tc>
          <w:tcPr>
            <w:tcW w:type="dxa" w:w="1584"/>
            <w:vAlign w:val="top"/>
          </w:tcPr>
          <w:p>
            <w:pPr>
              <w:spacing w:after="0"/>
            </w:pPr>
            <w:r>
              <w:rPr>
                <w:sz w:val="15"/>
              </w:rPr>
              <w:t>Startup</w:t>
            </w:r>
          </w:p>
        </w:tc>
        <w:tc>
          <w:tcPr>
            <w:tcW w:type="dxa" w:w="3168"/>
            <w:vAlign w:val="top"/>
          </w:tcPr>
          <w:p>
            <w:pPr>
              <w:spacing w:after="0"/>
            </w:pPr>
            <w:r>
              <w:rPr>
                <w:sz w:val="15"/>
              </w:rPr>
              <w:t>js/app.js</w:t>
            </w:r>
          </w:p>
        </w:tc>
        <w:tc>
          <w:tcPr>
            <w:tcW w:type="dxa" w:w="5328"/>
            <w:vAlign w:val="top"/>
          </w:tcPr>
          <w:p>
            <w:r>
              <w:t>Register header events, page history, sorting, session cleanup, startup, and global error listeners.</w:t>
            </w:r>
          </w:p>
        </w:tc>
      </w:tr>
      <w:tr>
        <w:tc>
          <w:tcPr>
            <w:tcW w:type="dxa" w:w="1584"/>
            <w:vAlign w:val="top"/>
          </w:tcPr>
          <w:p>
            <w:pPr>
              <w:spacing w:after="0"/>
            </w:pPr>
            <w:r>
              <w:rPr>
                <w:sz w:val="15"/>
              </w:rPr>
              <w:t>Orchestration</w:t>
            </w:r>
          </w:p>
        </w:tc>
        <w:tc>
          <w:tcPr>
            <w:tcW w:type="dxa" w:w="3168"/>
            <w:vAlign w:val="top"/>
          </w:tcPr>
          <w:p>
            <w:pPr>
              <w:spacing w:after="0"/>
            </w:pPr>
            <w:r>
              <w:rPr>
                <w:sz w:val="15"/>
              </w:rPr>
              <w:t>js/analyze.js + js/render.js</w:t>
            </w:r>
          </w:p>
        </w:tc>
        <w:tc>
          <w:tcPr>
            <w:tcW w:type="dxa" w:w="5328"/>
            <w:vAlign w:val="top"/>
          </w:tcPr>
          <w:p>
            <w:r>
              <w:t>Coordinate current data processing, deferred linked-season evidence, and page rendering.</w:t>
            </w:r>
          </w:p>
        </w:tc>
      </w:tr>
      <w:tr>
        <w:tc>
          <w:tcPr>
            <w:tcW w:type="dxa" w:w="1584"/>
            <w:vAlign w:val="top"/>
          </w:tcPr>
          <w:p>
            <w:pPr>
              <w:spacing w:after="0"/>
            </w:pPr>
            <w:r>
              <w:rPr>
                <w:sz w:val="15"/>
              </w:rPr>
              <w:t>Domain analytics</w:t>
            </w:r>
          </w:p>
        </w:tc>
        <w:tc>
          <w:tcPr>
            <w:tcW w:type="dxa" w:w="3168"/>
            <w:vAlign w:val="top"/>
          </w:tcPr>
          <w:p>
            <w:pPr>
              <w:spacing w:after="0"/>
            </w:pPr>
            <w:r>
              <w:rPr>
                <w:sz w:val="15"/>
              </w:rPr>
              <w:t>js/league.js + js/tiers.js</w:t>
            </w:r>
          </w:p>
        </w:tc>
        <w:tc>
          <w:tcPr>
            <w:tcW w:type="dxa" w:w="5328"/>
            <w:vAlign w:val="top"/>
          </w:tcPr>
          <w:p>
            <w:r>
              <w:t>Calculate lineups, scores, Week 1–17 history, tiers, risk, picks, and insights.</w:t>
            </w:r>
          </w:p>
        </w:tc>
      </w:tr>
      <w:tr>
        <w:tc>
          <w:tcPr>
            <w:tcW w:type="dxa" w:w="1584"/>
            <w:vAlign w:val="top"/>
          </w:tcPr>
          <w:p>
            <w:pPr>
              <w:spacing w:after="0"/>
            </w:pPr>
            <w:r>
              <w:rPr>
                <w:sz w:val="15"/>
              </w:rPr>
              <w:t>Provider layer</w:t>
            </w:r>
          </w:p>
        </w:tc>
        <w:tc>
          <w:tcPr>
            <w:tcW w:type="dxa" w:w="3168"/>
            <w:vAlign w:val="top"/>
          </w:tcPr>
          <w:p>
            <w:pPr>
              <w:spacing w:after="0"/>
            </w:pPr>
            <w:r>
              <w:rPr>
                <w:sz w:val="15"/>
              </w:rPr>
              <w:t>js/api/*</w:t>
            </w:r>
          </w:p>
        </w:tc>
        <w:tc>
          <w:tcPr>
            <w:tcW w:type="dxa" w:w="5328"/>
            <w:vAlign w:val="top"/>
          </w:tcPr>
          <w:p>
            <w:pPr>
              <w:spacing w:after="0"/>
            </w:pPr>
            <w:r>
              <w:rPr>
                <w:sz w:val="15"/>
              </w:rPr>
              <w:t>Load snapshots and live external data through source-specific modules.</w:t>
            </w:r>
          </w:p>
        </w:tc>
      </w:tr>
      <w:tr>
        <w:tc>
          <w:tcPr>
            <w:tcW w:type="dxa" w:w="1584"/>
            <w:vAlign w:val="top"/>
          </w:tcPr>
          <w:p>
            <w:pPr>
              <w:spacing w:after="0"/>
            </w:pPr>
            <w:r>
              <w:rPr>
                <w:sz w:val="15"/>
              </w:rPr>
              <w:t>Views</w:t>
            </w:r>
          </w:p>
        </w:tc>
        <w:tc>
          <w:tcPr>
            <w:tcW w:type="dxa" w:w="3168"/>
            <w:vAlign w:val="top"/>
          </w:tcPr>
          <w:p>
            <w:pPr>
              <w:spacing w:after="0"/>
            </w:pPr>
            <w:r>
              <w:rPr>
                <w:sz w:val="15"/>
              </w:rPr>
              <w:t>js/views/*</w:t>
            </w:r>
          </w:p>
        </w:tc>
        <w:tc>
          <w:tcPr>
            <w:tcW w:type="dxa" w:w="5328"/>
            <w:vAlign w:val="top"/>
          </w:tcPr>
          <w:p>
            <w:pPr>
              <w:spacing w:after="0"/>
            </w:pPr>
            <w:r>
              <w:rPr>
                <w:sz w:val="15"/>
              </w:rPr>
              <w:t>Render each application page.</w:t>
            </w:r>
          </w:p>
        </w:tc>
      </w:tr>
      <w:tr>
        <w:tc>
          <w:tcPr>
            <w:tcW w:type="dxa" w:w="1584"/>
            <w:vAlign w:val="top"/>
          </w:tcPr>
          <w:p>
            <w:pPr>
              <w:spacing w:after="0"/>
            </w:pPr>
            <w:r>
              <w:rPr>
                <w:sz w:val="15"/>
              </w:rPr>
              <w:t>Persistence</w:t>
            </w:r>
          </w:p>
        </w:tc>
        <w:tc>
          <w:tcPr>
            <w:tcW w:type="dxa" w:w="3168"/>
            <w:vAlign w:val="top"/>
          </w:tcPr>
          <w:p>
            <w:pPr>
              <w:spacing w:after="0"/>
            </w:pPr>
            <w:r>
              <w:t>Session memory + data/*.json</w:t>
            </w:r>
          </w:p>
        </w:tc>
        <w:tc>
          <w:tcPr>
            <w:tcW w:type="dxa" w:w="5328"/>
            <w:vAlign w:val="top"/>
          </w:tcPr>
          <w:p>
            <w:pPr>
              <w:spacing w:after="0"/>
            </w:pPr>
            <w:r>
              <w:t>Keep league evidence transient; retain IndexedDB only for the daily public player cache and repository-managed snapshots.</w:t>
            </w:r>
          </w:p>
        </w:tc>
      </w:tr>
      <w:tr>
        <w:tc>
          <w:tcPr>
            <w:tcW w:type="dxa" w:w="1584"/>
            <w:vAlign w:val="top"/>
          </w:tcPr>
          <w:p>
            <w:pPr>
              <w:spacing w:after="0"/>
            </w:pPr>
            <w:r>
              <w:rPr>
                <w:sz w:val="15"/>
              </w:rPr>
              <w:t>Automation</w:t>
            </w:r>
          </w:p>
        </w:tc>
        <w:tc>
          <w:tcPr>
            <w:tcW w:type="dxa" w:w="3168"/>
            <w:vAlign w:val="top"/>
          </w:tcPr>
          <w:p>
            <w:pPr>
              <w:spacing w:after="0"/>
            </w:pPr>
            <w:r>
              <w:rPr>
                <w:sz w:val="15"/>
              </w:rPr>
              <w:t>scripts/* + GitHub Actions</w:t>
            </w:r>
          </w:p>
        </w:tc>
        <w:tc>
          <w:tcPr>
            <w:tcW w:type="dxa" w:w="5328"/>
            <w:vAlign w:val="top"/>
          </w:tcPr>
          <w:p>
            <w:pPr>
              <w:spacing w:after="0"/>
            </w:pPr>
            <w:r>
              <w:rPr>
                <w:sz w:val="15"/>
              </w:rPr>
              <w:t>Refresh snapshots, test, validate, and commit data changes.</w:t>
            </w:r>
          </w:p>
        </w:tc>
      </w:tr>
    </w:tbl>
    <w:p/>
    <w:p>
      <w:pPr>
        <w:pStyle w:val="Heading2"/>
      </w:pPr>
      <w:r>
        <w:t>3.2 End-to-End Runtime Flow</w:t>
      </w:r>
    </w:p>
    <w:p>
      <w:pPr>
        <w:pStyle w:val="ListNumber"/>
      </w:pPr>
      <w:r>
        <w:t>User loads the GitHub Pages URL over HTTPS.</w:t>
      </w:r>
    </w:p>
    <w:p>
      <w:pPr>
        <w:pStyle w:val="ListNumber"/>
      </w:pPr>
      <w:r>
        <w:t>index.html loads js/app.js as an ES module.</w:t>
      </w:r>
    </w:p>
    <w:p>
      <w:pPr>
        <w:pStyle w:val="ListNumber"/>
      </w:pPr>
      <w:r>
        <w:t>The user enters a public Sleeper league ID, optionally adjusts Contender Index weights, and starts analysis through one primary Analyze League action.</w:t>
      </w:r>
    </w:p>
    <w:p>
      <w:pPr>
        <w:pStyle w:val="ListNumber"/>
      </w:pPr>
      <w:r>
        <w:t>analyze.js retrieves current Sleeper and shared provider data, detects league setup, builds a metadata-only linked-season index, and creates the initial Dashboard-ready report.</w:t>
      </w:r>
    </w:p>
    <w:p>
      <w:pPr>
        <w:pStyle w:val="ListNumber"/>
      </w:pPr>
      <w:r>
        <w:t>Provider modules prefer usable same-origin snapshots and use live public endpoints as fallbacks.</w:t>
      </w:r>
    </w:p>
    <w:p>
      <w:pPr>
        <w:pStyle w:val="ListNumber"/>
      </w:pPr>
      <w:r>
        <w:t>league.js and tiers.js build normalized player, team, lineup, pick, score, risk, tier, insight, standing, franchise-summary, and Week 1–17 historical-scoring objects.</w:t>
      </w:r>
    </w:p>
    <w:p>
      <w:pPr>
        <w:pStyle w:val="ListNumber"/>
      </w:pPr>
      <w:r>
        <w:t>render.js calls page-specific modules under js/views/.</w:t>
      </w:r>
    </w:p>
    <w:p>
      <w:pPr>
        <w:pStyle w:val="ListNumber"/>
      </w:pPr>
      <w:r>
        <w:t>Deferred league evidence is cached only in module-scoped session memory and is cleared on reload, tab close, or Change League. The shared header synchronizes report-page selection with browser history while preserving the selected focus team.</w:t>
      </w:r>
    </w:p>
    <w:p>
      <w:pPr>
        <w:pStyle w:val="Heading1"/>
      </w:pPr>
      <w:r>
        <w:t>4. Repository and Module Architecture</w:t>
      </w:r>
    </w:p>
    <w:p>
      <w:pPr>
        <w:pStyle w:val="Heading2"/>
      </w:pPr>
      <w:r>
        <w:t>4.1 Repository Structure</w:t>
      </w:r>
    </w:p>
    <w:p>
      <w:r>
        <w:rPr>
          <w:rFonts w:ascii="Consolas" w:hAnsi="Consolas"/>
          <w:sz w:val="16"/>
        </w:rPr>
        <w:t>fantasy-football-intelligence-hub/</w:t>
        <w:br/>
        <w:t>├── index.html</w:t>
        <w:br/>
        <w:t>├── assets/images/logo.png</w:t>
        <w:br/>
        <w:t>├── css/</w:t>
        <w:br/>
        <w:t>├── js/</w:t>
        <w:br/>
        <w:t>│   ├── app.js, analyze.js, render.js</w:t>
        <w:br/>
        <w:t>│   ├── config.js, state.js, storage.js, utils.js, errors.js</w:t>
        <w:br/>
        <w:t>│   ├── league.js, tiers.js</w:t>
        <w:br/>
        <w:t>│   ├── api/</w:t>
        <w:br/>
        <w:t>│   ├── views/</w:t>
        <w:br/>
        <w:t>│   └── tests/</w:t>
        <w:br/>
        <w:t>├── data/</w:t>
        <w:br/>
        <w:t>├── scripts/</w:t>
        <w:br/>
        <w:t>├── docs/</w:t>
        <w:br/>
        <w:t>├── .github/workflows/update-data.yml</w:t>
        <w:br/>
        <w:t>├── package.json</w:t>
        <w:br/>
        <w:t>└── package-lock.json</w:t>
      </w:r>
    </w:p>
    <w:p>
      <w:pPr>
        <w:pStyle w:val="Heading2"/>
      </w:pPr>
      <w:r>
        <w:t>4.2 Runtime Module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D9EAF7"/>
          </w:tcPr>
          <w:p>
            <w:r>
              <w:rPr>
                <w:b/>
                <w:sz w:val="13"/>
              </w:rPr>
              <w:t>Module</w:t>
            </w:r>
          </w:p>
        </w:tc>
        <w:tc>
          <w:tcPr>
            <w:tcW w:type="dxa" w:w="5400"/>
            <w:shd w:fill="D9EAF7"/>
          </w:tcPr>
          <w:p>
            <w:r>
              <w:rPr>
                <w:b/>
                <w:sz w:val="13"/>
              </w:rPr>
              <w:t>Purpose</w:t>
            </w:r>
          </w:p>
        </w:tc>
        <w:tc>
          <w:tcPr>
            <w:tcW w:type="dxa" w:w="2304"/>
            <w:shd w:fill="D9EAF7"/>
          </w:tcPr>
          <w:p>
            <w:r>
              <w:rPr>
                <w:b/>
                <w:sz w:val="13"/>
              </w:rPr>
              <w:t>Used by</w:t>
            </w:r>
          </w:p>
        </w:tc>
      </w:tr>
      <w:tr>
        <w:tc>
          <w:tcPr>
            <w:tcW w:type="dxa" w:w="2376"/>
            <w:vAlign w:val="top"/>
          </w:tcPr>
          <w:p>
            <w:pPr>
              <w:spacing w:after="0"/>
            </w:pPr>
            <w:r>
              <w:rPr>
                <w:sz w:val="13"/>
              </w:rPr>
              <w:t>js/app.js</w:t>
            </w:r>
          </w:p>
        </w:tc>
        <w:tc>
          <w:tcPr>
            <w:tcW w:type="dxa" w:w="5400"/>
            <w:vAlign w:val="top"/>
          </w:tcPr>
          <w:p>
            <w:r>
              <w:t>Browser entry point. Registers grouped page navigation, Focus Team changes, overflow actions, exports, table sorting, browser history, global errors, and embedded-report startup.</w:t>
            </w:r>
          </w:p>
        </w:tc>
        <w:tc>
          <w:tcPr>
            <w:tcW w:type="dxa" w:w="2304"/>
            <w:vAlign w:val="top"/>
          </w:tcPr>
          <w:p>
            <w:pPr>
              <w:spacing w:after="0"/>
            </w:pPr>
            <w:r>
              <w:rPr>
                <w:sz w:val="13"/>
              </w:rPr>
              <w:t>index.html via &lt;script type="module"&gt;</w:t>
            </w:r>
          </w:p>
        </w:tc>
      </w:tr>
      <w:tr>
        <w:tc>
          <w:tcPr>
            <w:tcW w:type="dxa" w:w="2376"/>
            <w:vAlign w:val="top"/>
          </w:tcPr>
          <w:p>
            <w:pPr>
              <w:spacing w:after="0"/>
            </w:pPr>
            <w:r>
              <w:rPr>
                <w:sz w:val="13"/>
              </w:rPr>
              <w:t>js/analyze.js</w:t>
            </w:r>
          </w:p>
        </w:tc>
        <w:tc>
          <w:tcPr>
            <w:tcW w:type="dxa" w:w="5400"/>
            <w:vAlign w:val="top"/>
          </w:tcPr>
          <w:p>
            <w:pPr>
              <w:spacing w:after="0"/>
            </w:pPr>
            <w:r>
              <w:rPr>
                <w:sz w:val="13"/>
              </w:rPr>
              <w:t>End-to-end league analysis orchestrator.</w:t>
            </w:r>
          </w:p>
        </w:tc>
        <w:tc>
          <w:tcPr>
            <w:tcW w:type="dxa" w:w="2304"/>
            <w:vAlign w:val="top"/>
          </w:tcPr>
          <w:p>
            <w:r>
              <w:t>End-to-end league analysis, including linked-season matchup history and weekly chart data.</w:t>
            </w:r>
          </w:p>
        </w:tc>
      </w:tr>
      <w:tr>
        <w:tc>
          <w:tcPr>
            <w:tcW w:type="dxa" w:w="2376"/>
            <w:vAlign w:val="top"/>
          </w:tcPr>
          <w:p>
            <w:pPr>
              <w:spacing w:after="0"/>
            </w:pPr>
            <w:r>
              <w:rPr>
                <w:sz w:val="13"/>
              </w:rPr>
              <w:t>js/api.js</w:t>
            </w:r>
          </w:p>
        </w:tc>
        <w:tc>
          <w:tcPr>
            <w:tcW w:type="dxa" w:w="5400"/>
            <w:vAlign w:val="top"/>
          </w:tcPr>
          <w:p>
            <w:pPr>
              <w:spacing w:after="0"/>
            </w:pPr>
            <w:r>
              <w:rPr>
                <w:sz w:val="13"/>
              </w:rPr>
              <w:t>Compatibility export bridge for the provider API directory.</w:t>
            </w:r>
          </w:p>
        </w:tc>
        <w:tc>
          <w:tcPr>
            <w:tcW w:type="dxa" w:w="2304"/>
            <w:vAlign w:val="top"/>
          </w:tcPr>
          <w:p>
            <w:pPr>
              <w:spacing w:after="0"/>
            </w:pPr>
            <w:r>
              <w:rPr>
                <w:sz w:val="13"/>
              </w:rPr>
              <w:t>Legacy or future imports expecting js/api.js</w:t>
            </w:r>
          </w:p>
        </w:tc>
      </w:tr>
      <w:tr>
        <w:tc>
          <w:tcPr>
            <w:tcW w:type="dxa" w:w="2376"/>
            <w:vAlign w:val="top"/>
          </w:tcPr>
          <w:p>
            <w:pPr>
              <w:spacing w:after="0"/>
            </w:pPr>
            <w:r>
              <w:rPr>
                <w:sz w:val="13"/>
              </w:rPr>
              <w:t>js/config.js</w:t>
            </w:r>
          </w:p>
        </w:tc>
        <w:tc>
          <w:tcPr>
            <w:tcW w:type="dxa" w:w="5400"/>
            <w:vAlign w:val="top"/>
          </w:tcPr>
          <w:p>
            <w:pPr>
              <w:spacing w:after="0"/>
            </w:pPr>
            <w:r>
              <w:rPr>
                <w:sz w:val="13"/>
              </w:rPr>
              <w:t>Central application version and external endpoint configuration.</w:t>
            </w:r>
          </w:p>
        </w:tc>
        <w:tc>
          <w:tcPr>
            <w:tcW w:type="dxa" w:w="2304"/>
            <w:vAlign w:val="top"/>
          </w:tcPr>
          <w:p>
            <w:pPr>
              <w:spacing w:after="0"/>
            </w:pPr>
            <w:r>
              <w:rPr>
                <w:sz w:val="13"/>
              </w:rPr>
              <w:t>analyze.js, api provider modules, update design references</w:t>
            </w:r>
          </w:p>
        </w:tc>
      </w:tr>
      <w:tr>
        <w:tc>
          <w:tcPr>
            <w:tcW w:type="dxa" w:w="2376"/>
            <w:vAlign w:val="top"/>
          </w:tcPr>
          <w:p>
            <w:pPr>
              <w:spacing w:after="0"/>
            </w:pPr>
            <w:r>
              <w:rPr>
                <w:sz w:val="13"/>
              </w:rPr>
              <w:t>js/errors.js</w:t>
            </w:r>
          </w:p>
        </w:tc>
        <w:tc>
          <w:tcPr>
            <w:tcW w:type="dxa" w:w="5400"/>
            <w:vAlign w:val="top"/>
          </w:tcPr>
          <w:p>
            <w:pPr>
              <w:spacing w:after="0"/>
            </w:pPr>
            <w:r>
              <w:rPr>
                <w:sz w:val="13"/>
              </w:rPr>
              <w:t>Central error normalization, reporting, and user-facing message generation.</w:t>
            </w:r>
          </w:p>
        </w:tc>
        <w:tc>
          <w:tcPr>
            <w:tcW w:type="dxa" w:w="2304"/>
            <w:vAlign w:val="top"/>
          </w:tcPr>
          <w:p>
            <w:pPr>
              <w:spacing w:after="0"/>
            </w:pPr>
            <w:r>
              <w:rPr>
                <w:sz w:val="13"/>
              </w:rPr>
              <w:t>app.js, analyze.js</w:t>
            </w:r>
          </w:p>
        </w:tc>
      </w:tr>
      <w:tr>
        <w:tc>
          <w:tcPr>
            <w:tcW w:type="dxa" w:w="2376"/>
            <w:vAlign w:val="top"/>
          </w:tcPr>
          <w:p>
            <w:pPr>
              <w:spacing w:after="0"/>
            </w:pPr>
            <w:r>
              <w:rPr>
                <w:sz w:val="13"/>
              </w:rPr>
              <w:t>js/league.js</w:t>
            </w:r>
          </w:p>
        </w:tc>
        <w:tc>
          <w:tcPr>
            <w:tcW w:type="dxa" w:w="5400"/>
            <w:vAlign w:val="top"/>
          </w:tcPr>
          <w:p>
            <w:pPr>
              <w:spacing w:after="0"/>
            </w:pPr>
            <w:r>
              <w:rPr>
                <w:sz w:val="13"/>
              </w:rPr>
              <w:t>Core league rules and analytical calculations.</w:t>
            </w:r>
          </w:p>
        </w:tc>
        <w:tc>
          <w:tcPr>
            <w:tcW w:type="dxa" w:w="2304"/>
            <w:vAlign w:val="top"/>
          </w:tcPr>
          <w:p>
            <w:r>
              <w:t>Core league calculations, historical weekly scoring, and Week 17 production cutoff.</w:t>
            </w:r>
          </w:p>
        </w:tc>
      </w:tr>
      <w:tr>
        <w:tc>
          <w:tcPr>
            <w:tcW w:type="dxa" w:w="2376"/>
            <w:vAlign w:val="top"/>
          </w:tcPr>
          <w:p>
            <w:pPr>
              <w:spacing w:after="0"/>
            </w:pPr>
            <w:r>
              <w:rPr>
                <w:sz w:val="13"/>
              </w:rPr>
              <w:t>js/render.js</w:t>
            </w:r>
          </w:p>
        </w:tc>
        <w:tc>
          <w:tcPr>
            <w:tcW w:type="dxa" w:w="5400"/>
            <w:vAlign w:val="top"/>
          </w:tcPr>
          <w:p>
            <w:r>
              <w:t>Top-level presentation and application-shell orchestrator, including header context and persistent active-view behavior.</w:t>
            </w:r>
          </w:p>
        </w:tc>
        <w:tc>
          <w:tcPr>
            <w:tcW w:type="dxa" w:w="2304"/>
            <w:vAlign w:val="top"/>
          </w:tcPr>
          <w:p>
            <w:pPr>
              <w:spacing w:after="0"/>
            </w:pPr>
            <w:r>
              <w:rPr>
                <w:sz w:val="13"/>
              </w:rPr>
              <w:t>app.js, analyze.js</w:t>
            </w:r>
          </w:p>
        </w:tc>
      </w:tr>
      <w:tr>
        <w:tc>
          <w:tcPr>
            <w:tcW w:type="dxa" w:w="2376"/>
            <w:vAlign w:val="top"/>
          </w:tcPr>
          <w:p>
            <w:pPr>
              <w:spacing w:after="0"/>
            </w:pPr>
            <w:r>
              <w:rPr>
                <w:sz w:val="13"/>
              </w:rPr>
              <w:t>js/state.js</w:t>
            </w:r>
          </w:p>
        </w:tc>
        <w:tc>
          <w:tcPr>
            <w:tcW w:type="dxa" w:w="5400"/>
            <w:vAlign w:val="top"/>
          </w:tcPr>
          <w:p>
            <w:pPr>
              <w:spacing w:after="0"/>
            </w:pPr>
            <w:r>
              <w:rPr>
                <w:sz w:val="13"/>
              </w:rPr>
              <w:t>Single shared in-memory state object.</w:t>
            </w:r>
          </w:p>
        </w:tc>
        <w:tc>
          <w:tcPr>
            <w:tcW w:type="dxa" w:w="2304"/>
            <w:vAlign w:val="top"/>
          </w:tcPr>
          <w:p>
            <w:pPr>
              <w:spacing w:after="0"/>
            </w:pPr>
            <w:r>
              <w:rPr>
                <w:sz w:val="13"/>
              </w:rPr>
              <w:t>app.js, render.js, view modules, analyze.js</w:t>
            </w:r>
          </w:p>
        </w:tc>
      </w:tr>
      <w:tr>
        <w:tc>
          <w:tcPr>
            <w:tcW w:type="dxa" w:w="2376"/>
            <w:vAlign w:val="top"/>
          </w:tcPr>
          <w:p>
            <w:pPr>
              <w:spacing w:after="0"/>
            </w:pPr>
            <w:r>
              <w:rPr>
                <w:sz w:val="13"/>
              </w:rPr>
              <w:t>js/storage.js</w:t>
            </w:r>
          </w:p>
        </w:tc>
        <w:tc>
          <w:tcPr>
            <w:tcW w:type="dxa" w:w="5400"/>
            <w:vAlign w:val="top"/>
          </w:tcPr>
          <w:p>
            <w:pPr>
              <w:spacing w:after="0"/>
            </w:pPr>
            <w:r>
              <w:rPr>
                <w:sz w:val="13"/>
              </w:rPr>
              <w:t>IndexedDB cache abstraction.</w:t>
            </w:r>
          </w:p>
        </w:tc>
        <w:tc>
          <w:tcPr>
            <w:tcW w:type="dxa" w:w="2304"/>
            <w:vAlign w:val="top"/>
          </w:tcPr>
          <w:p>
            <w:pPr>
              <w:spacing w:after="0"/>
            </w:pPr>
            <w:r>
              <w:rPr>
                <w:sz w:val="13"/>
              </w:rPr>
              <w:t>app.js, analyze.js, api/sleeper.js</w:t>
            </w:r>
          </w:p>
        </w:tc>
      </w:tr>
      <w:tr>
        <w:tc>
          <w:tcPr>
            <w:tcW w:type="dxa" w:w="2376"/>
            <w:vAlign w:val="top"/>
          </w:tcPr>
          <w:p>
            <w:pPr>
              <w:spacing w:after="0"/>
            </w:pPr>
            <w:r>
              <w:rPr>
                <w:sz w:val="13"/>
              </w:rPr>
              <w:t>js/tiers.js</w:t>
            </w:r>
          </w:p>
        </w:tc>
        <w:tc>
          <w:tcPr>
            <w:tcW w:type="dxa" w:w="5400"/>
            <w:vAlign w:val="top"/>
          </w:tcPr>
          <w:p>
            <w:pPr>
              <w:spacing w:after="0"/>
            </w:pPr>
            <w:r>
              <w:rPr>
                <w:sz w:val="13"/>
              </w:rPr>
              <w:t>Player tier scoring and evidence-backed team insight generation.</w:t>
            </w:r>
          </w:p>
        </w:tc>
        <w:tc>
          <w:tcPr>
            <w:tcW w:type="dxa" w:w="2304"/>
            <w:vAlign w:val="top"/>
          </w:tcPr>
          <w:p>
            <w:pPr>
              <w:spacing w:after="0"/>
            </w:pPr>
            <w:r>
              <w:rPr>
                <w:sz w:val="13"/>
              </w:rPr>
              <w:t>analyze.js, render.js, views/tiers.js, tests</w:t>
            </w:r>
          </w:p>
        </w:tc>
      </w:tr>
      <w:tr>
        <w:tc>
          <w:tcPr>
            <w:tcW w:type="dxa" w:w="2376"/>
            <w:vAlign w:val="top"/>
          </w:tcPr>
          <w:p>
            <w:pPr>
              <w:spacing w:after="0"/>
            </w:pPr>
            <w:r>
              <w:rPr>
                <w:sz w:val="13"/>
              </w:rPr>
              <w:t>js/utils.js</w:t>
            </w:r>
          </w:p>
        </w:tc>
        <w:tc>
          <w:tcPr>
            <w:tcW w:type="dxa" w:w="5400"/>
            <w:vAlign w:val="top"/>
          </w:tcPr>
          <w:p>
            <w:pPr>
              <w:spacing w:after="0"/>
            </w:pPr>
            <w:r>
              <w:rPr>
                <w:sz w:val="13"/>
              </w:rPr>
              <w:t>Shared DOM, numeric, formatting, CSV, download, and status helpers.</w:t>
            </w:r>
          </w:p>
        </w:tc>
        <w:tc>
          <w:tcPr>
            <w:tcW w:type="dxa" w:w="2304"/>
            <w:vAlign w:val="top"/>
          </w:tcPr>
          <w:p>
            <w:pPr>
              <w:spacing w:after="0"/>
            </w:pPr>
            <w:r>
              <w:rPr>
                <w:sz w:val="13"/>
              </w:rPr>
              <w:t>Most runtime modules</w:t>
            </w:r>
          </w:p>
        </w:tc>
      </w:tr>
      <w:tr>
        <w:tc>
          <w:tcPr>
            <w:tcW w:type="dxa" w:w="2376"/>
            <w:vAlign w:val="top"/>
          </w:tcPr>
          <w:p>
            <w:pPr>
              <w:spacing w:after="0"/>
            </w:pPr>
            <w:r>
              <w:rPr>
                <w:sz w:val="13"/>
              </w:rPr>
              <w:t>js/api/http.js</w:t>
            </w:r>
          </w:p>
        </w:tc>
        <w:tc>
          <w:tcPr>
            <w:tcW w:type="dxa" w:w="5400"/>
            <w:vAlign w:val="top"/>
          </w:tcPr>
          <w:p>
            <w:pPr>
              <w:spacing w:after="0"/>
            </w:pPr>
            <w:r>
              <w:rPr>
                <w:sz w:val="13"/>
              </w:rPr>
              <w:t>Low-level HTTP and same-origin snapshot utilities.</w:t>
            </w:r>
          </w:p>
        </w:tc>
        <w:tc>
          <w:tcPr>
            <w:tcW w:type="dxa" w:w="2304"/>
            <w:vAlign w:val="top"/>
          </w:tcPr>
          <w:p>
            <w:pPr>
              <w:spacing w:after="0"/>
            </w:pPr>
            <w:r>
              <w:rPr>
                <w:sz w:val="13"/>
              </w:rPr>
              <w:t>All provider modules</w:t>
            </w:r>
          </w:p>
        </w:tc>
      </w:tr>
      <w:tr>
        <w:tc>
          <w:tcPr>
            <w:tcW w:type="dxa" w:w="2376"/>
            <w:vAlign w:val="top"/>
          </w:tcPr>
          <w:p>
            <w:pPr>
              <w:spacing w:after="0"/>
            </w:pPr>
            <w:r>
              <w:rPr>
                <w:sz w:val="13"/>
              </w:rPr>
              <w:t>js/api/sleeper.js</w:t>
            </w:r>
          </w:p>
        </w:tc>
        <w:tc>
          <w:tcPr>
            <w:tcW w:type="dxa" w:w="5400"/>
            <w:vAlign w:val="top"/>
          </w:tcPr>
          <w:p>
            <w:pPr>
              <w:spacing w:after="0"/>
            </w:pPr>
            <w:r>
              <w:rPr>
                <w:sz w:val="13"/>
              </w:rPr>
              <w:t>Sleeper-specific league and player retrieval.</w:t>
            </w:r>
          </w:p>
        </w:tc>
        <w:tc>
          <w:tcPr>
            <w:tcW w:type="dxa" w:w="2304"/>
            <w:vAlign w:val="top"/>
          </w:tcPr>
          <w:p>
            <w:r>
              <w:t>Sleeper league, player, current and linked-season matchup retrieval; Week 18 is excluded.</w:t>
            </w:r>
          </w:p>
        </w:tc>
      </w:tr>
      <w:tr>
        <w:tc>
          <w:tcPr>
            <w:tcW w:type="dxa" w:w="2376"/>
            <w:vAlign w:val="top"/>
          </w:tcPr>
          <w:p>
            <w:pPr>
              <w:spacing w:after="0"/>
            </w:pPr>
            <w:r>
              <w:rPr>
                <w:sz w:val="13"/>
              </w:rPr>
              <w:t>js/api/rosterAudit.js</w:t>
            </w:r>
          </w:p>
        </w:tc>
        <w:tc>
          <w:tcPr>
            <w:tcW w:type="dxa" w:w="5400"/>
            <w:vAlign w:val="top"/>
          </w:tcPr>
          <w:p>
            <w:pPr>
              <w:spacing w:after="0"/>
            </w:pPr>
            <w:r>
              <w:rPr>
                <w:sz w:val="13"/>
              </w:rPr>
              <w:t>RosterAudit value, projection, and pick provider.</w:t>
            </w:r>
          </w:p>
        </w:tc>
        <w:tc>
          <w:tcPr>
            <w:tcW w:type="dxa" w:w="2304"/>
            <w:vAlign w:val="top"/>
          </w:tcPr>
          <w:p>
            <w:pPr>
              <w:spacing w:after="0"/>
            </w:pPr>
            <w:r>
              <w:rPr>
                <w:sz w:val="13"/>
              </w:rPr>
              <w:t>analyze.js</w:t>
            </w:r>
          </w:p>
        </w:tc>
      </w:tr>
      <w:tr>
        <w:tc>
          <w:tcPr>
            <w:tcW w:type="dxa" w:w="2376"/>
            <w:vAlign w:val="top"/>
          </w:tcPr>
          <w:p>
            <w:pPr>
              <w:spacing w:after="0"/>
            </w:pPr>
            <w:r>
              <w:rPr>
                <w:sz w:val="13"/>
              </w:rPr>
              <w:t>js/api/dynastyProcess.js</w:t>
            </w:r>
          </w:p>
        </w:tc>
        <w:tc>
          <w:tcPr>
            <w:tcW w:type="dxa" w:w="5400"/>
            <w:vAlign w:val="top"/>
          </w:tcPr>
          <w:p>
            <w:pPr>
              <w:spacing w:after="0"/>
            </w:pPr>
            <w:r>
              <w:rPr>
                <w:sz w:val="13"/>
              </w:rPr>
              <w:t>DynastyProcess identity and market-value provider.</w:t>
            </w:r>
          </w:p>
        </w:tc>
        <w:tc>
          <w:tcPr>
            <w:tcW w:type="dxa" w:w="2304"/>
            <w:vAlign w:val="top"/>
          </w:tcPr>
          <w:p>
            <w:pPr>
              <w:spacing w:after="0"/>
            </w:pPr>
            <w:r>
              <w:rPr>
                <w:sz w:val="13"/>
              </w:rPr>
              <w:t>analyze.js</w:t>
            </w:r>
          </w:p>
        </w:tc>
      </w:tr>
      <w:tr>
        <w:tc>
          <w:tcPr>
            <w:tcW w:type="dxa" w:w="2376"/>
            <w:vAlign w:val="top"/>
          </w:tcPr>
          <w:p>
            <w:pPr>
              <w:spacing w:after="0"/>
            </w:pPr>
            <w:r>
              <w:rPr>
                <w:sz w:val="13"/>
              </w:rPr>
              <w:t>js/api/projections.js</w:t>
            </w:r>
          </w:p>
        </w:tc>
        <w:tc>
          <w:tcPr>
            <w:tcW w:type="dxa" w:w="5400"/>
            <w:vAlign w:val="top"/>
          </w:tcPr>
          <w:p>
            <w:pPr>
              <w:spacing w:after="0"/>
            </w:pPr>
            <w:r>
              <w:rPr>
                <w:sz w:val="13"/>
              </w:rPr>
              <w:t>Sleeper projection response normalization and fallback loading.</w:t>
            </w:r>
          </w:p>
        </w:tc>
        <w:tc>
          <w:tcPr>
            <w:tcW w:type="dxa" w:w="2304"/>
            <w:vAlign w:val="top"/>
          </w:tcPr>
          <w:p>
            <w:pPr>
              <w:spacing w:after="0"/>
            </w:pPr>
            <w:r>
              <w:rPr>
                <w:sz w:val="13"/>
              </w:rPr>
              <w:t>analyze.js</w:t>
            </w:r>
          </w:p>
        </w:tc>
      </w:tr>
      <w:tr>
        <w:tc>
          <w:tcPr>
            <w:tcW w:type="dxa" w:w="2376"/>
            <w:vAlign w:val="top"/>
          </w:tcPr>
          <w:p>
            <w:pPr>
              <w:spacing w:after="0"/>
            </w:pPr>
            <w:r>
              <w:rPr>
                <w:sz w:val="13"/>
              </w:rPr>
              <w:t>js/api/index.js</w:t>
            </w:r>
          </w:p>
        </w:tc>
        <w:tc>
          <w:tcPr>
            <w:tcW w:type="dxa" w:w="5400"/>
            <w:vAlign w:val="top"/>
          </w:tcPr>
          <w:p>
            <w:pPr>
              <w:spacing w:after="0"/>
            </w:pPr>
            <w:r>
              <w:rPr>
                <w:sz w:val="13"/>
              </w:rPr>
              <w:t>Public barrel export for provider modules.</w:t>
            </w:r>
          </w:p>
        </w:tc>
        <w:tc>
          <w:tcPr>
            <w:tcW w:type="dxa" w:w="2304"/>
            <w:vAlign w:val="top"/>
          </w:tcPr>
          <w:p>
            <w:pPr>
              <w:spacing w:after="0"/>
            </w:pPr>
            <w:r>
              <w:rPr>
                <w:sz w:val="13"/>
              </w:rPr>
              <w:t>analyze.js, api.js bridge</w:t>
            </w:r>
          </w:p>
        </w:tc>
      </w:tr>
      <w:tr>
        <w:tc>
          <w:tcPr>
            <w:tcW w:type="dxa" w:w="2376"/>
            <w:vAlign w:val="top"/>
          </w:tcPr>
          <w:p>
            <w:pPr>
              <w:spacing w:after="0"/>
            </w:pPr>
            <w:r>
              <w:rPr>
                <w:sz w:val="13"/>
              </w:rPr>
              <w:t>js/views/shared.js</w:t>
            </w:r>
          </w:p>
        </w:tc>
        <w:tc>
          <w:tcPr>
            <w:tcW w:type="dxa" w:w="5400"/>
            <w:vAlign w:val="top"/>
          </w:tcPr>
          <w:p>
            <w:pPr>
              <w:spacing w:after="0"/>
            </w:pPr>
            <w:r>
              <w:rPr>
                <w:sz w:val="13"/>
              </w:rPr>
              <w:t>Shared presentation helpers for tables and evidence blocks.</w:t>
            </w:r>
          </w:p>
        </w:tc>
        <w:tc>
          <w:tcPr>
            <w:tcW w:type="dxa" w:w="2304"/>
            <w:vAlign w:val="top"/>
          </w:tcPr>
          <w:p>
            <w:pPr>
              <w:spacing w:after="0"/>
            </w:pPr>
            <w:r>
              <w:rPr>
                <w:sz w:val="13"/>
              </w:rPr>
              <w:t>Dashboard, team, lineup, trade, and player views</w:t>
            </w:r>
          </w:p>
        </w:tc>
      </w:tr>
      <w:tr>
        <w:tc>
          <w:tcPr>
            <w:tcW w:type="dxa" w:w="2376"/>
            <w:vAlign w:val="top"/>
          </w:tcPr>
          <w:p>
            <w:pPr>
              <w:spacing w:after="0"/>
            </w:pPr>
            <w:r>
              <w:rPr>
                <w:sz w:val="13"/>
              </w:rPr>
              <w:t>js/views/dashboard.js</w:t>
            </w:r>
          </w:p>
        </w:tc>
        <w:tc>
          <w:tcPr>
            <w:tcW w:type="dxa" w:w="5400"/>
            <w:vAlign w:val="top"/>
          </w:tcPr>
          <w:p>
            <w:pPr>
              <w:spacing w:after="0"/>
            </w:pPr>
            <w:r>
              <w:rPr>
                <w:sz w:val="13"/>
              </w:rPr>
              <w:t>League dashboard page renderer.</w:t>
            </w:r>
          </w:p>
        </w:tc>
        <w:tc>
          <w:tcPr>
            <w:tcW w:type="dxa" w:w="2304"/>
            <w:vAlign w:val="top"/>
          </w:tcPr>
          <w:p>
            <w:r>
              <w:t>League-centric dashboard with scoring history and power rankings.</w:t>
            </w:r>
          </w:p>
        </w:tc>
      </w:tr>
      <w:tr>
        <w:tc>
          <w:tcPr>
            <w:tcW w:type="dxa" w:w="2376"/>
            <w:vAlign w:val="top"/>
          </w:tcPr>
          <w:p>
            <w:pPr>
              <w:spacing w:after="0"/>
            </w:pPr>
            <w:r>
              <w:rPr>
                <w:sz w:val="13"/>
              </w:rPr>
              <w:t>js/views/teams.js</w:t>
            </w:r>
          </w:p>
        </w:tc>
        <w:tc>
          <w:tcPr>
            <w:tcW w:type="dxa" w:w="5400"/>
            <w:vAlign w:val="top"/>
          </w:tcPr>
          <w:p>
            <w:pPr>
              <w:spacing w:after="0"/>
            </w:pPr>
            <w:r>
              <w:rPr>
                <w:sz w:val="13"/>
              </w:rPr>
              <w:t>Team Insights page renderer.</w:t>
            </w:r>
          </w:p>
        </w:tc>
        <w:tc>
          <w:tcPr>
            <w:tcW w:type="dxa" w:w="2304"/>
            <w:vAlign w:val="top"/>
          </w:tcPr>
          <w:p>
            <w:r>
              <w:t>Focused-team recommendations, reviews, candidates, lineup evidence, and full roster.</w:t>
            </w:r>
          </w:p>
        </w:tc>
      </w:tr>
      <w:tr>
        <w:tc>
          <w:tcPr>
            <w:tcW w:type="dxa" w:w="2376"/>
            <w:vAlign w:val="top"/>
          </w:tcPr>
          <w:p>
            <w:pPr>
              <w:spacing w:after="0"/>
            </w:pPr>
            <w:r>
              <w:rPr>
                <w:sz w:val="13"/>
              </w:rPr>
              <w:t>js/views/lineups.js</w:t>
            </w:r>
          </w:p>
        </w:tc>
        <w:tc>
          <w:tcPr>
            <w:tcW w:type="dxa" w:w="5400"/>
            <w:vAlign w:val="top"/>
          </w:tcPr>
          <w:p>
            <w:pPr>
              <w:spacing w:after="0"/>
            </w:pPr>
            <w:r>
              <w:rPr>
                <w:sz w:val="13"/>
              </w:rPr>
              <w:t>Optimal Lineups page renderer.</w:t>
            </w:r>
          </w:p>
        </w:tc>
        <w:tc>
          <w:tcPr>
            <w:tcW w:type="dxa" w:w="2304"/>
            <w:vAlign w:val="top"/>
          </w:tcPr>
          <w:p>
            <w:r>
              <w:t>Intentionally blank Coming Soon! placeholder.</w:t>
            </w:r>
          </w:p>
        </w:tc>
      </w:tr>
      <w:tr>
        <w:tc>
          <w:tcPr>
            <w:tcW w:type="dxa" w:w="2376"/>
            <w:vAlign w:val="top"/>
          </w:tcPr>
          <w:p>
            <w:pPr>
              <w:spacing w:after="0"/>
            </w:pPr>
            <w:r>
              <w:rPr>
                <w:sz w:val="13"/>
              </w:rPr>
              <w:t>js/views/trade.js</w:t>
            </w:r>
          </w:p>
        </w:tc>
        <w:tc>
          <w:tcPr>
            <w:tcW w:type="dxa" w:w="5400"/>
            <w:vAlign w:val="top"/>
          </w:tcPr>
          <w:p>
            <w:pPr>
              <w:spacing w:after="0"/>
            </w:pPr>
            <w:r>
              <w:rPr>
                <w:sz w:val="13"/>
              </w:rPr>
              <w:t>Trade Finder page and target-ranking helpers.</w:t>
            </w:r>
          </w:p>
        </w:tc>
        <w:tc>
          <w:tcPr>
            <w:tcW w:type="dxa" w:w="2304"/>
            <w:vAlign w:val="top"/>
          </w:tcPr>
          <w:p>
            <w:pPr>
              <w:spacing w:after="0"/>
            </w:pPr>
            <w:r>
              <w:rPr>
                <w:sz w:val="13"/>
              </w:rPr>
              <w:t>render.js</w:t>
            </w:r>
          </w:p>
        </w:tc>
      </w:tr>
      <w:tr>
        <w:tc>
          <w:tcPr>
            <w:tcW w:type="dxa" w:w="2376"/>
            <w:vAlign w:val="top"/>
          </w:tcPr>
          <w:p>
            <w:pPr>
              <w:spacing w:after="0"/>
            </w:pPr>
            <w:r>
              <w:rPr>
                <w:sz w:val="13"/>
              </w:rPr>
              <w:t>js/views/players.js</w:t>
            </w:r>
          </w:p>
        </w:tc>
        <w:tc>
          <w:tcPr>
            <w:tcW w:type="dxa" w:w="5400"/>
            <w:vAlign w:val="top"/>
          </w:tcPr>
          <w:p>
            <w:pPr>
              <w:spacing w:after="0"/>
            </w:pPr>
            <w:r>
              <w:rPr>
                <w:sz w:val="13"/>
              </w:rPr>
              <w:t>Player Master page renderer.</w:t>
            </w:r>
          </w:p>
        </w:tc>
        <w:tc>
          <w:tcPr>
            <w:tcW w:type="dxa" w:w="2304"/>
            <w:vAlign w:val="top"/>
          </w:tcPr>
          <w:p>
            <w:pPr>
              <w:spacing w:after="0"/>
            </w:pPr>
            <w:r>
              <w:rPr>
                <w:sz w:val="13"/>
              </w:rPr>
              <w:t>render.js</w:t>
            </w:r>
          </w:p>
        </w:tc>
      </w:tr>
      <w:tr>
        <w:tc>
          <w:tcPr>
            <w:tcW w:type="dxa" w:w="2376"/>
            <w:vAlign w:val="top"/>
          </w:tcPr>
          <w:p>
            <w:pPr>
              <w:spacing w:after="0"/>
            </w:pPr>
            <w:r>
              <w:rPr>
                <w:sz w:val="13"/>
              </w:rPr>
              <w:t>js/views/tiers.js</w:t>
            </w:r>
          </w:p>
        </w:tc>
        <w:tc>
          <w:tcPr>
            <w:tcW w:type="dxa" w:w="5400"/>
            <w:vAlign w:val="top"/>
          </w:tcPr>
          <w:p>
            <w:pPr>
              <w:spacing w:after="0"/>
            </w:pPr>
            <w:r>
              <w:rPr>
                <w:sz w:val="13"/>
              </w:rPr>
              <w:t>Player Tiers page renderer.</w:t>
            </w:r>
          </w:p>
        </w:tc>
        <w:tc>
          <w:tcPr>
            <w:tcW w:type="dxa" w:w="2304"/>
            <w:vAlign w:val="top"/>
          </w:tcPr>
          <w:p>
            <w:pPr>
              <w:spacing w:after="0"/>
            </w:pPr>
            <w:r>
              <w:rPr>
                <w:sz w:val="13"/>
              </w:rPr>
              <w:t>render.js</w:t>
            </w:r>
          </w:p>
        </w:tc>
      </w:tr>
      <w:tr>
        <w:tc>
          <w:tcPr>
            <w:tcW w:type="dxa" w:w="2376"/>
            <w:vAlign w:val="top"/>
          </w:tcPr>
          <w:p>
            <w:pPr>
              <w:spacing w:after="0"/>
            </w:pPr>
            <w:r>
              <w:rPr>
                <w:sz w:val="13"/>
              </w:rPr>
              <w:t>js/views/picks.js</w:t>
            </w:r>
          </w:p>
        </w:tc>
        <w:tc>
          <w:tcPr>
            <w:tcW w:type="dxa" w:w="5400"/>
            <w:vAlign w:val="top"/>
          </w:tcPr>
          <w:p>
            <w:pPr>
              <w:spacing w:after="0"/>
            </w:pPr>
            <w:r>
              <w:rPr>
                <w:sz w:val="13"/>
              </w:rPr>
              <w:t>Draft Capital page renderer.</w:t>
            </w:r>
          </w:p>
        </w:tc>
        <w:tc>
          <w:tcPr>
            <w:tcW w:type="dxa" w:w="2304"/>
            <w:vAlign w:val="top"/>
          </w:tcPr>
          <w:p>
            <w:pPr>
              <w:spacing w:after="0"/>
            </w:pPr>
            <w:r>
              <w:rPr>
                <w:sz w:val="13"/>
              </w:rPr>
              <w:t>render.js</w:t>
            </w:r>
          </w:p>
        </w:tc>
      </w:tr>
      <w:tr>
        <w:tc>
          <w:tcPr>
            <w:tcW w:type="dxa" w:w="2376"/>
            <w:vAlign w:val="top"/>
          </w:tcPr>
          <w:p>
            <w:pPr>
              <w:spacing w:after="0"/>
            </w:pPr>
            <w:r>
              <w:rPr>
                <w:sz w:val="13"/>
              </w:rPr>
              <w:t>js/views/methodology.js</w:t>
            </w:r>
          </w:p>
        </w:tc>
        <w:tc>
          <w:tcPr>
            <w:tcW w:type="dxa" w:w="5400"/>
            <w:vAlign w:val="top"/>
          </w:tcPr>
          <w:p>
            <w:pPr>
              <w:spacing w:after="0"/>
            </w:pPr>
            <w:r>
              <w:rPr>
                <w:sz w:val="13"/>
              </w:rPr>
              <w:t>Methodology page renderer.</w:t>
            </w:r>
          </w:p>
        </w:tc>
        <w:tc>
          <w:tcPr>
            <w:tcW w:type="dxa" w:w="2304"/>
            <w:vAlign w:val="top"/>
          </w:tcPr>
          <w:p>
            <w:pPr>
              <w:spacing w:after="0"/>
            </w:pPr>
            <w:r>
              <w:rPr>
                <w:sz w:val="13"/>
              </w:rPr>
              <w:t>render.js</w:t>
            </w:r>
          </w:p>
        </w:tc>
      </w:tr>
    </w:tbl>
    <w:p/>
    <w:p>
      <w:pPr>
        <w:pStyle w:val="Heading2"/>
      </w:pPr>
      <w:r>
        <w:t>4.3 Companion JavaScript Documentation</w:t>
      </w:r>
    </w:p>
    <w:p>
      <w:r>
        <w:t>Every JavaScript and Node automation file has a companion `&lt;filename&gt;.README.md` file located beside the source file. The master index is stored at `docs/JAVASCRIPT_FILE_DOCUMENTATION_INDEX.md`. These files explain purpose, responsibilities, dependencies, consumers, and maintenance constraints.</w:t>
      </w:r>
    </w:p>
    <w:p>
      <w:pPr>
        <w:pStyle w:val="Heading1"/>
      </w:pPr>
      <w:r>
        <w:t>5. Application Components and User Experience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9EAF7"/>
          </w:tcPr>
          <w:p>
            <w:r>
              <w:rPr>
                <w:b/>
                <w:sz w:val="16"/>
              </w:rPr>
              <w:t>Component</w:t>
            </w:r>
          </w:p>
        </w:tc>
        <w:tc>
          <w:tcPr>
            <w:tcW w:type="dxa" w:w="7632"/>
            <w:shd w:fill="D9EAF7"/>
          </w:tcPr>
          <w:p>
            <w:r>
              <w:rPr>
                <w:b/>
                <w:sz w:val="16"/>
              </w:rPr>
              <w:t>Responsibility</w:t>
            </w:r>
          </w:p>
        </w:tc>
      </w:tr>
      <w:tr>
        <w:tc>
          <w:tcPr>
            <w:tcW w:type="dxa" w:w="2448"/>
            <w:vAlign w:val="top"/>
          </w:tcPr>
          <w:p>
            <w:pPr>
              <w:spacing w:after="0"/>
            </w:pPr>
            <w:r>
              <w:rPr>
                <w:sz w:val="16"/>
              </w:rPr>
              <w:t>Landing / League Selection</w:t>
            </w:r>
          </w:p>
        </w:tc>
        <w:tc>
          <w:tcPr>
            <w:tcW w:type="dxa" w:w="7632"/>
            <w:vAlign w:val="top"/>
          </w:tcPr>
          <w:p>
            <w:r>
              <w:t>One primary Analyze League action; automatic format, linked-season, and future-pick detection; Contender Ranking Weights; advanced overrides; paced loading; and secondary previous-report/live-data actions.</w:t>
            </w:r>
          </w:p>
        </w:tc>
      </w:tr>
      <w:tr>
        <w:tc>
          <w:tcPr>
            <w:tcW w:type="dxa" w:w="2448"/>
            <w:vAlign w:val="top"/>
          </w:tcPr>
          <w:p>
            <w:pPr>
              <w:spacing w:after="0"/>
            </w:pPr>
            <w:r>
              <w:rPr>
                <w:sz w:val="16"/>
              </w:rPr>
              <w:t>Persistent Header</w:t>
            </w:r>
          </w:p>
        </w:tc>
        <w:tc>
          <w:tcPr>
            <w:tcW w:type="dxa" w:w="7632"/>
            <w:vAlign w:val="top"/>
          </w:tcPr>
          <w:p>
            <w:r>
              <w:t>Sticky logo-based application header with grouped report-page selector, league name, detected settings, analysis timestamp, Focus Team selector, data status, version badge, responsive behavior, browser-history synchronization, and overflow actions.</w:t>
            </w:r>
          </w:p>
        </w:tc>
      </w:tr>
      <w:tr>
        <w:tc>
          <w:tcPr>
            <w:tcW w:type="dxa" w:w="2448"/>
            <w:vAlign w:val="top"/>
          </w:tcPr>
          <w:p>
            <w:pPr>
              <w:spacing w:after="0"/>
            </w:pPr>
            <w:r>
              <w:rPr>
                <w:sz w:val="16"/>
              </w:rPr>
              <w:t>Dashboard</w:t>
            </w:r>
          </w:p>
        </w:tc>
        <w:tc>
          <w:tcPr>
            <w:tcW w:type="dxa" w:w="7632"/>
            <w:vAlign w:val="top"/>
          </w:tcPr>
          <w:p>
            <w:r>
              <w:t>League Scoring History (all reported Week 1–17 scores, focused team bold, comparison lines faint, completed-season wins view) and full-width League Power Rankings.</w:t>
            </w:r>
          </w:p>
        </w:tc>
      </w:tr>
      <w:tr>
        <w:tc>
          <w:tcPr>
            <w:tcW w:type="dxa" w:w="2448"/>
            <w:vAlign w:val="top"/>
          </w:tcPr>
          <w:p>
            <w:pPr>
              <w:spacing w:after="0"/>
            </w:pPr>
            <w:r>
              <w:rPr>
                <w:sz w:val="16"/>
              </w:rPr>
              <w:t>Team Insights</w:t>
            </w:r>
          </w:p>
        </w:tc>
        <w:tc>
          <w:tcPr>
            <w:tcW w:type="dxa" w:w="7632"/>
            <w:vAlign w:val="top"/>
          </w:tcPr>
          <w:p>
            <w:r>
              <w:t>Focused-team championship recommendation, current and historical context, roster profile, strengths/weaknesses, position/bench/draft reviews, Build/Shop candidates, optimal-lineup evidence, and full roster.</w:t>
            </w:r>
          </w:p>
        </w:tc>
      </w:tr>
      <w:tr>
        <w:tc>
          <w:tcPr>
            <w:tcW w:type="dxa" w:w="2448"/>
            <w:vAlign w:val="top"/>
          </w:tcPr>
          <w:p>
            <w:pPr>
              <w:spacing w:after="0"/>
            </w:pPr>
            <w:r>
              <w:rPr>
                <w:sz w:val="16"/>
              </w:rPr>
              <w:t>Optimal Lineups</w:t>
            </w:r>
          </w:p>
        </w:tc>
        <w:tc>
          <w:tcPr>
            <w:tcW w:type="dxa" w:w="7632"/>
            <w:vAlign w:val="top"/>
          </w:tcPr>
          <w:p>
            <w:r>
              <w:t>Coming Soon! placeholder; optimal-lineup evidence is retained on Team Insights.</w:t>
            </w:r>
          </w:p>
        </w:tc>
      </w:tr>
      <w:tr>
        <w:tc>
          <w:tcPr>
            <w:tcW w:type="dxa" w:w="2448"/>
            <w:vAlign w:val="top"/>
          </w:tcPr>
          <w:p>
            <w:pPr>
              <w:spacing w:after="0"/>
            </w:pPr>
            <w:r>
              <w:rPr>
                <w:sz w:val="16"/>
              </w:rPr>
              <w:t>Trade Finder</w:t>
            </w:r>
          </w:p>
        </w:tc>
        <w:tc>
          <w:tcPr>
            <w:tcW w:type="dxa" w:w="7632"/>
            <w:vAlign w:val="top"/>
          </w:tcPr>
          <w:p>
            <w:pPr>
              <w:spacing w:after="0"/>
            </w:pPr>
            <w:r>
              <w:rPr>
                <w:sz w:val="16"/>
              </w:rPr>
              <w:t>Projected upgrades to the weakest legal slot, ranked by gain relative to cost.</w:t>
            </w:r>
          </w:p>
        </w:tc>
      </w:tr>
      <w:tr>
        <w:tc>
          <w:tcPr>
            <w:tcW w:type="dxa" w:w="2448"/>
            <w:vAlign w:val="top"/>
          </w:tcPr>
          <w:p>
            <w:pPr>
              <w:spacing w:after="0"/>
            </w:pPr>
            <w:r>
              <w:rPr>
                <w:sz w:val="16"/>
              </w:rPr>
              <w:t>Player Master</w:t>
            </w:r>
          </w:p>
        </w:tc>
        <w:tc>
          <w:tcPr>
            <w:tcW w:type="dxa" w:w="7632"/>
            <w:vAlign w:val="top"/>
          </w:tcPr>
          <w:p>
            <w:pPr>
              <w:spacing w:after="0"/>
            </w:pPr>
            <w:r>
              <w:rPr>
                <w:sz w:val="16"/>
              </w:rPr>
              <w:t>Filterable rostered and relevant free-agent analytical records.</w:t>
            </w:r>
          </w:p>
        </w:tc>
      </w:tr>
      <w:tr>
        <w:tc>
          <w:tcPr>
            <w:tcW w:type="dxa" w:w="2448"/>
            <w:vAlign w:val="top"/>
          </w:tcPr>
          <w:p>
            <w:pPr>
              <w:spacing w:after="0"/>
            </w:pPr>
            <w:r>
              <w:rPr>
                <w:sz w:val="16"/>
              </w:rPr>
              <w:t>Player Tiers</w:t>
            </w:r>
          </w:p>
        </w:tc>
        <w:tc>
          <w:tcPr>
            <w:tcW w:type="dxa" w:w="7632"/>
            <w:vAlign w:val="top"/>
          </w:tcPr>
          <w:p>
            <w:pPr>
              <w:spacing w:after="0"/>
            </w:pPr>
            <w:r>
              <w:rPr>
                <w:sz w:val="16"/>
              </w:rPr>
              <w:t>Tier S and Tiers 1-4 using projection, value, and longevity.</w:t>
            </w:r>
          </w:p>
        </w:tc>
      </w:tr>
      <w:tr>
        <w:tc>
          <w:tcPr>
            <w:tcW w:type="dxa" w:w="2448"/>
            <w:vAlign w:val="top"/>
          </w:tcPr>
          <w:p>
            <w:pPr>
              <w:spacing w:after="0"/>
            </w:pPr>
            <w:r>
              <w:rPr>
                <w:sz w:val="16"/>
              </w:rPr>
              <w:t>Draft Capital</w:t>
            </w:r>
          </w:p>
        </w:tc>
        <w:tc>
          <w:tcPr>
            <w:tcW w:type="dxa" w:w="7632"/>
            <w:vAlign w:val="top"/>
          </w:tcPr>
          <w:p>
            <w:pPr>
              <w:spacing w:after="0"/>
            </w:pPr>
            <w:r>
              <w:rPr>
                <w:sz w:val="16"/>
              </w:rPr>
              <w:t>Capital leaderboard, portfolios, ownership matrix, and movement.</w:t>
            </w:r>
          </w:p>
        </w:tc>
      </w:tr>
      <w:tr>
        <w:tc>
          <w:tcPr>
            <w:tcW w:type="dxa" w:w="2448"/>
            <w:vAlign w:val="top"/>
          </w:tcPr>
          <w:p>
            <w:pPr>
              <w:spacing w:after="0"/>
            </w:pPr>
            <w:r>
              <w:rPr>
                <w:sz w:val="16"/>
              </w:rPr>
              <w:t>Methodology</w:t>
            </w:r>
          </w:p>
        </w:tc>
        <w:tc>
          <w:tcPr>
            <w:tcW w:type="dxa" w:w="7632"/>
            <w:vAlign w:val="top"/>
          </w:tcPr>
          <w:p>
            <w:pPr>
              <w:spacing w:after="0"/>
            </w:pPr>
            <w:r>
              <w:rPr>
                <w:sz w:val="16"/>
              </w:rPr>
              <w:t>Formulas, weights, sources, limitations, and interpretation.</w:t>
            </w:r>
          </w:p>
        </w:tc>
      </w:tr>
      <w:tr>
        <w:tc>
          <w:tcPr>
            <w:tcW w:type="dxa" w:w="2448"/>
            <w:vAlign w:val="top"/>
          </w:tcPr>
          <w:p>
            <w:pPr>
              <w:spacing w:after="0"/>
            </w:pPr>
            <w:r>
              <w:rPr>
                <w:sz w:val="16"/>
              </w:rPr>
              <w:t>Exports</w:t>
            </w:r>
          </w:p>
        </w:tc>
        <w:tc>
          <w:tcPr>
            <w:tcW w:type="dxa" w:w="7632"/>
            <w:vAlign w:val="top"/>
          </w:tcPr>
          <w:p>
            <w:pPr>
              <w:spacing w:after="0"/>
            </w:pPr>
            <w:r>
              <w:rPr>
                <w:sz w:val="16"/>
              </w:rPr>
              <w:t>Analysis JSON, ranking CSV, player CSV, embedded HTML, and print/PDF.</w:t>
            </w:r>
          </w:p>
        </w:tc>
      </w:tr>
    </w:tbl>
    <w:p/>
    <w:p>
      <w:pPr>
        <w:pStyle w:val="Heading1"/>
      </w:pPr>
      <w:r>
        <w:t>6. Data Processing and Analytical Logic</w:t>
      </w:r>
    </w:p>
    <w:p>
      <w:pPr>
        <w:pStyle w:val="Heading2"/>
      </w:pPr>
      <w:r>
        <w:t>6.1 Identity and Normalization</w:t>
      </w:r>
    </w:p>
    <w:p>
      <w:pPr>
        <w:pStyle w:val="ListBullet"/>
      </w:pPr>
      <w:r>
        <w:t>Sleeper player ID remains the primary runtime key.</w:t>
      </w:r>
    </w:p>
    <w:p>
      <w:pPr>
        <w:pStyle w:val="ListBullet"/>
      </w:pPr>
      <w:r>
        <w:t>DynastyProcess supplies FantasyPros, GSIS, KeepTradeCut, draft, college, and secondary value fields when available.</w:t>
      </w:r>
    </w:p>
    <w:p>
      <w:pPr>
        <w:pStyle w:val="ListBullet"/>
      </w:pPr>
      <w:r>
        <w:t>Normalized names are fallback joins only.</w:t>
      </w:r>
    </w:p>
    <w:p>
      <w:pPr>
        <w:pStyle w:val="ListBullet"/>
      </w:pPr>
      <w:r>
        <w:t>Free agents are included when active or when projection/value signals exceed relevance thresholds.</w:t>
      </w:r>
    </w:p>
    <w:p>
      <w:pPr>
        <w:pStyle w:val="ListBullet"/>
      </w:pPr>
      <w:r>
        <w:t>Expected PPG remains projected season total divided by 17.</w:t>
      </w:r>
    </w:p>
    <w:p>
      <w:pPr>
        <w:pStyle w:val="Heading2"/>
      </w:pPr>
      <w:r>
        <w:t>6.2 Core Formulas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9EAF7"/>
          </w:tcPr>
          <w:p>
            <w:r>
              <w:rPr>
                <w:b/>
                <w:sz w:val="16"/>
              </w:rPr>
              <w:t>Metric</w:t>
            </w:r>
          </w:p>
        </w:tc>
        <w:tc>
          <w:tcPr>
            <w:tcW w:type="dxa" w:w="7632"/>
            <w:shd w:fill="D9EAF7"/>
          </w:tcPr>
          <w:p>
            <w:r>
              <w:rPr>
                <w:b/>
                <w:sz w:val="16"/>
              </w:rPr>
              <w:t>Rule</w:t>
            </w:r>
          </w:p>
        </w:tc>
      </w:tr>
      <w:tr>
        <w:tc>
          <w:tcPr>
            <w:tcW w:type="dxa" w:w="2448"/>
            <w:vAlign w:val="top"/>
          </w:tcPr>
          <w:p>
            <w:pPr>
              <w:spacing w:after="0"/>
            </w:pPr>
            <w:r>
              <w:rPr>
                <w:sz w:val="16"/>
              </w:rPr>
              <w:t>Optimal lineup</w:t>
            </w:r>
          </w:p>
        </w:tc>
        <w:tc>
          <w:tcPr>
            <w:tcW w:type="dxa" w:w="7632"/>
            <w:vAlign w:val="top"/>
          </w:tcPr>
          <w:p>
            <w:pPr>
              <w:spacing w:after="0"/>
            </w:pPr>
            <w:r>
              <w:rPr>
                <w:sz w:val="16"/>
              </w:rPr>
              <w:t>Minimum-cost flow with negative expected PPG as edge cost; each player used at most once; taxi excluded.</w:t>
            </w:r>
          </w:p>
        </w:tc>
      </w:tr>
      <w:tr>
        <w:tc>
          <w:tcPr>
            <w:tcW w:type="dxa" w:w="2448"/>
            <w:vAlign w:val="top"/>
          </w:tcPr>
          <w:p>
            <w:pPr>
              <w:spacing w:after="0"/>
            </w:pPr>
            <w:r>
              <w:rPr>
                <w:sz w:val="16"/>
              </w:rPr>
              <w:t>Depth</w:t>
            </w:r>
          </w:p>
        </w:tc>
        <w:tc>
          <w:tcPr>
            <w:tcW w:type="dxa" w:w="7632"/>
            <w:vAlign w:val="top"/>
          </w:tcPr>
          <w:p>
            <w:pPr>
              <w:spacing w:after="0"/>
            </w:pPr>
            <w:r>
              <w:rPr>
                <w:sz w:val="16"/>
              </w:rPr>
              <w:t>45% of the sum of expected PPG for the top six eligible bench players.</w:t>
            </w:r>
          </w:p>
        </w:tc>
      </w:tr>
      <w:tr>
        <w:tc>
          <w:tcPr>
            <w:tcW w:type="dxa" w:w="2448"/>
            <w:vAlign w:val="top"/>
          </w:tcPr>
          <w:p>
            <w:pPr>
              <w:spacing w:after="0"/>
            </w:pPr>
            <w:r>
              <w:rPr>
                <w:sz w:val="16"/>
              </w:rPr>
              <w:t>Consensus dynasty value</w:t>
            </w:r>
          </w:p>
        </w:tc>
        <w:tc>
          <w:tcPr>
            <w:tcW w:type="dxa" w:w="7632"/>
            <w:vAlign w:val="top"/>
          </w:tcPr>
          <w:p>
            <w:pPr>
              <w:spacing w:after="0"/>
            </w:pPr>
            <w:r>
              <w:rPr>
                <w:sz w:val="16"/>
              </w:rPr>
              <w:t>Mean of available RosterAudit and DynastyProcess values.</w:t>
            </w:r>
          </w:p>
        </w:tc>
      </w:tr>
      <w:tr>
        <w:tc>
          <w:tcPr>
            <w:tcW w:type="dxa" w:w="2448"/>
            <w:vAlign w:val="top"/>
          </w:tcPr>
          <w:p>
            <w:pPr>
              <w:spacing w:after="0"/>
            </w:pPr>
            <w:r>
              <w:rPr>
                <w:sz w:val="16"/>
              </w:rPr>
              <w:t>Contender score</w:t>
            </w:r>
          </w:p>
        </w:tc>
        <w:tc>
          <w:tcPr>
            <w:tcW w:type="dxa" w:w="7632"/>
            <w:vAlign w:val="top"/>
          </w:tcPr>
          <w:p>
            <w:pPr>
              <w:spacing w:after="0"/>
            </w:pPr>
            <w:r>
              <w:rPr>
                <w:sz w:val="16"/>
              </w:rPr>
              <w:t>40% projection + 15% depth + 15% production + 15% dynasty + 10% low risk + 5% picks.</w:t>
            </w:r>
          </w:p>
        </w:tc>
      </w:tr>
      <w:tr>
        <w:tc>
          <w:tcPr>
            <w:tcW w:type="dxa" w:w="2448"/>
            <w:vAlign w:val="top"/>
          </w:tcPr>
          <w:p>
            <w:pPr>
              <w:spacing w:after="0"/>
            </w:pPr>
            <w:r>
              <w:rPr>
                <w:sz w:val="16"/>
              </w:rPr>
              <w:t>Franchise score</w:t>
            </w:r>
          </w:p>
        </w:tc>
        <w:tc>
          <w:tcPr>
            <w:tcW w:type="dxa" w:w="7632"/>
            <w:vAlign w:val="top"/>
          </w:tcPr>
          <w:p>
            <w:pPr>
              <w:spacing w:after="0"/>
            </w:pPr>
            <w:r>
              <w:rPr>
                <w:sz w:val="16"/>
              </w:rPr>
              <w:t>40% dynasty + 25% young value + 15% picks + 10% projection + 10% low risk.</w:t>
            </w:r>
          </w:p>
        </w:tc>
      </w:tr>
      <w:tr>
        <w:tc>
          <w:tcPr>
            <w:tcW w:type="dxa" w:w="2448"/>
            <w:vAlign w:val="top"/>
          </w:tcPr>
          <w:p>
            <w:pPr>
              <w:spacing w:after="0"/>
            </w:pPr>
            <w:r>
              <w:rPr>
                <w:sz w:val="16"/>
              </w:rPr>
              <w:t>Player tier composite</w:t>
            </w:r>
          </w:p>
        </w:tc>
        <w:tc>
          <w:tcPr>
            <w:tcW w:type="dxa" w:w="7632"/>
            <w:vAlign w:val="top"/>
          </w:tcPr>
          <w:p>
            <w:pPr>
              <w:spacing w:after="0"/>
            </w:pPr>
            <w:r>
              <w:rPr>
                <w:sz w:val="16"/>
              </w:rPr>
              <w:t>60% same-position expected-PPG percentile + 25% value percentile + 15% longevity percentile.</w:t>
            </w:r>
          </w:p>
        </w:tc>
      </w:tr>
      <w:tr>
        <w:tc>
          <w:tcPr>
            <w:tcW w:type="dxa" w:w="2448"/>
            <w:vAlign w:val="top"/>
          </w:tcPr>
          <w:p>
            <w:pPr>
              <w:spacing w:after="0"/>
            </w:pPr>
            <w:r>
              <w:rPr>
                <w:sz w:val="16"/>
              </w:rPr>
              <w:t>Risk</w:t>
            </w:r>
          </w:p>
        </w:tc>
        <w:tc>
          <w:tcPr>
            <w:tcW w:type="dxa" w:w="7632"/>
            <w:vAlign w:val="top"/>
          </w:tcPr>
          <w:p>
            <w:pPr>
              <w:spacing w:after="0"/>
            </w:pPr>
            <w:r>
              <w:rPr>
                <w:sz w:val="16"/>
              </w:rPr>
              <w:t>Rule-based 0-100 score using age, injury/status, NFL team, depth order, projected games, and value fragility.</w:t>
            </w:r>
          </w:p>
        </w:tc>
      </w:tr>
    </w:tbl>
    <w:p/>
    <w:p>
      <w:pPr>
        <w:pStyle w:val="Heading1"/>
      </w:pPr>
      <w:r>
        <w:t>7. External Data Sources and Provider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584"/>
            <w:shd w:fill="D9EAF7"/>
          </w:tcPr>
          <w:p>
            <w:r>
              <w:rPr>
                <w:b/>
                <w:sz w:val="14"/>
              </w:rPr>
              <w:t>Provider</w:t>
            </w:r>
          </w:p>
        </w:tc>
        <w:tc>
          <w:tcPr>
            <w:tcW w:type="dxa" w:w="2088"/>
            <w:shd w:fill="D9EAF7"/>
          </w:tcPr>
          <w:p>
            <w:r>
              <w:rPr>
                <w:b/>
                <w:sz w:val="14"/>
              </w:rPr>
              <w:t>Module</w:t>
            </w:r>
          </w:p>
        </w:tc>
        <w:tc>
          <w:tcPr>
            <w:tcW w:type="dxa" w:w="2376"/>
            <w:shd w:fill="D9EAF7"/>
          </w:tcPr>
          <w:p>
            <w:r>
              <w:rPr>
                <w:b/>
                <w:sz w:val="14"/>
              </w:rPr>
              <w:t>Snapshot</w:t>
            </w:r>
          </w:p>
        </w:tc>
        <w:tc>
          <w:tcPr>
            <w:tcW w:type="dxa" w:w="1296"/>
            <w:shd w:fill="D9EAF7"/>
          </w:tcPr>
          <w:p>
            <w:r>
              <w:rPr>
                <w:b/>
                <w:sz w:val="14"/>
              </w:rPr>
              <w:t>Live fallback</w:t>
            </w:r>
          </w:p>
        </w:tc>
        <w:tc>
          <w:tcPr>
            <w:tcW w:type="dxa" w:w="3456"/>
            <w:shd w:fill="D9EAF7"/>
          </w:tcPr>
          <w:p>
            <w:r>
              <w:rPr>
                <w:b/>
                <w:sz w:val="14"/>
              </w:rPr>
              <w:t>Primary data</w:t>
            </w:r>
          </w:p>
        </w:tc>
      </w:tr>
      <w:tr>
        <w:tc>
          <w:tcPr>
            <w:tcW w:type="dxa" w:w="1584"/>
            <w:vAlign w:val="top"/>
          </w:tcPr>
          <w:p>
            <w:pPr>
              <w:spacing w:after="0"/>
            </w:pPr>
            <w:r>
              <w:rPr>
                <w:sz w:val="14"/>
              </w:rPr>
              <w:t>Sleeper league</w:t>
            </w:r>
          </w:p>
        </w:tc>
        <w:tc>
          <w:tcPr>
            <w:tcW w:type="dxa" w:w="2088"/>
            <w:vAlign w:val="top"/>
          </w:tcPr>
          <w:p>
            <w:pPr>
              <w:spacing w:after="0"/>
            </w:pPr>
            <w:r>
              <w:rPr>
                <w:sz w:val="14"/>
              </w:rPr>
              <w:t>api/sleeper.js</w:t>
            </w:r>
          </w:p>
        </w:tc>
        <w:tc>
          <w:tcPr>
            <w:tcW w:type="dxa" w:w="2376"/>
            <w:vAlign w:val="top"/>
          </w:tcPr>
          <w:p>
            <w:pPr>
              <w:spacing w:after="0"/>
            </w:pPr>
            <w:r>
              <w:rPr>
                <w:sz w:val="14"/>
              </w:rPr>
              <w:t>Player directory only</w:t>
            </w:r>
          </w:p>
        </w:tc>
        <w:tc>
          <w:tcPr>
            <w:tcW w:type="dxa" w:w="1296"/>
            <w:vAlign w:val="top"/>
          </w:tcPr>
          <w:p>
            <w:pPr>
              <w:spacing w:after="0"/>
            </w:pPr>
            <w:r>
              <w:rPr>
                <w:sz w:val="14"/>
              </w:rPr>
              <w:t>Yes</w:t>
            </w:r>
          </w:p>
        </w:tc>
        <w:tc>
          <w:tcPr>
            <w:tcW w:type="dxa" w:w="3456"/>
            <w:vAlign w:val="top"/>
          </w:tcPr>
          <w:p>
            <w:r>
              <w:t>League, users, rosters, matchups through Week 17, picks, drafts, NFL state.</w:t>
            </w:r>
          </w:p>
        </w:tc>
      </w:tr>
      <w:tr>
        <w:tc>
          <w:tcPr>
            <w:tcW w:type="dxa" w:w="1584"/>
            <w:vAlign w:val="top"/>
          </w:tcPr>
          <w:p>
            <w:pPr>
              <w:spacing w:after="0"/>
            </w:pPr>
            <w:r>
              <w:rPr>
                <w:sz w:val="14"/>
              </w:rPr>
              <w:t>Sleeper projections</w:t>
            </w:r>
          </w:p>
        </w:tc>
        <w:tc>
          <w:tcPr>
            <w:tcW w:type="dxa" w:w="2088"/>
            <w:vAlign w:val="top"/>
          </w:tcPr>
          <w:p>
            <w:pPr>
              <w:spacing w:after="0"/>
            </w:pPr>
            <w:r>
              <w:rPr>
                <w:sz w:val="14"/>
              </w:rPr>
              <w:t>api/projections.js</w:t>
            </w:r>
          </w:p>
        </w:tc>
        <w:tc>
          <w:tcPr>
            <w:tcW w:type="dxa" w:w="2376"/>
            <w:vAlign w:val="top"/>
          </w:tcPr>
          <w:p>
            <w:pPr>
              <w:spacing w:after="0"/>
            </w:pPr>
            <w:r>
              <w:rPr>
                <w:sz w:val="14"/>
              </w:rPr>
              <w:t>data/projections.json</w:t>
            </w:r>
          </w:p>
        </w:tc>
        <w:tc>
          <w:tcPr>
            <w:tcW w:type="dxa" w:w="1296"/>
            <w:vAlign w:val="top"/>
          </w:tcPr>
          <w:p>
            <w:pPr>
              <w:spacing w:after="0"/>
            </w:pPr>
            <w:r>
              <w:rPr>
                <w:sz w:val="14"/>
              </w:rPr>
              <w:t>Yes</w:t>
            </w:r>
          </w:p>
        </w:tc>
        <w:tc>
          <w:tcPr>
            <w:tcW w:type="dxa" w:w="3456"/>
            <w:vAlign w:val="top"/>
          </w:tcPr>
          <w:p>
            <w:pPr>
              <w:spacing w:after="0"/>
            </w:pPr>
            <w:r>
              <w:rPr>
                <w:sz w:val="14"/>
              </w:rPr>
              <w:t>Projected fantasy totals and games.</w:t>
            </w:r>
          </w:p>
        </w:tc>
      </w:tr>
      <w:tr>
        <w:tc>
          <w:tcPr>
            <w:tcW w:type="dxa" w:w="1584"/>
            <w:vAlign w:val="top"/>
          </w:tcPr>
          <w:p>
            <w:pPr>
              <w:spacing w:after="0"/>
            </w:pPr>
            <w:r>
              <w:rPr>
                <w:sz w:val="14"/>
              </w:rPr>
              <w:t>RosterAudit</w:t>
            </w:r>
          </w:p>
        </w:tc>
        <w:tc>
          <w:tcPr>
            <w:tcW w:type="dxa" w:w="2088"/>
            <w:vAlign w:val="top"/>
          </w:tcPr>
          <w:p>
            <w:pPr>
              <w:spacing w:after="0"/>
            </w:pPr>
            <w:r>
              <w:rPr>
                <w:sz w:val="14"/>
              </w:rPr>
              <w:t>api/rosterAudit.js</w:t>
            </w:r>
          </w:p>
        </w:tc>
        <w:tc>
          <w:tcPr>
            <w:tcW w:type="dxa" w:w="2376"/>
            <w:vAlign w:val="top"/>
          </w:tcPr>
          <w:p>
            <w:pPr>
              <w:spacing w:after="0"/>
            </w:pPr>
            <w:r>
              <w:rPr>
                <w:sz w:val="14"/>
              </w:rPr>
              <w:t>Values, projections, picks JSON</w:t>
            </w:r>
          </w:p>
        </w:tc>
        <w:tc>
          <w:tcPr>
            <w:tcW w:type="dxa" w:w="1296"/>
            <w:vAlign w:val="top"/>
          </w:tcPr>
          <w:p>
            <w:pPr>
              <w:spacing w:after="0"/>
            </w:pPr>
            <w:r>
              <w:rPr>
                <w:sz w:val="14"/>
              </w:rPr>
              <w:t>Yes</w:t>
            </w:r>
          </w:p>
        </w:tc>
        <w:tc>
          <w:tcPr>
            <w:tcW w:type="dxa" w:w="3456"/>
            <w:vAlign w:val="top"/>
          </w:tcPr>
          <w:p>
            <w:pPr>
              <w:spacing w:after="0"/>
            </w:pPr>
            <w:r>
              <w:rPr>
                <w:sz w:val="14"/>
              </w:rPr>
              <w:t>Primary dynasty values, trends, projections, pick information.</w:t>
            </w:r>
          </w:p>
        </w:tc>
      </w:tr>
      <w:tr>
        <w:tc>
          <w:tcPr>
            <w:tcW w:type="dxa" w:w="1584"/>
            <w:vAlign w:val="top"/>
          </w:tcPr>
          <w:p>
            <w:pPr>
              <w:spacing w:after="0"/>
            </w:pPr>
            <w:r>
              <w:rPr>
                <w:sz w:val="14"/>
              </w:rPr>
              <w:t>DynastyProcess</w:t>
            </w:r>
          </w:p>
        </w:tc>
        <w:tc>
          <w:tcPr>
            <w:tcW w:type="dxa" w:w="2088"/>
            <w:vAlign w:val="top"/>
          </w:tcPr>
          <w:p>
            <w:pPr>
              <w:spacing w:after="0"/>
            </w:pPr>
            <w:r>
              <w:rPr>
                <w:sz w:val="14"/>
              </w:rPr>
              <w:t>api/dynastyProcess.js</w:t>
            </w:r>
          </w:p>
        </w:tc>
        <w:tc>
          <w:tcPr>
            <w:tcW w:type="dxa" w:w="2376"/>
            <w:vAlign w:val="top"/>
          </w:tcPr>
          <w:p>
            <w:pPr>
              <w:spacing w:after="0"/>
            </w:pPr>
            <w:r>
              <w:rPr>
                <w:sz w:val="14"/>
              </w:rPr>
              <w:t>data/dynasty-process.json</w:t>
            </w:r>
          </w:p>
        </w:tc>
        <w:tc>
          <w:tcPr>
            <w:tcW w:type="dxa" w:w="1296"/>
            <w:vAlign w:val="top"/>
          </w:tcPr>
          <w:p>
            <w:pPr>
              <w:spacing w:after="0"/>
            </w:pPr>
            <w:r>
              <w:rPr>
                <w:sz w:val="14"/>
              </w:rPr>
              <w:t>Yes</w:t>
            </w:r>
          </w:p>
        </w:tc>
        <w:tc>
          <w:tcPr>
            <w:tcW w:type="dxa" w:w="3456"/>
            <w:vAlign w:val="top"/>
          </w:tcPr>
          <w:p>
            <w:pPr>
              <w:spacing w:after="0"/>
            </w:pPr>
            <w:r>
              <w:rPr>
                <w:sz w:val="14"/>
              </w:rPr>
              <w:t>Secondary values and cross-platform identifiers.</w:t>
            </w:r>
          </w:p>
        </w:tc>
      </w:tr>
    </w:tbl>
    <w:p/>
    <w:p>
      <w:pPr>
        <w:pStyle w:val="Heading2"/>
      </w:pPr>
      <w:r>
        <w:t>7.1 Provider Fallback Pattern</w:t>
      </w:r>
    </w:p>
    <w:p>
      <w:pPr>
        <w:pStyle w:val="ListNumber"/>
      </w:pPr>
      <w:r>
        <w:t>Attempt to load the same-origin snapshot.</w:t>
      </w:r>
    </w:p>
    <w:p>
      <w:pPr>
        <w:pStyle w:val="ListNumber"/>
      </w:pPr>
      <w:r>
        <w:t>Validate that the snapshot has usable content and, where relevant, the correct season or format.</w:t>
      </w:r>
    </w:p>
    <w:p>
      <w:pPr>
        <w:pStyle w:val="ListNumber"/>
      </w:pPr>
      <w:r>
        <w:t>Use the live public endpoint when the snapshot is empty or unsuitable.</w:t>
      </w:r>
    </w:p>
    <w:p>
      <w:pPr>
        <w:pStyle w:val="ListNumber"/>
      </w:pPr>
      <w:r>
        <w:t>Return a source label so status badges and diagnostics distinguish snapshot from live data.</w:t>
      </w:r>
    </w:p>
    <w:p>
      <w:pPr>
        <w:pStyle w:val="ListNumber"/>
      </w:pPr>
      <w:r>
        <w:t>Use Promise.allSettled for optional providers so Sleeper league analysis can continue when a market source fails.</w:t>
      </w:r>
    </w:p>
    <w:p>
      <w:pPr>
        <w:pStyle w:val="Heading1"/>
      </w:pPr>
      <w:r>
        <w:t>8. Snapshot Automation and GitHub Actions</w:t>
      </w:r>
    </w:p>
    <w:p>
      <w:pPr>
        <w:pStyle w:val="Heading2"/>
      </w:pPr>
      <w:r>
        <w:t>8.1 Snapshot Files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D9EAF7"/>
          </w:tcPr>
          <w:p>
            <w:r>
              <w:rPr>
                <w:b/>
                <w:sz w:val="14"/>
              </w:rPr>
              <w:t>File</w:t>
            </w:r>
          </w:p>
        </w:tc>
        <w:tc>
          <w:tcPr>
            <w:tcW w:type="dxa" w:w="2880"/>
            <w:shd w:fill="D9EAF7"/>
          </w:tcPr>
          <w:p>
            <w:r>
              <w:rPr>
                <w:b/>
                <w:sz w:val="14"/>
              </w:rPr>
              <w:t>Top-level fields</w:t>
            </w:r>
          </w:p>
        </w:tc>
        <w:tc>
          <w:tcPr>
            <w:tcW w:type="dxa" w:w="4176"/>
            <w:shd w:fill="D9EAF7"/>
          </w:tcPr>
          <w:p>
            <w:r>
              <w:rPr>
                <w:b/>
                <w:sz w:val="14"/>
              </w:rPr>
              <w:t>Purpose</w:t>
            </w:r>
          </w:p>
        </w:tc>
      </w:tr>
      <w:tr>
        <w:tc>
          <w:tcPr>
            <w:tcW w:type="dxa" w:w="3024"/>
            <w:vAlign w:val="top"/>
          </w:tcPr>
          <w:p>
            <w:pPr>
              <w:spacing w:after="0"/>
            </w:pPr>
            <w:r>
              <w:rPr>
                <w:sz w:val="14"/>
              </w:rPr>
              <w:t>data/players.json</w:t>
            </w:r>
          </w:p>
        </w:tc>
        <w:tc>
          <w:tcPr>
            <w:tcW w:type="dxa" w:w="2880"/>
            <w:vAlign w:val="top"/>
          </w:tcPr>
          <w:p>
            <w:pPr>
              <w:spacing w:after="0"/>
            </w:pPr>
            <w:r>
              <w:rPr>
                <w:sz w:val="14"/>
              </w:rPr>
              <w:t>generatedAt, players</w:t>
            </w:r>
          </w:p>
        </w:tc>
        <w:tc>
          <w:tcPr>
            <w:tcW w:type="dxa" w:w="4176"/>
            <w:vAlign w:val="top"/>
          </w:tcPr>
          <w:p>
            <w:pPr>
              <w:spacing w:after="0"/>
            </w:pPr>
            <w:r>
              <w:rPr>
                <w:sz w:val="14"/>
              </w:rPr>
              <w:t>Sleeper player directory keyed by player ID.</w:t>
            </w:r>
          </w:p>
        </w:tc>
      </w:tr>
      <w:tr>
        <w:tc>
          <w:tcPr>
            <w:tcW w:type="dxa" w:w="3024"/>
            <w:vAlign w:val="top"/>
          </w:tcPr>
          <w:p>
            <w:pPr>
              <w:spacing w:after="0"/>
            </w:pPr>
            <w:r>
              <w:rPr>
                <w:sz w:val="14"/>
              </w:rPr>
              <w:t>data/projections.json</w:t>
            </w:r>
          </w:p>
        </w:tc>
        <w:tc>
          <w:tcPr>
            <w:tcW w:type="dxa" w:w="2880"/>
            <w:vAlign w:val="top"/>
          </w:tcPr>
          <w:p>
            <w:pPr>
              <w:spacing w:after="0"/>
            </w:pPr>
            <w:r>
              <w:rPr>
                <w:sz w:val="14"/>
              </w:rPr>
              <w:t>generatedAt, season, players</w:t>
            </w:r>
          </w:p>
        </w:tc>
        <w:tc>
          <w:tcPr>
            <w:tcW w:type="dxa" w:w="4176"/>
            <w:vAlign w:val="top"/>
          </w:tcPr>
          <w:p>
            <w:pPr>
              <w:spacing w:after="0"/>
            </w:pPr>
            <w:r>
              <w:rPr>
                <w:sz w:val="14"/>
              </w:rPr>
              <w:t>Season-specific Sleeper projections.</w:t>
            </w:r>
          </w:p>
        </w:tc>
      </w:tr>
      <w:tr>
        <w:tc>
          <w:tcPr>
            <w:tcW w:type="dxa" w:w="3024"/>
            <w:vAlign w:val="top"/>
          </w:tcPr>
          <w:p>
            <w:pPr>
              <w:spacing w:after="0"/>
            </w:pPr>
            <w:r>
              <w:rPr>
                <w:sz w:val="14"/>
              </w:rPr>
              <w:t>data/dynasty-values.json</w:t>
            </w:r>
          </w:p>
        </w:tc>
        <w:tc>
          <w:tcPr>
            <w:tcW w:type="dxa" w:w="2880"/>
            <w:vAlign w:val="top"/>
          </w:tcPr>
          <w:p>
            <w:pPr>
              <w:spacing w:after="0"/>
            </w:pPr>
            <w:r>
              <w:rPr>
                <w:sz w:val="14"/>
              </w:rPr>
              <w:t>generatedAt, formats</w:t>
            </w:r>
          </w:p>
        </w:tc>
        <w:tc>
          <w:tcPr>
            <w:tcW w:type="dxa" w:w="4176"/>
            <w:vAlign w:val="top"/>
          </w:tcPr>
          <w:p>
            <w:pPr>
              <w:spacing w:after="0"/>
            </w:pPr>
            <w:r>
              <w:rPr>
                <w:sz w:val="14"/>
              </w:rPr>
              <w:t>RosterAudit values grouped by formatKey.</w:t>
            </w:r>
          </w:p>
        </w:tc>
      </w:tr>
      <w:tr>
        <w:tc>
          <w:tcPr>
            <w:tcW w:type="dxa" w:w="3024"/>
            <w:vAlign w:val="top"/>
          </w:tcPr>
          <w:p>
            <w:pPr>
              <w:spacing w:after="0"/>
            </w:pPr>
            <w:r>
              <w:rPr>
                <w:sz w:val="14"/>
              </w:rPr>
              <w:t>data/roster-audit-projections.json</w:t>
            </w:r>
          </w:p>
        </w:tc>
        <w:tc>
          <w:tcPr>
            <w:tcW w:type="dxa" w:w="2880"/>
            <w:vAlign w:val="top"/>
          </w:tcPr>
          <w:p>
            <w:pPr>
              <w:spacing w:after="0"/>
            </w:pPr>
            <w:r>
              <w:rPr>
                <w:sz w:val="14"/>
              </w:rPr>
              <w:t>generatedAt, data</w:t>
            </w:r>
          </w:p>
        </w:tc>
        <w:tc>
          <w:tcPr>
            <w:tcW w:type="dxa" w:w="4176"/>
            <w:vAlign w:val="top"/>
          </w:tcPr>
          <w:p>
            <w:pPr>
              <w:spacing w:after="0"/>
            </w:pPr>
            <w:r>
              <w:rPr>
                <w:sz w:val="14"/>
              </w:rPr>
              <w:t>RosterAudit projection payload.</w:t>
            </w:r>
          </w:p>
        </w:tc>
      </w:tr>
      <w:tr>
        <w:tc>
          <w:tcPr>
            <w:tcW w:type="dxa" w:w="3024"/>
            <w:vAlign w:val="top"/>
          </w:tcPr>
          <w:p>
            <w:pPr>
              <w:spacing w:after="0"/>
            </w:pPr>
            <w:r>
              <w:rPr>
                <w:sz w:val="14"/>
              </w:rPr>
              <w:t>data/pick-values.json</w:t>
            </w:r>
          </w:p>
        </w:tc>
        <w:tc>
          <w:tcPr>
            <w:tcW w:type="dxa" w:w="2880"/>
            <w:vAlign w:val="top"/>
          </w:tcPr>
          <w:p>
            <w:pPr>
              <w:spacing w:after="0"/>
            </w:pPr>
            <w:r>
              <w:rPr>
                <w:sz w:val="14"/>
              </w:rPr>
              <w:t>generatedAt, data</w:t>
            </w:r>
          </w:p>
        </w:tc>
        <w:tc>
          <w:tcPr>
            <w:tcW w:type="dxa" w:w="4176"/>
            <w:vAlign w:val="top"/>
          </w:tcPr>
          <w:p>
            <w:pPr>
              <w:spacing w:after="0"/>
            </w:pPr>
            <w:r>
              <w:rPr>
                <w:sz w:val="14"/>
              </w:rPr>
              <w:t>RosterAudit pick payload.</w:t>
            </w:r>
          </w:p>
        </w:tc>
      </w:tr>
      <w:tr>
        <w:tc>
          <w:tcPr>
            <w:tcW w:type="dxa" w:w="3024"/>
            <w:vAlign w:val="top"/>
          </w:tcPr>
          <w:p>
            <w:pPr>
              <w:spacing w:after="0"/>
            </w:pPr>
            <w:r>
              <w:rPr>
                <w:sz w:val="14"/>
              </w:rPr>
              <w:t>data/dynasty-process.json</w:t>
            </w:r>
          </w:p>
        </w:tc>
        <w:tc>
          <w:tcPr>
            <w:tcW w:type="dxa" w:w="2880"/>
            <w:vAlign w:val="top"/>
          </w:tcPr>
          <w:p>
            <w:pPr>
              <w:spacing w:after="0"/>
            </w:pPr>
            <w:r>
              <w:rPr>
                <w:sz w:val="14"/>
              </w:rPr>
              <w:t>generatedAt, ids, values</w:t>
            </w:r>
          </w:p>
        </w:tc>
        <w:tc>
          <w:tcPr>
            <w:tcW w:type="dxa" w:w="4176"/>
            <w:vAlign w:val="top"/>
          </w:tcPr>
          <w:p>
            <w:pPr>
              <w:spacing w:after="0"/>
            </w:pPr>
            <w:r>
              <w:rPr>
                <w:sz w:val="14"/>
              </w:rPr>
              <w:t>Parsed DynastyProcess ID and value rows.</w:t>
            </w:r>
          </w:p>
        </w:tc>
      </w:tr>
      <w:tr>
        <w:tc>
          <w:tcPr>
            <w:tcW w:type="dxa" w:w="3024"/>
            <w:vAlign w:val="top"/>
          </w:tcPr>
          <w:p>
            <w:pPr>
              <w:spacing w:after="0"/>
            </w:pPr>
            <w:r>
              <w:rPr>
                <w:sz w:val="14"/>
              </w:rPr>
              <w:t>data/metadata.json</w:t>
            </w:r>
          </w:p>
        </w:tc>
        <w:tc>
          <w:tcPr>
            <w:tcW w:type="dxa" w:w="2880"/>
            <w:vAlign w:val="top"/>
          </w:tcPr>
          <w:p>
            <w:pPr>
              <w:spacing w:after="0"/>
            </w:pPr>
            <w:r>
              <w:rPr>
                <w:sz w:val="14"/>
              </w:rPr>
              <w:t>generatedAt, season, nflState, sources</w:t>
            </w:r>
          </w:p>
        </w:tc>
        <w:tc>
          <w:tcPr>
            <w:tcW w:type="dxa" w:w="4176"/>
            <w:vAlign w:val="top"/>
          </w:tcPr>
          <w:p>
            <w:pPr>
              <w:spacing w:after="0"/>
            </w:pPr>
            <w:r>
              <w:rPr>
                <w:sz w:val="14"/>
              </w:rPr>
              <w:t>Automation run lineage and source outcomes.</w:t>
            </w:r>
          </w:p>
        </w:tc>
      </w:tr>
    </w:tbl>
    <w:p/>
    <w:p>
      <w:pPr>
        <w:pStyle w:val="Heading2"/>
      </w:pPr>
      <w:r>
        <w:t>8.2 Scheduled Workflow</w:t>
      </w:r>
    </w:p>
    <w:p>
      <w:r>
        <w:t>`.github/workflows/update-data.yml` supports manual execution and a daily UTC cron schedule.</w:t>
      </w:r>
    </w:p>
    <w:p>
      <w:pPr>
        <w:pStyle w:val="ListNumber"/>
      </w:pPr>
      <w:r>
        <w:t>Check out the main repository.</w:t>
      </w:r>
    </w:p>
    <w:p>
      <w:pPr>
        <w:pStyle w:val="ListNumber"/>
      </w:pPr>
      <w:r>
        <w:t>Set up Node.js 22 with npm cache.</w:t>
      </w:r>
    </w:p>
    <w:p>
      <w:pPr>
        <w:pStyle w:val="ListNumber"/>
      </w:pPr>
      <w:r>
        <w:t>Run npm ci.</w:t>
      </w:r>
    </w:p>
    <w:p>
      <w:pPr>
        <w:pStyle w:val="ListNumber"/>
      </w:pPr>
      <w:r>
        <w:t>Run the calculation tests.</w:t>
      </w:r>
    </w:p>
    <w:p>
      <w:pPr>
        <w:pStyle w:val="ListNumber"/>
      </w:pPr>
      <w:r>
        <w:t>Run scripts/update-data.mjs.</w:t>
      </w:r>
    </w:p>
    <w:p>
      <w:pPr>
        <w:pStyle w:val="ListNumber"/>
      </w:pPr>
      <w:r>
        <w:t>Run project validation.</w:t>
      </w:r>
    </w:p>
    <w:p>
      <w:pPr>
        <w:pStyle w:val="ListNumber"/>
      </w:pPr>
      <w:r>
        <w:t>Commit changed data files with the GitHub Actions bot identity.</w:t>
      </w:r>
    </w:p>
    <w:tbl>
      <w:tblPr>
        <w:tblStyle w:val="TableGrid"/>
        <w:tblW w:type="auto" w:w="0"/>
        <w:tblLook w:firstColumn="1" w:firstRow="1" w:lastColumn="0" w:lastRow="0" w:noHBand="0" w:noVBand="1" w:val="04A0"/>
      </w:tblPr>
      <w:tblGrid>
        <w:gridCol w:w="10224"/>
      </w:tblGrid>
      <w:tr>
        <w:tc>
          <w:tcPr>
            <w:tcW w:type="dxa" w:w="10224"/>
            <w:shd w:fill="EEF5FB"/>
          </w:tcPr>
          <w:p>
            <w:r>
              <w:rPr>
                <w:b/>
              </w:rPr>
              <w:t xml:space="preserve">Failure behavior: </w:t>
            </w:r>
            <w:r>
              <w:t>The update script preserves the previous snapshot when an optional source fails. The workflow fails only when all source updates fail or a test/validation step fails.</w:t>
            </w:r>
          </w:p>
        </w:tc>
      </w:tr>
    </w:tbl>
    <w:p/>
    <w:p>
      <w:pPr>
        <w:pStyle w:val="Heading1"/>
      </w:pPr>
      <w:r>
        <w:t>9. Storage, Caching, and Export Design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D9EAF7"/>
          </w:tcPr>
          <w:p>
            <w:r>
              <w:rPr>
                <w:b/>
                <w:sz w:val="15"/>
              </w:rPr>
              <w:t>Mechanism</w:t>
            </w:r>
          </w:p>
        </w:tc>
        <w:tc>
          <w:tcPr>
            <w:tcW w:type="dxa" w:w="2448"/>
            <w:shd w:fill="D9EAF7"/>
          </w:tcPr>
          <w:p>
            <w:r>
              <w:rPr>
                <w:b/>
                <w:sz w:val="15"/>
              </w:rPr>
              <w:t>Key / grain</w:t>
            </w:r>
          </w:p>
        </w:tc>
        <w:tc>
          <w:tcPr>
            <w:tcW w:type="dxa" w:w="3744"/>
            <w:shd w:fill="D9EAF7"/>
          </w:tcPr>
          <w:p>
            <w:r>
              <w:rPr>
                <w:b/>
                <w:sz w:val="15"/>
              </w:rPr>
              <w:t>Purpose</w:t>
            </w:r>
          </w:p>
        </w:tc>
        <w:tc>
          <w:tcPr>
            <w:tcW w:type="dxa" w:w="1872"/>
            <w:shd w:fill="D9EAF7"/>
          </w:tcPr>
          <w:p>
            <w:r>
              <w:rPr>
                <w:b/>
                <w:sz w:val="15"/>
              </w:rPr>
              <w:t>Scope</w:t>
            </w:r>
          </w:p>
        </w:tc>
      </w:tr>
      <w:tr>
        <w:tc>
          <w:tcPr>
            <w:tcW w:type="dxa" w:w="2016"/>
            <w:vAlign w:val="top"/>
          </w:tcPr>
          <w:p>
            <w:pPr>
              <w:spacing w:after="0"/>
            </w:pPr>
            <w:r>
              <w:rPr>
                <w:sz w:val="15"/>
              </w:rPr>
              <w:t>IndexedDB player cache</w:t>
            </w:r>
          </w:p>
        </w:tc>
        <w:tc>
          <w:tcPr>
            <w:tcW w:type="dxa" w:w="2448"/>
            <w:vAlign w:val="top"/>
          </w:tcPr>
          <w:p>
            <w:pPr>
              <w:spacing w:after="0"/>
            </w:pPr>
            <w:r>
              <w:rPr>
                <w:sz w:val="15"/>
              </w:rPr>
              <w:t>players:YYYY-MM-DD</w:t>
            </w:r>
          </w:p>
        </w:tc>
        <w:tc>
          <w:tcPr>
            <w:tcW w:type="dxa" w:w="3744"/>
            <w:vAlign w:val="top"/>
          </w:tcPr>
          <w:p>
            <w:pPr>
              <w:spacing w:after="0"/>
            </w:pPr>
            <w:r>
              <w:rPr>
                <w:sz w:val="15"/>
              </w:rPr>
              <w:t>Avoid repeated large Sleeper directory downloads.</w:t>
            </w:r>
          </w:p>
        </w:tc>
        <w:tc>
          <w:tcPr>
            <w:tcW w:type="dxa" w:w="1872"/>
            <w:vAlign w:val="top"/>
          </w:tcPr>
          <w:p>
            <w:pPr>
              <w:spacing w:after="0"/>
            </w:pPr>
            <w:r>
              <w:rPr>
                <w:sz w:val="15"/>
              </w:rPr>
              <w:t>Per browser/device.</w:t>
            </w:r>
          </w:p>
        </w:tc>
      </w:tr>
      <w:tr>
        <w:tc>
          <w:tcPr>
            <w:tcW w:type="dxa" w:w="2016"/>
            <w:vAlign w:val="top"/>
          </w:tcPr>
          <w:p>
            <w:pPr>
              <w:spacing w:after="0"/>
            </w:pPr>
            <w:r>
              <w:rPr>
                <w:sz w:val="15"/>
              </w:rPr>
              <w:t>IndexedDB analysis cache</w:t>
            </w:r>
          </w:p>
        </w:tc>
        <w:tc>
          <w:tcPr>
            <w:tcW w:type="dxa" w:w="2448"/>
            <w:vAlign w:val="top"/>
          </w:tcPr>
          <w:p>
            <w:pPr>
              <w:spacing w:after="0"/>
            </w:pPr>
            <w:r>
              <w:rPr>
                <w:sz w:val="15"/>
              </w:rPr>
              <w:t>analysis:{leagueId}</w:t>
            </w:r>
          </w:p>
        </w:tc>
        <w:tc>
          <w:tcPr>
            <w:tcW w:type="dxa" w:w="3744"/>
            <w:vAlign w:val="top"/>
          </w:tcPr>
          <w:p>
            <w:pPr>
              <w:spacing w:after="0"/>
            </w:pPr>
            <w:r>
              <w:rPr>
                <w:sz w:val="15"/>
              </w:rPr>
              <w:t>Reopen a completed report without rerunning analysis.</w:t>
            </w:r>
          </w:p>
        </w:tc>
        <w:tc>
          <w:tcPr>
            <w:tcW w:type="dxa" w:w="1872"/>
            <w:vAlign w:val="top"/>
          </w:tcPr>
          <w:p>
            <w:pPr>
              <w:spacing w:after="0"/>
            </w:pPr>
            <w:r>
              <w:rPr>
                <w:sz w:val="15"/>
              </w:rPr>
              <w:t>Per browser/device.</w:t>
            </w:r>
          </w:p>
        </w:tc>
      </w:tr>
      <w:tr>
        <w:tc>
          <w:tcPr>
            <w:tcW w:type="dxa" w:w="2016"/>
            <w:vAlign w:val="top"/>
          </w:tcPr>
          <w:p>
            <w:pPr>
              <w:spacing w:after="0"/>
            </w:pPr>
            <w:r>
              <w:rPr>
                <w:sz w:val="15"/>
              </w:rPr>
              <w:t>Repository snapshots</w:t>
            </w:r>
          </w:p>
        </w:tc>
        <w:tc>
          <w:tcPr>
            <w:tcW w:type="dxa" w:w="2448"/>
            <w:vAlign w:val="top"/>
          </w:tcPr>
          <w:p>
            <w:pPr>
              <w:spacing w:after="0"/>
            </w:pPr>
            <w:r>
              <w:rPr>
                <w:sz w:val="15"/>
              </w:rPr>
              <w:t>One JSON file per shared dataset</w:t>
            </w:r>
          </w:p>
        </w:tc>
        <w:tc>
          <w:tcPr>
            <w:tcW w:type="dxa" w:w="3744"/>
            <w:vAlign w:val="top"/>
          </w:tcPr>
          <w:p>
            <w:pPr>
              <w:spacing w:after="0"/>
            </w:pPr>
            <w:r>
              <w:rPr>
                <w:sz w:val="15"/>
              </w:rPr>
              <w:t>Improve reliability and same-origin loading.</w:t>
            </w:r>
          </w:p>
        </w:tc>
        <w:tc>
          <w:tcPr>
            <w:tcW w:type="dxa" w:w="1872"/>
            <w:vAlign w:val="top"/>
          </w:tcPr>
          <w:p>
            <w:pPr>
              <w:spacing w:after="0"/>
            </w:pPr>
            <w:r>
              <w:rPr>
                <w:sz w:val="15"/>
              </w:rPr>
              <w:t>Shared/public.</w:t>
            </w:r>
          </w:p>
        </w:tc>
      </w:tr>
      <w:tr>
        <w:tc>
          <w:tcPr>
            <w:tcW w:type="dxa" w:w="2016"/>
            <w:vAlign w:val="top"/>
          </w:tcPr>
          <w:p>
            <w:pPr>
              <w:spacing w:after="0"/>
            </w:pPr>
            <w:r>
              <w:rPr>
                <w:sz w:val="15"/>
              </w:rPr>
              <w:t>Analysis JSON export</w:t>
            </w:r>
          </w:p>
        </w:tc>
        <w:tc>
          <w:tcPr>
            <w:tcW w:type="dxa" w:w="2448"/>
            <w:vAlign w:val="top"/>
          </w:tcPr>
          <w:p>
            <w:pPr>
              <w:spacing w:after="0"/>
            </w:pPr>
            <w:r>
              <w:rPr>
                <w:sz w:val="15"/>
              </w:rPr>
              <w:t>One analysis object</w:t>
            </w:r>
          </w:p>
        </w:tc>
        <w:tc>
          <w:tcPr>
            <w:tcW w:type="dxa" w:w="3744"/>
            <w:vAlign w:val="top"/>
          </w:tcPr>
          <w:p>
            <w:pPr>
              <w:spacing w:after="0"/>
            </w:pPr>
            <w:r>
              <w:rPr>
                <w:sz w:val="15"/>
              </w:rPr>
              <w:t>Auditable machine-readable output.</w:t>
            </w:r>
          </w:p>
        </w:tc>
        <w:tc>
          <w:tcPr>
            <w:tcW w:type="dxa" w:w="1872"/>
            <w:vAlign w:val="top"/>
          </w:tcPr>
          <w:p>
            <w:pPr>
              <w:spacing w:after="0"/>
            </w:pPr>
            <w:r>
              <w:rPr>
                <w:sz w:val="15"/>
              </w:rPr>
              <w:t>User download.</w:t>
            </w:r>
          </w:p>
        </w:tc>
      </w:tr>
      <w:tr>
        <w:tc>
          <w:tcPr>
            <w:tcW w:type="dxa" w:w="2016"/>
            <w:vAlign w:val="top"/>
          </w:tcPr>
          <w:p>
            <w:pPr>
              <w:spacing w:after="0"/>
            </w:pPr>
            <w:r>
              <w:rPr>
                <w:sz w:val="15"/>
              </w:rPr>
              <w:t>CSV exports</w:t>
            </w:r>
          </w:p>
        </w:tc>
        <w:tc>
          <w:tcPr>
            <w:tcW w:type="dxa" w:w="2448"/>
            <w:vAlign w:val="top"/>
          </w:tcPr>
          <w:p>
            <w:pPr>
              <w:spacing w:after="0"/>
            </w:pPr>
            <w:r>
              <w:rPr>
                <w:sz w:val="15"/>
              </w:rPr>
              <w:t>One row per team or player</w:t>
            </w:r>
          </w:p>
        </w:tc>
        <w:tc>
          <w:tcPr>
            <w:tcW w:type="dxa" w:w="3744"/>
            <w:vAlign w:val="top"/>
          </w:tcPr>
          <w:p>
            <w:pPr>
              <w:spacing w:after="0"/>
            </w:pPr>
            <w:r>
              <w:rPr>
                <w:sz w:val="15"/>
              </w:rPr>
              <w:t>Spreadsheet analysis.</w:t>
            </w:r>
          </w:p>
        </w:tc>
        <w:tc>
          <w:tcPr>
            <w:tcW w:type="dxa" w:w="1872"/>
            <w:vAlign w:val="top"/>
          </w:tcPr>
          <w:p>
            <w:pPr>
              <w:spacing w:after="0"/>
            </w:pPr>
            <w:r>
              <w:rPr>
                <w:sz w:val="15"/>
              </w:rPr>
              <w:t>User download.</w:t>
            </w:r>
          </w:p>
        </w:tc>
      </w:tr>
      <w:tr>
        <w:tc>
          <w:tcPr>
            <w:tcW w:type="dxa" w:w="2016"/>
            <w:vAlign w:val="top"/>
          </w:tcPr>
          <w:p>
            <w:pPr>
              <w:spacing w:after="0"/>
            </w:pPr>
            <w:r>
              <w:rPr>
                <w:sz w:val="15"/>
              </w:rPr>
              <w:t>Embedded HTML export</w:t>
            </w:r>
          </w:p>
        </w:tc>
        <w:tc>
          <w:tcPr>
            <w:tcW w:type="dxa" w:w="2448"/>
            <w:vAlign w:val="top"/>
          </w:tcPr>
          <w:p>
            <w:pPr>
              <w:spacing w:after="0"/>
            </w:pPr>
            <w:r>
              <w:rPr>
                <w:sz w:val="15"/>
              </w:rPr>
              <w:t>HTML plus embedded analysis JSON</w:t>
            </w:r>
          </w:p>
        </w:tc>
        <w:tc>
          <w:tcPr>
            <w:tcW w:type="dxa" w:w="3744"/>
            <w:vAlign w:val="top"/>
          </w:tcPr>
          <w:p>
            <w:pPr>
              <w:spacing w:after="0"/>
            </w:pPr>
            <w:r>
              <w:rPr>
                <w:sz w:val="15"/>
              </w:rPr>
              <w:t>Portable offline report.</w:t>
            </w:r>
          </w:p>
        </w:tc>
        <w:tc>
          <w:tcPr>
            <w:tcW w:type="dxa" w:w="1872"/>
            <w:vAlign w:val="top"/>
          </w:tcPr>
          <w:p>
            <w:pPr>
              <w:spacing w:after="0"/>
            </w:pPr>
            <w:r>
              <w:rPr>
                <w:sz w:val="15"/>
              </w:rPr>
              <w:t>User download.</w:t>
            </w:r>
          </w:p>
        </w:tc>
      </w:tr>
    </w:tbl>
    <w:p/>
    <w:p>
      <w:pPr>
        <w:pStyle w:val="Heading1"/>
      </w:pPr>
      <w:r>
        <w:t>10. Testing, Validation, Error Handling, and Reliability</w:t>
      </w:r>
    </w:p>
    <w:p>
      <w:pPr>
        <w:pStyle w:val="Heading2"/>
      </w:pPr>
      <w:r>
        <w:t>10.1 Automated Tests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Pr>
          <w:p>
            <w:r>
              <w:rPr>
                <w:b/>
                <w:sz w:val="16"/>
              </w:rPr>
              <w:t>Test file</w:t>
            </w:r>
          </w:p>
        </w:tc>
        <w:tc>
          <w:tcPr>
            <w:tcW w:type="dxa" w:w="7200"/>
            <w:shd w:fill="D9EAF7"/>
          </w:tcPr>
          <w:p>
            <w:r>
              <w:rPr>
                <w:b/>
                <w:sz w:val="16"/>
              </w:rPr>
              <w:t>Coverage</w:t>
            </w:r>
          </w:p>
        </w:tc>
      </w:tr>
      <w:tr>
        <w:tc>
          <w:tcPr>
            <w:tcW w:type="dxa" w:w="2880"/>
            <w:vAlign w:val="top"/>
          </w:tcPr>
          <w:p>
            <w:pPr>
              <w:spacing w:after="0"/>
            </w:pPr>
            <w:r>
              <w:rPr>
                <w:sz w:val="16"/>
              </w:rPr>
              <w:t>js/tests/league.test.js</w:t>
            </w:r>
          </w:p>
        </w:tc>
        <w:tc>
          <w:tcPr>
            <w:tcW w:type="dxa" w:w="7200"/>
            <w:vAlign w:val="top"/>
          </w:tcPr>
          <w:p>
            <w:r>
              <w:t>Eligibility, percentiles, risk, optimal lineup, pick ownership, setup detection, linked-season summaries, weekly team history, and Week 18 production exclusion.</w:t>
            </w:r>
          </w:p>
        </w:tc>
      </w:tr>
      <w:tr>
        <w:tc>
          <w:tcPr>
            <w:tcW w:type="dxa" w:w="2880"/>
            <w:vAlign w:val="top"/>
          </w:tcPr>
          <w:p>
            <w:pPr>
              <w:spacing w:after="0"/>
            </w:pPr>
            <w:r>
              <w:rPr>
                <w:sz w:val="16"/>
              </w:rPr>
              <w:t>js/tests/tiers.test.js</w:t>
            </w:r>
          </w:p>
        </w:tc>
        <w:tc>
          <w:tcPr>
            <w:tcW w:type="dxa" w:w="7200"/>
            <w:vAlign w:val="top"/>
          </w:tcPr>
          <w:p>
            <w:r>
              <w:t>Tier scoring, sort order, inactive-player exclusion, championship outlook generation, and Build/Shop candidate rules.</w:t>
            </w:r>
          </w:p>
        </w:tc>
      </w:tr>
      <w:tr>
        <w:tc>
          <w:tcPr>
            <w:tcW w:type="dxa" w:w="5112"/>
          </w:tcPr>
          <w:p>
            <w:r>
              <w:t>js/tests/header.test.js</w:t>
            </w:r>
          </w:p>
        </w:tc>
        <w:tc>
          <w:tcPr>
            <w:tcW w:type="dxa" w:w="5112"/>
          </w:tcPr>
          <w:p>
            <w:r>
              <w:t>Global header structure, page navigation, and Version 2.2.1 consistency.</w:t>
            </w:r>
          </w:p>
        </w:tc>
      </w:tr>
      <w:tr>
        <w:tc>
          <w:tcPr>
            <w:tcW w:type="dxa" w:w="5112"/>
          </w:tcPr>
          <w:p>
            <w:r>
              <w:t>js/tests/dashboard.test.js</w:t>
            </w:r>
          </w:p>
        </w:tc>
        <w:tc>
          <w:tcPr>
            <w:tcW w:type="dxa" w:w="5112"/>
          </w:tcPr>
          <w:p>
            <w:r>
              <w:t>League-history series, zero-score retention, completed-season wins, and Week 18 chart exclusion.</w:t>
            </w:r>
          </w:p>
        </w:tc>
      </w:tr>
      <w:tr>
        <w:tc>
          <w:tcPr>
            <w:tcW w:type="dxa" w:w="5112"/>
          </w:tcPr>
          <w:p>
            <w:r>
              <w:t>js/tests/teams.test.js</w:t>
            </w:r>
          </w:p>
        </w:tc>
        <w:tc>
          <w:tcPr>
            <w:tcW w:type="dxa" w:w="5112"/>
          </w:tcPr>
          <w:p>
            <w:r>
              <w:t>Selected-team fallback, section order, candidate fallbacks, safe empty data, lineup columns, and evidence metrics.</w:t>
            </w:r>
          </w:p>
        </w:tc>
      </w:tr>
    </w:tbl>
    <w:p/>
    <w:p>
      <w:pPr>
        <w:pStyle w:val="Heading2"/>
      </w:pPr>
      <w:r>
        <w:t>10.2 Validation</w:t>
      </w:r>
    </w:p>
    <w:p>
      <w:pPr>
        <w:pStyle w:val="ListBullet"/>
      </w:pPr>
      <w:r>
        <w:t>`npm test` executes Node's built-in test runner.</w:t>
      </w:r>
    </w:p>
    <w:p>
      <w:pPr>
        <w:pStyle w:val="ListBullet"/>
      </w:pPr>
      <w:r>
        <w:t>`npm run validate` verifies required files, JavaScript syntax, JSON parsing, and the module script reference.</w:t>
      </w:r>
    </w:p>
    <w:p>
      <w:pPr>
        <w:pStyle w:val="ListBullet"/>
      </w:pPr>
      <w:r>
        <w:t>`npm run check` runs both tests and validation.</w:t>
      </w:r>
    </w:p>
    <w:p>
      <w:pPr>
        <w:pStyle w:val="ListBullet"/>
      </w:pPr>
      <w:r>
        <w:t>GitHub Actions runs tests and validation before committing snapshot updates.</w:t>
      </w:r>
    </w:p>
    <w:p>
      <w:pPr>
        <w:pStyle w:val="Heading2"/>
      </w:pPr>
      <w:r>
        <w:t>10.3 Error Handling</w:t>
      </w:r>
    </w:p>
    <w:p>
      <w:r>
        <w:t>`js/errors.js` defines AppError, normalizes timeout/network/unexpected failures, creates user-facing messages, and logs structured diagnostics. `app.js` registers global error and unhandled-rejection listeners. `analyze.js` reports provider or processing failures without exposing raw stack traces in the normal status UI.</w:t>
      </w:r>
    </w:p>
    <w:p>
      <w:pPr>
        <w:pStyle w:val="Heading2"/>
      </w:pPr>
      <w:r>
        <w:t>10.4 Reliability Controls</w:t>
      </w:r>
    </w:p>
    <w:p>
      <w:pPr>
        <w:pStyle w:val="ListBullet"/>
      </w:pPr>
      <w:r>
        <w:t>Optional source isolation with Promise.allSettled.</w:t>
      </w:r>
    </w:p>
    <w:p>
      <w:pPr>
        <w:pStyle w:val="ListBullet"/>
      </w:pPr>
      <w:r>
        <w:t>Snapshot-first provider design with live fallback.</w:t>
      </w:r>
    </w:p>
    <w:p>
      <w:pPr>
        <w:pStyle w:val="ListBullet"/>
      </w:pPr>
      <w:r>
        <w:t>Daily player cache and explicit Force Refresh.</w:t>
      </w:r>
    </w:p>
    <w:p>
      <w:pPr>
        <w:pStyle w:val="ListBullet"/>
      </w:pPr>
      <w:r>
        <w:t>Source badges showing availability and snapshot/live origin.</w:t>
      </w:r>
    </w:p>
    <w:p>
      <w:pPr>
        <w:pStyle w:val="ListBullet"/>
      </w:pPr>
      <w:r>
        <w:t>Automated project validation and GitHub Actions logs.</w:t>
      </w:r>
    </w:p>
    <w:p>
      <w:pPr>
        <w:pStyle w:val="ListBullet"/>
      </w:pPr>
      <w:r>
        <w:t>GitHub Pages HTTPS deployment and relative asset paths.</w:t>
      </w:r>
    </w:p>
    <w:p>
      <w:pPr>
        <w:pStyle w:val="Heading1"/>
      </w:pPr>
      <w:r>
        <w:t>11. Deployment, Security, and Operations</w:t>
      </w:r>
    </w:p>
    <w:p>
      <w:pPr>
        <w:pStyle w:val="Heading2"/>
      </w:pPr>
      <w:r>
        <w:t>11.1 Deployment</w:t>
      </w:r>
    </w:p>
    <w:p>
      <w:r>
        <w:t>The application is deployed from the GitHub repository main branch and repository root through GitHub Pages. All paths are relative so the application works under the project path `/fantasy-football-intelligence-hub/`. The repository is the authoritative source; local files are development working copies only.</w:t>
      </w:r>
    </w:p>
    <w:p>
      <w:pPr>
        <w:pStyle w:val="Heading2"/>
      </w:pPr>
      <w:r>
        <w:t>11.2 Security and Privacy</w:t>
      </w:r>
    </w:p>
    <w:p>
      <w:pPr>
        <w:pStyle w:val="ListBullet"/>
      </w:pPr>
      <w:r>
        <w:t>No credentials are collected for public Sleeper league analysis.</w:t>
      </w:r>
    </w:p>
    <w:p>
      <w:pPr>
        <w:pStyle w:val="ListBullet"/>
      </w:pPr>
      <w:r>
        <w:t>No secrets are stored in client-side code or required by the current automation.</w:t>
      </w:r>
    </w:p>
    <w:p>
      <w:pPr>
        <w:pStyle w:val="ListBullet"/>
      </w:pPr>
      <w:r>
        <w:t>All production requests use HTTPS.</w:t>
      </w:r>
    </w:p>
    <w:p>
      <w:pPr>
        <w:pStyle w:val="ListBullet"/>
      </w:pPr>
      <w:r>
        <w:t>Exports may contain public manager names, team names, league IDs, and roster details and remain user-controlled.</w:t>
      </w:r>
    </w:p>
    <w:p>
      <w:pPr>
        <w:pStyle w:val="ListBullet"/>
      </w:pPr>
      <w:r>
        <w:t>GitHub Actions uses repository content permissions only for committing snapshot changes.</w:t>
      </w:r>
    </w:p>
    <w:p>
      <w:pPr>
        <w:pStyle w:val="Heading2"/>
      </w:pPr>
      <w:r>
        <w:t>11.3 Operational Workflow</w:t>
      </w:r>
    </w:p>
    <w:p>
      <w:pPr>
        <w:pStyle w:val="ListNumber"/>
      </w:pPr>
      <w:r>
        <w:t>Pull current main.</w:t>
      </w:r>
    </w:p>
    <w:p>
      <w:pPr>
        <w:pStyle w:val="ListNumber"/>
      </w:pPr>
      <w:r>
        <w:t>Create a feature branch.</w:t>
      </w:r>
    </w:p>
    <w:p>
      <w:pPr>
        <w:pStyle w:val="ListNumber"/>
      </w:pPr>
      <w:r>
        <w:t>Implement or merge generated changes.</w:t>
      </w:r>
    </w:p>
    <w:p>
      <w:pPr>
        <w:pStyle w:val="ListNumber"/>
      </w:pPr>
      <w:r>
        <w:t>Run npm check and browser regression tests.</w:t>
      </w:r>
    </w:p>
    <w:p>
      <w:pPr>
        <w:pStyle w:val="ListNumber"/>
      </w:pPr>
      <w:r>
        <w:t>Commit and push the feature branch.</w:t>
      </w:r>
    </w:p>
    <w:p>
      <w:pPr>
        <w:pStyle w:val="ListNumber"/>
      </w:pPr>
      <w:r>
        <w:t>Merge to main through a pull request.</w:t>
      </w:r>
    </w:p>
    <w:p>
      <w:pPr>
        <w:pStyle w:val="ListNumber"/>
      </w:pPr>
      <w:r>
        <w:t>Confirm GitHub Pages deployment and scheduled workflow health.</w:t>
      </w:r>
    </w:p>
    <w:p>
      <w:pPr>
        <w:pStyle w:val="Heading1"/>
      </w:pPr>
      <w:r>
        <w:t>12. Data Dictionary and Source Lineage</w:t>
      </w:r>
    </w:p>
    <w:p>
      <w:pPr>
        <w:pStyle w:val="Heading2"/>
      </w:pPr>
      <w:r>
        <w:t>12.1 Analysis Run Object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shd w:fill="D9EAF7"/>
          </w:tcPr>
          <w:p>
            <w:r>
              <w:rPr>
                <w:b/>
                <w:sz w:val="13"/>
              </w:rPr>
              <w:t>Field</w:t>
            </w:r>
          </w:p>
        </w:tc>
        <w:tc>
          <w:tcPr>
            <w:tcW w:type="dxa" w:w="1584"/>
            <w:shd w:fill="D9EAF7"/>
          </w:tcPr>
          <w:p>
            <w:r>
              <w:rPr>
                <w:b/>
                <w:sz w:val="13"/>
              </w:rPr>
              <w:t>Type</w:t>
            </w:r>
          </w:p>
        </w:tc>
        <w:tc>
          <w:tcPr>
            <w:tcW w:type="dxa" w:w="2232"/>
            <w:shd w:fill="D9EAF7"/>
          </w:tcPr>
          <w:p>
            <w:r>
              <w:rPr>
                <w:b/>
                <w:sz w:val="13"/>
              </w:rPr>
              <w:t>Source</w:t>
            </w:r>
          </w:p>
        </w:tc>
        <w:tc>
          <w:tcPr>
            <w:tcW w:type="dxa" w:w="4176"/>
            <w:shd w:fill="D9EAF7"/>
          </w:tcPr>
          <w:p>
            <w:r>
              <w:rPr>
                <w:b/>
                <w:sz w:val="13"/>
              </w:rPr>
              <w:t>Definition</w:t>
            </w:r>
          </w:p>
        </w:tc>
      </w:tr>
      <w:tr>
        <w:tc>
          <w:tcPr>
            <w:tcW w:type="dxa" w:w="2088"/>
            <w:vAlign w:val="top"/>
          </w:tcPr>
          <w:p>
            <w:pPr>
              <w:spacing w:after="0"/>
            </w:pPr>
            <w:r>
              <w:rPr>
                <w:sz w:val="13"/>
              </w:rPr>
              <w:t>appVersion</w:t>
            </w:r>
          </w:p>
        </w:tc>
        <w:tc>
          <w:tcPr>
            <w:tcW w:type="dxa" w:w="1584"/>
            <w:vAlign w:val="top"/>
          </w:tcPr>
          <w:p>
            <w:pPr>
              <w:spacing w:after="0"/>
            </w:pPr>
            <w:r>
              <w:rPr>
                <w:sz w:val="13"/>
              </w:rPr>
              <w:t>string</w:t>
            </w:r>
          </w:p>
        </w:tc>
        <w:tc>
          <w:tcPr>
            <w:tcW w:type="dxa" w:w="2232"/>
            <w:vAlign w:val="top"/>
          </w:tcPr>
          <w:p>
            <w:pPr>
              <w:spacing w:after="0"/>
            </w:pPr>
            <w:r>
              <w:rPr>
                <w:sz w:val="13"/>
              </w:rPr>
              <w:t>Application constant</w:t>
            </w:r>
          </w:p>
        </w:tc>
        <w:tc>
          <w:tcPr>
            <w:tcW w:type="dxa" w:w="4176"/>
            <w:vAlign w:val="top"/>
          </w:tcPr>
          <w:p>
            <w:pPr>
              <w:spacing w:after="0"/>
            </w:pPr>
            <w:r>
              <w:rPr>
                <w:sz w:val="13"/>
              </w:rPr>
              <w:t>Version that generated the analysis.</w:t>
            </w:r>
          </w:p>
        </w:tc>
      </w:tr>
      <w:tr>
        <w:tc>
          <w:tcPr>
            <w:tcW w:type="dxa" w:w="2088"/>
            <w:vAlign w:val="top"/>
          </w:tcPr>
          <w:p>
            <w:pPr>
              <w:spacing w:after="0"/>
            </w:pPr>
            <w:r>
              <w:rPr>
                <w:sz w:val="13"/>
              </w:rPr>
              <w:t>generatedAt</w:t>
            </w:r>
          </w:p>
        </w:tc>
        <w:tc>
          <w:tcPr>
            <w:tcW w:type="dxa" w:w="1584"/>
            <w:vAlign w:val="top"/>
          </w:tcPr>
          <w:p>
            <w:pPr>
              <w:spacing w:after="0"/>
            </w:pPr>
            <w:r>
              <w:rPr>
                <w:sz w:val="13"/>
              </w:rPr>
              <w:t>datetime</w:t>
            </w:r>
          </w:p>
        </w:tc>
        <w:tc>
          <w:tcPr>
            <w:tcW w:type="dxa" w:w="2232"/>
            <w:vAlign w:val="top"/>
          </w:tcPr>
          <w:p>
            <w:pPr>
              <w:spacing w:after="0"/>
            </w:pPr>
            <w:r>
              <w:rPr>
                <w:sz w:val="13"/>
              </w:rPr>
              <w:t>Browser timestamp</w:t>
            </w:r>
          </w:p>
        </w:tc>
        <w:tc>
          <w:tcPr>
            <w:tcW w:type="dxa" w:w="4176"/>
            <w:vAlign w:val="top"/>
          </w:tcPr>
          <w:p>
            <w:pPr>
              <w:spacing w:after="0"/>
            </w:pPr>
            <w:r>
              <w:rPr>
                <w:sz w:val="13"/>
              </w:rPr>
              <w:t>Analysis creation time.</w:t>
            </w:r>
          </w:p>
        </w:tc>
      </w:tr>
      <w:tr>
        <w:tc>
          <w:tcPr>
            <w:tcW w:type="dxa" w:w="2088"/>
            <w:vAlign w:val="top"/>
          </w:tcPr>
          <w:p>
            <w:pPr>
              <w:spacing w:after="0"/>
            </w:pPr>
            <w:r>
              <w:rPr>
                <w:sz w:val="13"/>
              </w:rPr>
              <w:t>leagueId</w:t>
            </w:r>
          </w:p>
        </w:tc>
        <w:tc>
          <w:tcPr>
            <w:tcW w:type="dxa" w:w="1584"/>
            <w:vAlign w:val="top"/>
          </w:tcPr>
          <w:p>
            <w:pPr>
              <w:spacing w:after="0"/>
            </w:pPr>
            <w:r>
              <w:rPr>
                <w:sz w:val="13"/>
              </w:rPr>
              <w:t>string</w:t>
            </w:r>
          </w:p>
        </w:tc>
        <w:tc>
          <w:tcPr>
            <w:tcW w:type="dxa" w:w="2232"/>
            <w:vAlign w:val="top"/>
          </w:tcPr>
          <w:p>
            <w:pPr>
              <w:spacing w:after="0"/>
            </w:pPr>
            <w:r>
              <w:rPr>
                <w:sz w:val="13"/>
              </w:rPr>
              <w:t>Sleeper</w:t>
            </w:r>
          </w:p>
        </w:tc>
        <w:tc>
          <w:tcPr>
            <w:tcW w:type="dxa" w:w="4176"/>
            <w:vAlign w:val="top"/>
          </w:tcPr>
          <w:p>
            <w:pPr>
              <w:spacing w:after="0"/>
            </w:pPr>
            <w:r>
              <w:rPr>
                <w:sz w:val="13"/>
              </w:rPr>
              <w:t>Primary league identifier.</w:t>
            </w:r>
          </w:p>
        </w:tc>
      </w:tr>
      <w:tr>
        <w:tc>
          <w:tcPr>
            <w:tcW w:type="dxa" w:w="2088"/>
            <w:vAlign w:val="top"/>
          </w:tcPr>
          <w:p>
            <w:pPr>
              <w:spacing w:after="0"/>
            </w:pPr>
            <w:r>
              <w:rPr>
                <w:sz w:val="13"/>
              </w:rPr>
              <w:t>leagueName</w:t>
            </w:r>
          </w:p>
        </w:tc>
        <w:tc>
          <w:tcPr>
            <w:tcW w:type="dxa" w:w="1584"/>
            <w:vAlign w:val="top"/>
          </w:tcPr>
          <w:p>
            <w:pPr>
              <w:spacing w:after="0"/>
            </w:pPr>
            <w:r>
              <w:rPr>
                <w:sz w:val="13"/>
              </w:rPr>
              <w:t>string</w:t>
            </w:r>
          </w:p>
        </w:tc>
        <w:tc>
          <w:tcPr>
            <w:tcW w:type="dxa" w:w="2232"/>
            <w:vAlign w:val="top"/>
          </w:tcPr>
          <w:p>
            <w:pPr>
              <w:spacing w:after="0"/>
            </w:pPr>
            <w:r>
              <w:rPr>
                <w:sz w:val="13"/>
              </w:rPr>
              <w:t>Sleeper</w:t>
            </w:r>
          </w:p>
        </w:tc>
        <w:tc>
          <w:tcPr>
            <w:tcW w:type="dxa" w:w="4176"/>
            <w:vAlign w:val="top"/>
          </w:tcPr>
          <w:p>
            <w:pPr>
              <w:spacing w:after="0"/>
            </w:pPr>
            <w:r>
              <w:rPr>
                <w:sz w:val="13"/>
              </w:rPr>
              <w:t>League display name.</w:t>
            </w:r>
          </w:p>
        </w:tc>
      </w:tr>
      <w:tr>
        <w:tc>
          <w:tcPr>
            <w:tcW w:type="dxa" w:w="2088"/>
            <w:vAlign w:val="top"/>
          </w:tcPr>
          <w:p>
            <w:pPr>
              <w:spacing w:after="0"/>
            </w:pPr>
            <w:r>
              <w:rPr>
                <w:sz w:val="13"/>
              </w:rPr>
              <w:t>season</w:t>
            </w:r>
          </w:p>
        </w:tc>
        <w:tc>
          <w:tcPr>
            <w:tcW w:type="dxa" w:w="1584"/>
            <w:vAlign w:val="top"/>
          </w:tcPr>
          <w:p>
            <w:pPr>
              <w:spacing w:after="0"/>
            </w:pPr>
            <w:r>
              <w:rPr>
                <w:sz w:val="13"/>
              </w:rPr>
              <w:t>integer</w:t>
            </w:r>
          </w:p>
        </w:tc>
        <w:tc>
          <w:tcPr>
            <w:tcW w:type="dxa" w:w="2232"/>
            <w:vAlign w:val="top"/>
          </w:tcPr>
          <w:p>
            <w:pPr>
              <w:spacing w:after="0"/>
            </w:pPr>
            <w:r>
              <w:rPr>
                <w:sz w:val="13"/>
              </w:rPr>
              <w:t>Sleeper</w:t>
            </w:r>
          </w:p>
        </w:tc>
        <w:tc>
          <w:tcPr>
            <w:tcW w:type="dxa" w:w="4176"/>
            <w:vAlign w:val="top"/>
          </w:tcPr>
          <w:p>
            <w:pPr>
              <w:spacing w:after="0"/>
            </w:pPr>
            <w:r>
              <w:rPr>
                <w:sz w:val="13"/>
              </w:rPr>
              <w:t>Fantasy season.</w:t>
            </w:r>
          </w:p>
        </w:tc>
      </w:tr>
      <w:tr>
        <w:tc>
          <w:tcPr>
            <w:tcW w:type="dxa" w:w="2088"/>
            <w:vAlign w:val="top"/>
          </w:tcPr>
          <w:p>
            <w:pPr>
              <w:spacing w:after="0"/>
            </w:pPr>
            <w:r>
              <w:rPr>
                <w:sz w:val="13"/>
              </w:rPr>
              <w:t>leagueStatus</w:t>
            </w:r>
          </w:p>
        </w:tc>
        <w:tc>
          <w:tcPr>
            <w:tcW w:type="dxa" w:w="1584"/>
            <w:vAlign w:val="top"/>
          </w:tcPr>
          <w:p>
            <w:pPr>
              <w:spacing w:after="0"/>
            </w:pPr>
            <w:r>
              <w:rPr>
                <w:sz w:val="13"/>
              </w:rPr>
              <w:t>string</w:t>
            </w:r>
          </w:p>
        </w:tc>
        <w:tc>
          <w:tcPr>
            <w:tcW w:type="dxa" w:w="2232"/>
            <w:vAlign w:val="top"/>
          </w:tcPr>
          <w:p>
            <w:pPr>
              <w:spacing w:after="0"/>
            </w:pPr>
            <w:r>
              <w:rPr>
                <w:sz w:val="13"/>
              </w:rPr>
              <w:t>Sleeper</w:t>
            </w:r>
          </w:p>
        </w:tc>
        <w:tc>
          <w:tcPr>
            <w:tcW w:type="dxa" w:w="4176"/>
            <w:vAlign w:val="top"/>
          </w:tcPr>
          <w:p>
            <w:pPr>
              <w:spacing w:after="0"/>
            </w:pPr>
            <w:r>
              <w:rPr>
                <w:sz w:val="13"/>
              </w:rPr>
              <w:t>League lifecycle status.</w:t>
            </w:r>
          </w:p>
        </w:tc>
      </w:tr>
      <w:tr>
        <w:tc>
          <w:tcPr>
            <w:tcW w:type="dxa" w:w="2088"/>
            <w:vAlign w:val="top"/>
          </w:tcPr>
          <w:p>
            <w:pPr>
              <w:spacing w:after="0"/>
            </w:pPr>
            <w:r>
              <w:rPr>
                <w:sz w:val="13"/>
              </w:rPr>
              <w:t>currentWeek</w:t>
            </w:r>
          </w:p>
        </w:tc>
        <w:tc>
          <w:tcPr>
            <w:tcW w:type="dxa" w:w="1584"/>
            <w:vAlign w:val="top"/>
          </w:tcPr>
          <w:p>
            <w:pPr>
              <w:spacing w:after="0"/>
            </w:pPr>
            <w:r>
              <w:rPr>
                <w:sz w:val="13"/>
              </w:rPr>
              <w:t>integer</w:t>
            </w:r>
          </w:p>
        </w:tc>
        <w:tc>
          <w:tcPr>
            <w:tcW w:type="dxa" w:w="2232"/>
            <w:vAlign w:val="top"/>
          </w:tcPr>
          <w:p>
            <w:pPr>
              <w:spacing w:after="0"/>
            </w:pPr>
            <w:r>
              <w:rPr>
                <w:sz w:val="13"/>
              </w:rPr>
              <w:t>Sleeper NFL state</w:t>
            </w:r>
          </w:p>
        </w:tc>
        <w:tc>
          <w:tcPr>
            <w:tcW w:type="dxa" w:w="4176"/>
            <w:vAlign w:val="top"/>
          </w:tcPr>
          <w:p>
            <w:r>
              <w:t>Highest fetched current-season week; limited to Week 17.</w:t>
            </w:r>
          </w:p>
        </w:tc>
      </w:tr>
      <w:tr>
        <w:tc>
          <w:tcPr>
            <w:tcW w:type="dxa" w:w="2088"/>
            <w:vAlign w:val="top"/>
          </w:tcPr>
          <w:p>
            <w:pPr>
              <w:spacing w:after="0"/>
            </w:pPr>
            <w:r>
              <w:rPr>
                <w:sz w:val="13"/>
              </w:rPr>
              <w:t>totalRosters</w:t>
            </w:r>
          </w:p>
        </w:tc>
        <w:tc>
          <w:tcPr>
            <w:tcW w:type="dxa" w:w="1584"/>
            <w:vAlign w:val="top"/>
          </w:tcPr>
          <w:p>
            <w:pPr>
              <w:spacing w:after="0"/>
            </w:pPr>
            <w:r>
              <w:rPr>
                <w:sz w:val="13"/>
              </w:rPr>
              <w:t>integer</w:t>
            </w:r>
          </w:p>
        </w:tc>
        <w:tc>
          <w:tcPr>
            <w:tcW w:type="dxa" w:w="2232"/>
            <w:vAlign w:val="top"/>
          </w:tcPr>
          <w:p>
            <w:pPr>
              <w:spacing w:after="0"/>
            </w:pPr>
            <w:r>
              <w:rPr>
                <w:sz w:val="13"/>
              </w:rPr>
              <w:t>Sleeper rosters</w:t>
            </w:r>
          </w:p>
        </w:tc>
        <w:tc>
          <w:tcPr>
            <w:tcW w:type="dxa" w:w="4176"/>
            <w:vAlign w:val="top"/>
          </w:tcPr>
          <w:p>
            <w:pPr>
              <w:spacing w:after="0"/>
            </w:pPr>
            <w:r>
              <w:rPr>
                <w:sz w:val="13"/>
              </w:rPr>
              <w:t>Number of fantasy rosters.</w:t>
            </w:r>
          </w:p>
        </w:tc>
      </w:tr>
      <w:tr>
        <w:tc>
          <w:tcPr>
            <w:tcW w:type="dxa" w:w="2088"/>
            <w:vAlign w:val="top"/>
          </w:tcPr>
          <w:p>
            <w:pPr>
              <w:spacing w:after="0"/>
            </w:pPr>
            <w:r>
              <w:rPr>
                <w:sz w:val="13"/>
              </w:rPr>
              <w:t>formatKey</w:t>
            </w:r>
          </w:p>
        </w:tc>
        <w:tc>
          <w:tcPr>
            <w:tcW w:type="dxa" w:w="1584"/>
            <w:vAlign w:val="top"/>
          </w:tcPr>
          <w:p>
            <w:pPr>
              <w:spacing w:after="0"/>
            </w:pPr>
            <w:r>
              <w:rPr>
                <w:sz w:val="13"/>
              </w:rPr>
              <w:t>string</w:t>
            </w:r>
          </w:p>
        </w:tc>
        <w:tc>
          <w:tcPr>
            <w:tcW w:type="dxa" w:w="2232"/>
            <w:vAlign w:val="top"/>
          </w:tcPr>
          <w:p>
            <w:pPr>
              <w:spacing w:after="0"/>
            </w:pPr>
            <w:r>
              <w:rPr>
                <w:sz w:val="13"/>
              </w:rPr>
              <w:t>Derived</w:t>
            </w:r>
          </w:p>
        </w:tc>
        <w:tc>
          <w:tcPr>
            <w:tcW w:type="dxa" w:w="4176"/>
            <w:vAlign w:val="top"/>
          </w:tcPr>
          <w:p>
            <w:pPr>
              <w:spacing w:after="0"/>
            </w:pPr>
            <w:r>
              <w:rPr>
                <w:sz w:val="13"/>
              </w:rPr>
              <w:t>Internal source-selection key.</w:t>
            </w:r>
          </w:p>
        </w:tc>
      </w:tr>
      <w:tr>
        <w:tc>
          <w:tcPr>
            <w:tcW w:type="dxa" w:w="2088"/>
            <w:vAlign w:val="top"/>
          </w:tcPr>
          <w:p>
            <w:pPr>
              <w:spacing w:after="0"/>
            </w:pPr>
            <w:r>
              <w:rPr>
                <w:sz w:val="13"/>
              </w:rPr>
              <w:t>formatLabel</w:t>
            </w:r>
          </w:p>
        </w:tc>
        <w:tc>
          <w:tcPr>
            <w:tcW w:type="dxa" w:w="1584"/>
            <w:vAlign w:val="top"/>
          </w:tcPr>
          <w:p>
            <w:pPr>
              <w:spacing w:after="0"/>
            </w:pPr>
            <w:r>
              <w:rPr>
                <w:sz w:val="13"/>
              </w:rPr>
              <w:t>string</w:t>
            </w:r>
          </w:p>
        </w:tc>
        <w:tc>
          <w:tcPr>
            <w:tcW w:type="dxa" w:w="2232"/>
            <w:vAlign w:val="top"/>
          </w:tcPr>
          <w:p>
            <w:pPr>
              <w:spacing w:after="0"/>
            </w:pPr>
            <w:r>
              <w:rPr>
                <w:sz w:val="13"/>
              </w:rPr>
              <w:t>Derived</w:t>
            </w:r>
          </w:p>
        </w:tc>
        <w:tc>
          <w:tcPr>
            <w:tcW w:type="dxa" w:w="4176"/>
            <w:vAlign w:val="top"/>
          </w:tcPr>
          <w:p>
            <w:pPr>
              <w:spacing w:after="0"/>
            </w:pPr>
            <w:r>
              <w:rPr>
                <w:sz w:val="13"/>
              </w:rPr>
              <w:t>Human-readable format.</w:t>
            </w:r>
          </w:p>
        </w:tc>
      </w:tr>
      <w:tr>
        <w:tc>
          <w:tcPr>
            <w:tcW w:type="dxa" w:w="2088"/>
            <w:vAlign w:val="top"/>
          </w:tcPr>
          <w:p>
            <w:pPr>
              <w:spacing w:after="0"/>
            </w:pPr>
            <w:r>
              <w:rPr>
                <w:sz w:val="13"/>
              </w:rPr>
              <w:t>rosterSlots</w:t>
            </w:r>
          </w:p>
        </w:tc>
        <w:tc>
          <w:tcPr>
            <w:tcW w:type="dxa" w:w="1584"/>
            <w:vAlign w:val="top"/>
          </w:tcPr>
          <w:p>
            <w:pPr>
              <w:spacing w:after="0"/>
            </w:pPr>
            <w:r>
              <w:rPr>
                <w:sz w:val="13"/>
              </w:rPr>
              <w:t>array&lt;string&gt;</w:t>
            </w:r>
          </w:p>
        </w:tc>
        <w:tc>
          <w:tcPr>
            <w:tcW w:type="dxa" w:w="2232"/>
            <w:vAlign w:val="top"/>
          </w:tcPr>
          <w:p>
            <w:pPr>
              <w:spacing w:after="0"/>
            </w:pPr>
            <w:r>
              <w:rPr>
                <w:sz w:val="13"/>
              </w:rPr>
              <w:t>Derived</w:t>
            </w:r>
          </w:p>
        </w:tc>
        <w:tc>
          <w:tcPr>
            <w:tcW w:type="dxa" w:w="4176"/>
            <w:vAlign w:val="top"/>
          </w:tcPr>
          <w:p>
            <w:pPr>
              <w:spacing w:after="0"/>
            </w:pPr>
            <w:r>
              <w:rPr>
                <w:sz w:val="13"/>
              </w:rPr>
              <w:t>Legal starting slots.</w:t>
            </w:r>
          </w:p>
        </w:tc>
      </w:tr>
      <w:tr>
        <w:tc>
          <w:tcPr>
            <w:tcW w:type="dxa" w:w="2088"/>
            <w:vAlign w:val="top"/>
          </w:tcPr>
          <w:p>
            <w:pPr>
              <w:spacing w:after="0"/>
            </w:pPr>
            <w:r>
              <w:rPr>
                <w:sz w:val="13"/>
              </w:rPr>
              <w:t>unsupportedSlots</w:t>
            </w:r>
          </w:p>
        </w:tc>
        <w:tc>
          <w:tcPr>
            <w:tcW w:type="dxa" w:w="1584"/>
            <w:vAlign w:val="top"/>
          </w:tcPr>
          <w:p>
            <w:pPr>
              <w:spacing w:after="0"/>
            </w:pPr>
            <w:r>
              <w:rPr>
                <w:sz w:val="13"/>
              </w:rPr>
              <w:t>array&lt;string&gt;</w:t>
            </w:r>
          </w:p>
        </w:tc>
        <w:tc>
          <w:tcPr>
            <w:tcW w:type="dxa" w:w="2232"/>
            <w:vAlign w:val="top"/>
          </w:tcPr>
          <w:p>
            <w:pPr>
              <w:spacing w:after="0"/>
            </w:pPr>
            <w:r>
              <w:rPr>
                <w:sz w:val="13"/>
              </w:rPr>
              <w:t>Derived</w:t>
            </w:r>
          </w:p>
        </w:tc>
        <w:tc>
          <w:tcPr>
            <w:tcW w:type="dxa" w:w="4176"/>
            <w:vAlign w:val="top"/>
          </w:tcPr>
          <w:p>
            <w:pPr>
              <w:spacing w:after="0"/>
            </w:pPr>
            <w:r>
              <w:rPr>
                <w:sz w:val="13"/>
              </w:rPr>
              <w:t>IDP slots with incomplete market support.</w:t>
            </w:r>
          </w:p>
        </w:tc>
      </w:tr>
      <w:tr>
        <w:tc>
          <w:tcPr>
            <w:tcW w:type="dxa" w:w="2088"/>
            <w:vAlign w:val="top"/>
          </w:tcPr>
          <w:p>
            <w:pPr>
              <w:spacing w:after="0"/>
            </w:pPr>
            <w:r>
              <w:rPr>
                <w:sz w:val="13"/>
              </w:rPr>
              <w:t>weights</w:t>
            </w:r>
          </w:p>
        </w:tc>
        <w:tc>
          <w:tcPr>
            <w:tcW w:type="dxa" w:w="1584"/>
            <w:vAlign w:val="top"/>
          </w:tcPr>
          <w:p>
            <w:pPr>
              <w:spacing w:after="0"/>
            </w:pPr>
            <w:r>
              <w:rPr>
                <w:sz w:val="13"/>
              </w:rPr>
              <w:t>object</w:t>
            </w:r>
          </w:p>
        </w:tc>
        <w:tc>
          <w:tcPr>
            <w:tcW w:type="dxa" w:w="2232"/>
            <w:vAlign w:val="top"/>
          </w:tcPr>
          <w:p>
            <w:pPr>
              <w:spacing w:after="0"/>
            </w:pPr>
            <w:r>
              <w:rPr>
                <w:sz w:val="13"/>
              </w:rPr>
              <w:t>User configuration</w:t>
            </w:r>
          </w:p>
        </w:tc>
        <w:tc>
          <w:tcPr>
            <w:tcW w:type="dxa" w:w="4176"/>
            <w:vAlign w:val="top"/>
          </w:tcPr>
          <w:p>
            <w:pPr>
              <w:spacing w:after="0"/>
            </w:pPr>
            <w:r>
              <w:rPr>
                <w:sz w:val="13"/>
              </w:rPr>
              <w:t>Normalized contender-score weights.</w:t>
            </w:r>
          </w:p>
        </w:tc>
      </w:tr>
      <w:tr>
        <w:tc>
          <w:tcPr>
            <w:tcW w:type="dxa" w:w="2088"/>
            <w:vAlign w:val="top"/>
          </w:tcPr>
          <w:p>
            <w:pPr>
              <w:spacing w:after="0"/>
            </w:pPr>
            <w:r>
              <w:rPr>
                <w:sz w:val="13"/>
              </w:rPr>
              <w:t>useCurrentProduction</w:t>
            </w:r>
          </w:p>
        </w:tc>
        <w:tc>
          <w:tcPr>
            <w:tcW w:type="dxa" w:w="1584"/>
            <w:vAlign w:val="top"/>
          </w:tcPr>
          <w:p>
            <w:pPr>
              <w:spacing w:after="0"/>
            </w:pPr>
            <w:r>
              <w:rPr>
                <w:sz w:val="13"/>
              </w:rPr>
              <w:t>boolean</w:t>
            </w:r>
          </w:p>
        </w:tc>
        <w:tc>
          <w:tcPr>
            <w:tcW w:type="dxa" w:w="2232"/>
            <w:vAlign w:val="top"/>
          </w:tcPr>
          <w:p>
            <w:pPr>
              <w:spacing w:after="0"/>
            </w:pPr>
            <w:r>
              <w:rPr>
                <w:sz w:val="13"/>
              </w:rPr>
              <w:t>Derived</w:t>
            </w:r>
          </w:p>
        </w:tc>
        <w:tc>
          <w:tcPr>
            <w:tcW w:type="dxa" w:w="4176"/>
            <w:vAlign w:val="top"/>
          </w:tcPr>
          <w:p>
            <w:pPr>
              <w:spacing w:after="0"/>
            </w:pPr>
            <w:r>
              <w:rPr>
                <w:sz w:val="13"/>
              </w:rPr>
              <w:t>Current vs prior production selection.</w:t>
            </w:r>
          </w:p>
        </w:tc>
      </w:tr>
      <w:tr>
        <w:tc>
          <w:tcPr>
            <w:tcW w:type="dxa" w:w="2088"/>
            <w:vAlign w:val="top"/>
          </w:tcPr>
          <w:p>
            <w:pPr>
              <w:spacing w:after="0"/>
            </w:pPr>
            <w:r>
              <w:rPr>
                <w:sz w:val="13"/>
              </w:rPr>
              <w:t>teams</w:t>
            </w:r>
          </w:p>
        </w:tc>
        <w:tc>
          <w:tcPr>
            <w:tcW w:type="dxa" w:w="1584"/>
            <w:vAlign w:val="top"/>
          </w:tcPr>
          <w:p>
            <w:pPr>
              <w:spacing w:after="0"/>
            </w:pPr>
            <w:r>
              <w:rPr>
                <w:sz w:val="13"/>
              </w:rPr>
              <w:t>array&lt;team&gt;</w:t>
            </w:r>
          </w:p>
        </w:tc>
        <w:tc>
          <w:tcPr>
            <w:tcW w:type="dxa" w:w="2232"/>
            <w:vAlign w:val="top"/>
          </w:tcPr>
          <w:p>
            <w:pPr>
              <w:spacing w:after="0"/>
            </w:pPr>
            <w:r>
              <w:rPr>
                <w:sz w:val="13"/>
              </w:rPr>
              <w:t>Derived</w:t>
            </w:r>
          </w:p>
        </w:tc>
        <w:tc>
          <w:tcPr>
            <w:tcW w:type="dxa" w:w="4176"/>
            <w:vAlign w:val="top"/>
          </w:tcPr>
          <w:p>
            <w:pPr>
              <w:spacing w:after="0"/>
            </w:pPr>
            <w:r>
              <w:rPr>
                <w:sz w:val="13"/>
              </w:rPr>
              <w:t>Team analytical records.</w:t>
            </w:r>
          </w:p>
        </w:tc>
      </w:tr>
      <w:tr>
        <w:tc>
          <w:tcPr>
            <w:tcW w:type="dxa" w:w="2088"/>
            <w:vAlign w:val="top"/>
          </w:tcPr>
          <w:p>
            <w:pPr>
              <w:spacing w:after="0"/>
            </w:pPr>
            <w:r>
              <w:rPr>
                <w:sz w:val="13"/>
              </w:rPr>
              <w:t>players</w:t>
            </w:r>
          </w:p>
        </w:tc>
        <w:tc>
          <w:tcPr>
            <w:tcW w:type="dxa" w:w="1584"/>
            <w:vAlign w:val="top"/>
          </w:tcPr>
          <w:p>
            <w:pPr>
              <w:spacing w:after="0"/>
            </w:pPr>
            <w:r>
              <w:rPr>
                <w:sz w:val="13"/>
              </w:rPr>
              <w:t>array&lt;player&gt;</w:t>
            </w:r>
          </w:p>
        </w:tc>
        <w:tc>
          <w:tcPr>
            <w:tcW w:type="dxa" w:w="2232"/>
            <w:vAlign w:val="top"/>
          </w:tcPr>
          <w:p>
            <w:pPr>
              <w:spacing w:after="0"/>
            </w:pPr>
            <w:r>
              <w:rPr>
                <w:sz w:val="13"/>
              </w:rPr>
              <w:t>Derived</w:t>
            </w:r>
          </w:p>
        </w:tc>
        <w:tc>
          <w:tcPr>
            <w:tcW w:type="dxa" w:w="4176"/>
            <w:vAlign w:val="top"/>
          </w:tcPr>
          <w:p>
            <w:pPr>
              <w:spacing w:after="0"/>
            </w:pPr>
            <w:r>
              <w:rPr>
                <w:sz w:val="13"/>
              </w:rPr>
              <w:t>Rostered and relevant free-agent records.</w:t>
            </w:r>
          </w:p>
        </w:tc>
      </w:tr>
      <w:tr>
        <w:tc>
          <w:tcPr>
            <w:tcW w:type="dxa" w:w="2088"/>
            <w:vAlign w:val="top"/>
          </w:tcPr>
          <w:p>
            <w:pPr>
              <w:spacing w:after="0"/>
            </w:pPr>
            <w:r>
              <w:rPr>
                <w:sz w:val="13"/>
              </w:rPr>
              <w:t>tierPlayers</w:t>
            </w:r>
          </w:p>
        </w:tc>
        <w:tc>
          <w:tcPr>
            <w:tcW w:type="dxa" w:w="1584"/>
            <w:vAlign w:val="top"/>
          </w:tcPr>
          <w:p>
            <w:pPr>
              <w:spacing w:after="0"/>
            </w:pPr>
            <w:r>
              <w:rPr>
                <w:sz w:val="13"/>
              </w:rPr>
              <w:t>array&lt;player&gt;</w:t>
            </w:r>
          </w:p>
        </w:tc>
        <w:tc>
          <w:tcPr>
            <w:tcW w:type="dxa" w:w="2232"/>
            <w:vAlign w:val="top"/>
          </w:tcPr>
          <w:p>
            <w:pPr>
              <w:spacing w:after="0"/>
            </w:pPr>
            <w:r>
              <w:rPr>
                <w:sz w:val="13"/>
              </w:rPr>
              <w:t>Derived at render preparation</w:t>
            </w:r>
          </w:p>
        </w:tc>
        <w:tc>
          <w:tcPr>
            <w:tcW w:type="dxa" w:w="4176"/>
            <w:vAlign w:val="top"/>
          </w:tcPr>
          <w:p>
            <w:pPr>
              <w:spacing w:after="0"/>
            </w:pPr>
            <w:r>
              <w:rPr>
                <w:sz w:val="13"/>
              </w:rPr>
              <w:t>Tier-eligible QB/RB/WR/TE records.</w:t>
            </w:r>
          </w:p>
        </w:tc>
      </w:tr>
      <w:tr>
        <w:tc>
          <w:tcPr>
            <w:tcW w:type="dxa" w:w="2088"/>
            <w:vAlign w:val="top"/>
          </w:tcPr>
          <w:p>
            <w:pPr>
              <w:spacing w:after="0"/>
            </w:pPr>
            <w:r>
              <w:rPr>
                <w:sz w:val="13"/>
              </w:rPr>
              <w:t>picks</w:t>
            </w:r>
          </w:p>
        </w:tc>
        <w:tc>
          <w:tcPr>
            <w:tcW w:type="dxa" w:w="1584"/>
            <w:vAlign w:val="top"/>
          </w:tcPr>
          <w:p>
            <w:pPr>
              <w:spacing w:after="0"/>
            </w:pPr>
            <w:r>
              <w:rPr>
                <w:sz w:val="13"/>
              </w:rPr>
              <w:t>array&lt;pick&gt;</w:t>
            </w:r>
          </w:p>
        </w:tc>
        <w:tc>
          <w:tcPr>
            <w:tcW w:type="dxa" w:w="2232"/>
            <w:vAlign w:val="top"/>
          </w:tcPr>
          <w:p>
            <w:pPr>
              <w:spacing w:after="0"/>
            </w:pPr>
            <w:r>
              <w:rPr>
                <w:sz w:val="13"/>
              </w:rPr>
              <w:t>Sleeper + derived</w:t>
            </w:r>
          </w:p>
        </w:tc>
        <w:tc>
          <w:tcPr>
            <w:tcW w:type="dxa" w:w="4176"/>
            <w:vAlign w:val="top"/>
          </w:tcPr>
          <w:p>
            <w:pPr>
              <w:spacing w:after="0"/>
            </w:pPr>
            <w:r>
              <w:rPr>
                <w:sz w:val="13"/>
              </w:rPr>
              <w:t>Future pick ownership model.</w:t>
            </w:r>
          </w:p>
        </w:tc>
      </w:tr>
      <w:tr>
        <w:tc>
          <w:tcPr>
            <w:tcW w:type="dxa" w:w="2088"/>
            <w:vAlign w:val="top"/>
          </w:tcPr>
          <w:p>
            <w:pPr>
              <w:spacing w:after="0"/>
            </w:pPr>
            <w:r>
              <w:rPr>
                <w:sz w:val="13"/>
              </w:rPr>
              <w:t>sourceStatuses</w:t>
            </w:r>
          </w:p>
        </w:tc>
        <w:tc>
          <w:tcPr>
            <w:tcW w:type="dxa" w:w="1584"/>
            <w:vAlign w:val="top"/>
          </w:tcPr>
          <w:p>
            <w:pPr>
              <w:spacing w:after="0"/>
            </w:pPr>
            <w:r>
              <w:rPr>
                <w:sz w:val="13"/>
              </w:rPr>
              <w:t>array&lt;object&gt;</w:t>
            </w:r>
          </w:p>
        </w:tc>
        <w:tc>
          <w:tcPr>
            <w:tcW w:type="dxa" w:w="2232"/>
            <w:vAlign w:val="top"/>
          </w:tcPr>
          <w:p>
            <w:pPr>
              <w:spacing w:after="0"/>
            </w:pPr>
            <w:r>
              <w:rPr>
                <w:sz w:val="13"/>
              </w:rPr>
              <w:t>Runtime</w:t>
            </w:r>
          </w:p>
        </w:tc>
        <w:tc>
          <w:tcPr>
            <w:tcW w:type="dxa" w:w="4176"/>
            <w:vAlign w:val="top"/>
          </w:tcPr>
          <w:p>
            <w:pPr>
              <w:spacing w:after="0"/>
            </w:pPr>
            <w:r>
              <w:rPr>
                <w:sz w:val="13"/>
              </w:rPr>
              <w:t>Provider status and origin.</w:t>
            </w:r>
          </w:p>
        </w:tc>
      </w:tr>
      <w:tr>
        <w:tc>
          <w:tcPr>
            <w:tcW w:type="dxa" w:w="2088"/>
            <w:vAlign w:val="top"/>
          </w:tcPr>
          <w:p>
            <w:pPr>
              <w:spacing w:after="0"/>
            </w:pPr>
            <w:r>
              <w:rPr>
                <w:sz w:val="13"/>
              </w:rPr>
              <w:t>history</w:t>
            </w:r>
          </w:p>
        </w:tc>
        <w:tc>
          <w:tcPr>
            <w:tcW w:type="dxa" w:w="1584"/>
            <w:vAlign w:val="top"/>
          </w:tcPr>
          <w:p>
            <w:pPr>
              <w:spacing w:after="0"/>
            </w:pPr>
            <w:r>
              <w:rPr>
                <w:sz w:val="13"/>
              </w:rPr>
              <w:t>array&lt;object&gt;</w:t>
            </w:r>
          </w:p>
        </w:tc>
        <w:tc>
          <w:tcPr>
            <w:tcW w:type="dxa" w:w="2232"/>
            <w:vAlign w:val="top"/>
          </w:tcPr>
          <w:p>
            <w:pPr>
              <w:spacing w:after="0"/>
            </w:pPr>
            <w:r>
              <w:rPr>
                <w:sz w:val="13"/>
              </w:rPr>
              <w:t>Sleeper</w:t>
            </w:r>
          </w:p>
        </w:tc>
        <w:tc>
          <w:tcPr>
            <w:tcW w:type="dxa" w:w="4176"/>
            <w:vAlign w:val="top"/>
          </w:tcPr>
          <w:p>
            <w:pPr>
              <w:spacing w:after="0"/>
            </w:pPr>
            <w:r>
              <w:rPr>
                <w:sz w:val="13"/>
              </w:rPr>
              <w:t>Linked league seasons.</w:t>
            </w:r>
          </w:p>
        </w:tc>
      </w:tr>
      <w:tr>
        <w:tc>
          <w:tcPr>
            <w:tcW w:type="dxa" w:w="2088"/>
            <w:vAlign w:val="top"/>
          </w:tcPr>
          <w:p>
            <w:pPr>
              <w:spacing w:after="0"/>
            </w:pPr>
            <w:r>
              <w:rPr>
                <w:sz w:val="13"/>
              </w:rPr>
              <w:t>methodology</w:t>
            </w:r>
          </w:p>
        </w:tc>
        <w:tc>
          <w:tcPr>
            <w:tcW w:type="dxa" w:w="1584"/>
            <w:vAlign w:val="top"/>
          </w:tcPr>
          <w:p>
            <w:pPr>
              <w:spacing w:after="0"/>
            </w:pPr>
            <w:r>
              <w:rPr>
                <w:sz w:val="13"/>
              </w:rPr>
              <w:t>object</w:t>
            </w:r>
          </w:p>
        </w:tc>
        <w:tc>
          <w:tcPr>
            <w:tcW w:type="dxa" w:w="2232"/>
            <w:vAlign w:val="top"/>
          </w:tcPr>
          <w:p>
            <w:pPr>
              <w:spacing w:after="0"/>
            </w:pPr>
            <w:r>
              <w:rPr>
                <w:sz w:val="13"/>
              </w:rPr>
              <w:t>Application</w:t>
            </w:r>
          </w:p>
        </w:tc>
        <w:tc>
          <w:tcPr>
            <w:tcW w:type="dxa" w:w="4176"/>
            <w:vAlign w:val="top"/>
          </w:tcPr>
          <w:p>
            <w:pPr>
              <w:spacing w:after="0"/>
            </w:pPr>
            <w:r>
              <w:rPr>
                <w:sz w:val="13"/>
              </w:rPr>
              <w:t>Human-readable calculation descriptions.</w:t>
            </w:r>
          </w:p>
        </w:tc>
      </w:tr>
      <w:tr>
        <w:tc>
          <w:tcPr>
            <w:tcW w:type="dxa" w:w="2556"/>
          </w:tcPr>
          <w:p>
            <w:r>
              <w:t>detectedSetup</w:t>
            </w:r>
          </w:p>
        </w:tc>
        <w:tc>
          <w:tcPr>
            <w:tcW w:type="dxa" w:w="2556"/>
          </w:tcPr>
          <w:p>
            <w:r>
              <w:t>object</w:t>
            </w:r>
          </w:p>
        </w:tc>
        <w:tc>
          <w:tcPr>
            <w:tcW w:type="dxa" w:w="2556"/>
          </w:tcPr>
          <w:p>
            <w:r>
              <w:t>Sleeper league + linked history</w:t>
            </w:r>
          </w:p>
        </w:tc>
        <w:tc>
          <w:tcPr>
            <w:tcW w:type="dxa" w:w="2556"/>
          </w:tcPr>
          <w:p>
            <w:r>
              <w:t>Detected team count, format, starter count, IDP presence, history range, and future-pick range.</w:t>
            </w:r>
          </w:p>
        </w:tc>
      </w:tr>
    </w:tbl>
    <w:p/>
    <w:p>
      <w:pPr>
        <w:pStyle w:val="Heading2"/>
      </w:pPr>
      <w:r>
        <w:t>12.2 Player Analytical Record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tcPr>
          <w:p>
            <w:r>
              <w:rPr>
                <w:b/>
                <w:sz w:val="13"/>
              </w:rPr>
              <w:t>Field group</w:t>
            </w:r>
          </w:p>
        </w:tc>
        <w:tc>
          <w:tcPr>
            <w:tcW w:type="dxa" w:w="1728"/>
            <w:shd w:fill="D9EAF7"/>
          </w:tcPr>
          <w:p>
            <w:r>
              <w:rPr>
                <w:b/>
                <w:sz w:val="13"/>
              </w:rPr>
              <w:t>Type</w:t>
            </w:r>
          </w:p>
        </w:tc>
        <w:tc>
          <w:tcPr>
            <w:tcW w:type="dxa" w:w="5040"/>
            <w:shd w:fill="D9EAF7"/>
          </w:tcPr>
          <w:p>
            <w:r>
              <w:rPr>
                <w:b/>
                <w:sz w:val="13"/>
              </w:rPr>
              <w:t>Definition</w:t>
            </w:r>
          </w:p>
        </w:tc>
      </w:tr>
      <w:tr>
        <w:tc>
          <w:tcPr>
            <w:tcW w:type="dxa" w:w="3312"/>
            <w:vAlign w:val="top"/>
          </w:tcPr>
          <w:p>
            <w:pPr>
              <w:spacing w:after="0"/>
            </w:pPr>
            <w:r>
              <w:rPr>
                <w:sz w:val="13"/>
              </w:rPr>
              <w:t>rosterId</w:t>
            </w:r>
          </w:p>
        </w:tc>
        <w:tc>
          <w:tcPr>
            <w:tcW w:type="dxa" w:w="1728"/>
            <w:vAlign w:val="top"/>
          </w:tcPr>
          <w:p>
            <w:pPr>
              <w:spacing w:after="0"/>
            </w:pPr>
            <w:r>
              <w:rPr>
                <w:sz w:val="13"/>
              </w:rPr>
              <w:t>integer</w:t>
            </w:r>
          </w:p>
        </w:tc>
        <w:tc>
          <w:tcPr>
            <w:tcW w:type="dxa" w:w="5040"/>
            <w:vAlign w:val="top"/>
          </w:tcPr>
          <w:p>
            <w:pPr>
              <w:spacing w:after="0"/>
            </w:pPr>
            <w:r>
              <w:rPr>
                <w:sz w:val="13"/>
              </w:rPr>
              <w:t>Sleeper roster or 0 for free agent</w:t>
            </w:r>
          </w:p>
        </w:tc>
      </w:tr>
      <w:tr>
        <w:tc>
          <w:tcPr>
            <w:tcW w:type="dxa" w:w="3312"/>
            <w:vAlign w:val="top"/>
          </w:tcPr>
          <w:p>
            <w:pPr>
              <w:spacing w:after="0"/>
            </w:pPr>
            <w:r>
              <w:rPr>
                <w:sz w:val="13"/>
              </w:rPr>
              <w:t>fantasyTeam</w:t>
            </w:r>
          </w:p>
        </w:tc>
        <w:tc>
          <w:tcPr>
            <w:tcW w:type="dxa" w:w="1728"/>
            <w:vAlign w:val="top"/>
          </w:tcPr>
          <w:p>
            <w:pPr>
              <w:spacing w:after="0"/>
            </w:pPr>
            <w:r>
              <w:rPr>
                <w:sz w:val="13"/>
              </w:rPr>
              <w:t>string</w:t>
            </w:r>
          </w:p>
        </w:tc>
        <w:tc>
          <w:tcPr>
            <w:tcW w:type="dxa" w:w="5040"/>
            <w:vAlign w:val="top"/>
          </w:tcPr>
          <w:p>
            <w:pPr>
              <w:spacing w:after="0"/>
            </w:pPr>
            <w:r>
              <w:rPr>
                <w:sz w:val="13"/>
              </w:rPr>
              <w:t>Fantasy team or Free Agent</w:t>
            </w:r>
          </w:p>
        </w:tc>
      </w:tr>
      <w:tr>
        <w:tc>
          <w:tcPr>
            <w:tcW w:type="dxa" w:w="3312"/>
            <w:vAlign w:val="top"/>
          </w:tcPr>
          <w:p>
            <w:pPr>
              <w:spacing w:after="0"/>
            </w:pPr>
            <w:r>
              <w:rPr>
                <w:sz w:val="13"/>
              </w:rPr>
              <w:t>manager</w:t>
            </w:r>
          </w:p>
        </w:tc>
        <w:tc>
          <w:tcPr>
            <w:tcW w:type="dxa" w:w="1728"/>
            <w:vAlign w:val="top"/>
          </w:tcPr>
          <w:p>
            <w:pPr>
              <w:spacing w:after="0"/>
            </w:pPr>
            <w:r>
              <w:rPr>
                <w:sz w:val="13"/>
              </w:rPr>
              <w:t>string</w:t>
            </w:r>
          </w:p>
        </w:tc>
        <w:tc>
          <w:tcPr>
            <w:tcW w:type="dxa" w:w="5040"/>
            <w:vAlign w:val="top"/>
          </w:tcPr>
          <w:p>
            <w:pPr>
              <w:spacing w:after="0"/>
            </w:pPr>
            <w:r>
              <w:rPr>
                <w:sz w:val="13"/>
              </w:rPr>
              <w:t>Sleeper manager display name</w:t>
            </w:r>
          </w:p>
        </w:tc>
      </w:tr>
      <w:tr>
        <w:tc>
          <w:tcPr>
            <w:tcW w:type="dxa" w:w="3312"/>
            <w:vAlign w:val="top"/>
          </w:tcPr>
          <w:p>
            <w:pPr>
              <w:spacing w:after="0"/>
            </w:pPr>
            <w:r>
              <w:rPr>
                <w:sz w:val="13"/>
              </w:rPr>
              <w:t>sleeperId</w:t>
            </w:r>
          </w:p>
        </w:tc>
        <w:tc>
          <w:tcPr>
            <w:tcW w:type="dxa" w:w="1728"/>
            <w:vAlign w:val="top"/>
          </w:tcPr>
          <w:p>
            <w:pPr>
              <w:spacing w:after="0"/>
            </w:pPr>
            <w:r>
              <w:rPr>
                <w:sz w:val="13"/>
              </w:rPr>
              <w:t>string</w:t>
            </w:r>
          </w:p>
        </w:tc>
        <w:tc>
          <w:tcPr>
            <w:tcW w:type="dxa" w:w="5040"/>
            <w:vAlign w:val="top"/>
          </w:tcPr>
          <w:p>
            <w:pPr>
              <w:spacing w:after="0"/>
            </w:pPr>
            <w:r>
              <w:rPr>
                <w:sz w:val="13"/>
              </w:rPr>
              <w:t>Primary player key</w:t>
            </w:r>
          </w:p>
        </w:tc>
      </w:tr>
      <w:tr>
        <w:tc>
          <w:tcPr>
            <w:tcW w:type="dxa" w:w="3312"/>
            <w:vAlign w:val="top"/>
          </w:tcPr>
          <w:p>
            <w:pPr>
              <w:spacing w:after="0"/>
            </w:pPr>
            <w:r>
              <w:rPr>
                <w:sz w:val="13"/>
              </w:rPr>
              <w:t>name</w:t>
            </w:r>
          </w:p>
        </w:tc>
        <w:tc>
          <w:tcPr>
            <w:tcW w:type="dxa" w:w="1728"/>
            <w:vAlign w:val="top"/>
          </w:tcPr>
          <w:p>
            <w:pPr>
              <w:spacing w:after="0"/>
            </w:pPr>
            <w:r>
              <w:rPr>
                <w:sz w:val="13"/>
              </w:rPr>
              <w:t>string</w:t>
            </w:r>
          </w:p>
        </w:tc>
        <w:tc>
          <w:tcPr>
            <w:tcW w:type="dxa" w:w="5040"/>
            <w:vAlign w:val="top"/>
          </w:tcPr>
          <w:p>
            <w:pPr>
              <w:spacing w:after="0"/>
            </w:pPr>
            <w:r>
              <w:rPr>
                <w:sz w:val="13"/>
              </w:rPr>
              <w:t>Display name</w:t>
            </w:r>
          </w:p>
        </w:tc>
      </w:tr>
      <w:tr>
        <w:tc>
          <w:tcPr>
            <w:tcW w:type="dxa" w:w="3312"/>
            <w:vAlign w:val="top"/>
          </w:tcPr>
          <w:p>
            <w:pPr>
              <w:spacing w:after="0"/>
            </w:pPr>
            <w:r>
              <w:rPr>
                <w:sz w:val="13"/>
              </w:rPr>
              <w:t>position</w:t>
            </w:r>
          </w:p>
        </w:tc>
        <w:tc>
          <w:tcPr>
            <w:tcW w:type="dxa" w:w="1728"/>
            <w:vAlign w:val="top"/>
          </w:tcPr>
          <w:p>
            <w:pPr>
              <w:spacing w:after="0"/>
            </w:pPr>
            <w:r>
              <w:rPr>
                <w:sz w:val="13"/>
              </w:rPr>
              <w:t>string</w:t>
            </w:r>
          </w:p>
        </w:tc>
        <w:tc>
          <w:tcPr>
            <w:tcW w:type="dxa" w:w="5040"/>
            <w:vAlign w:val="top"/>
          </w:tcPr>
          <w:p>
            <w:pPr>
              <w:spacing w:after="0"/>
            </w:pPr>
            <w:r>
              <w:rPr>
                <w:sz w:val="13"/>
              </w:rPr>
              <w:t>QB/RB/WR/TE or other source position</w:t>
            </w:r>
          </w:p>
        </w:tc>
      </w:tr>
      <w:tr>
        <w:tc>
          <w:tcPr>
            <w:tcW w:type="dxa" w:w="3312"/>
            <w:vAlign w:val="top"/>
          </w:tcPr>
          <w:p>
            <w:pPr>
              <w:spacing w:after="0"/>
            </w:pPr>
            <w:r>
              <w:rPr>
                <w:sz w:val="13"/>
              </w:rPr>
              <w:t>nflTeam</w:t>
            </w:r>
          </w:p>
        </w:tc>
        <w:tc>
          <w:tcPr>
            <w:tcW w:type="dxa" w:w="1728"/>
            <w:vAlign w:val="top"/>
          </w:tcPr>
          <w:p>
            <w:pPr>
              <w:spacing w:after="0"/>
            </w:pPr>
            <w:r>
              <w:rPr>
                <w:sz w:val="13"/>
              </w:rPr>
              <w:t>string</w:t>
            </w:r>
          </w:p>
        </w:tc>
        <w:tc>
          <w:tcPr>
            <w:tcW w:type="dxa" w:w="5040"/>
            <w:vAlign w:val="top"/>
          </w:tcPr>
          <w:p>
            <w:pPr>
              <w:spacing w:after="0"/>
            </w:pPr>
            <w:r>
              <w:rPr>
                <w:sz w:val="13"/>
              </w:rPr>
              <w:t>NFL team abbreviation</w:t>
            </w:r>
          </w:p>
        </w:tc>
      </w:tr>
      <w:tr>
        <w:tc>
          <w:tcPr>
            <w:tcW w:type="dxa" w:w="3312"/>
            <w:vAlign w:val="top"/>
          </w:tcPr>
          <w:p>
            <w:pPr>
              <w:spacing w:after="0"/>
            </w:pPr>
            <w:r>
              <w:rPr>
                <w:sz w:val="13"/>
              </w:rPr>
              <w:t>age</w:t>
            </w:r>
          </w:p>
        </w:tc>
        <w:tc>
          <w:tcPr>
            <w:tcW w:type="dxa" w:w="1728"/>
            <w:vAlign w:val="top"/>
          </w:tcPr>
          <w:p>
            <w:pPr>
              <w:spacing w:after="0"/>
            </w:pPr>
            <w:r>
              <w:rPr>
                <w:sz w:val="13"/>
              </w:rPr>
              <w:t>number|null</w:t>
            </w:r>
          </w:p>
        </w:tc>
        <w:tc>
          <w:tcPr>
            <w:tcW w:type="dxa" w:w="5040"/>
            <w:vAlign w:val="top"/>
          </w:tcPr>
          <w:p>
            <w:pPr>
              <w:spacing w:after="0"/>
            </w:pPr>
            <w:r>
              <w:rPr>
                <w:sz w:val="13"/>
              </w:rPr>
              <w:t>Player age</w:t>
            </w:r>
          </w:p>
        </w:tc>
      </w:tr>
      <w:tr>
        <w:tc>
          <w:tcPr>
            <w:tcW w:type="dxa" w:w="3312"/>
            <w:vAlign w:val="top"/>
          </w:tcPr>
          <w:p>
            <w:pPr>
              <w:spacing w:after="0"/>
            </w:pPr>
            <w:r>
              <w:rPr>
                <w:sz w:val="13"/>
              </w:rPr>
              <w:t>status / injuryStatus / depthOrder</w:t>
            </w:r>
          </w:p>
        </w:tc>
        <w:tc>
          <w:tcPr>
            <w:tcW w:type="dxa" w:w="1728"/>
            <w:vAlign w:val="top"/>
          </w:tcPr>
          <w:p>
            <w:pPr>
              <w:spacing w:after="0"/>
            </w:pPr>
            <w:r>
              <w:rPr>
                <w:sz w:val="13"/>
              </w:rPr>
              <w:t>mixed</w:t>
            </w:r>
          </w:p>
        </w:tc>
        <w:tc>
          <w:tcPr>
            <w:tcW w:type="dxa" w:w="5040"/>
            <w:vAlign w:val="top"/>
          </w:tcPr>
          <w:p>
            <w:pPr>
              <w:spacing w:after="0"/>
            </w:pPr>
            <w:r>
              <w:rPr>
                <w:sz w:val="13"/>
              </w:rPr>
              <w:t>Availability and role fields</w:t>
            </w:r>
          </w:p>
        </w:tc>
      </w:tr>
      <w:tr>
        <w:tc>
          <w:tcPr>
            <w:tcW w:type="dxa" w:w="3312"/>
            <w:vAlign w:val="top"/>
          </w:tcPr>
          <w:p>
            <w:pPr>
              <w:spacing w:after="0"/>
            </w:pPr>
            <w:r>
              <w:rPr>
                <w:sz w:val="13"/>
              </w:rPr>
              <w:t>rosterStatus</w:t>
            </w:r>
          </w:p>
        </w:tc>
        <w:tc>
          <w:tcPr>
            <w:tcW w:type="dxa" w:w="1728"/>
            <w:vAlign w:val="top"/>
          </w:tcPr>
          <w:p>
            <w:pPr>
              <w:spacing w:after="0"/>
            </w:pPr>
            <w:r>
              <w:rPr>
                <w:sz w:val="13"/>
              </w:rPr>
              <w:t>string</w:t>
            </w:r>
          </w:p>
        </w:tc>
        <w:tc>
          <w:tcPr>
            <w:tcW w:type="dxa" w:w="5040"/>
            <w:vAlign w:val="top"/>
          </w:tcPr>
          <w:p>
            <w:pPr>
              <w:spacing w:after="0"/>
            </w:pPr>
            <w:r>
              <w:rPr>
                <w:sz w:val="13"/>
              </w:rPr>
              <w:t>Starter, Bench, Reserve, Taxi, or Free Agent</w:t>
            </w:r>
          </w:p>
        </w:tc>
      </w:tr>
      <w:tr>
        <w:tc>
          <w:tcPr>
            <w:tcW w:type="dxa" w:w="3312"/>
            <w:vAlign w:val="top"/>
          </w:tcPr>
          <w:p>
            <w:pPr>
              <w:spacing w:after="0"/>
            </w:pPr>
            <w:r>
              <w:rPr>
                <w:sz w:val="13"/>
              </w:rPr>
              <w:t>actualPoints / actualPpg</w:t>
            </w:r>
          </w:p>
        </w:tc>
        <w:tc>
          <w:tcPr>
            <w:tcW w:type="dxa" w:w="1728"/>
            <w:vAlign w:val="top"/>
          </w:tcPr>
          <w:p>
            <w:pPr>
              <w:spacing w:after="0"/>
            </w:pPr>
            <w:r>
              <w:rPr>
                <w:sz w:val="13"/>
              </w:rPr>
              <w:t>decimal</w:t>
            </w:r>
          </w:p>
        </w:tc>
        <w:tc>
          <w:tcPr>
            <w:tcW w:type="dxa" w:w="5040"/>
            <w:vAlign w:val="top"/>
          </w:tcPr>
          <w:p>
            <w:pPr>
              <w:spacing w:after="0"/>
            </w:pPr>
            <w:r>
              <w:rPr>
                <w:sz w:val="13"/>
              </w:rPr>
              <w:t>Fetched production aggregate</w:t>
            </w:r>
          </w:p>
        </w:tc>
      </w:tr>
      <w:tr>
        <w:tc>
          <w:tcPr>
            <w:tcW w:type="dxa" w:w="3312"/>
            <w:vAlign w:val="top"/>
          </w:tcPr>
          <w:p>
            <w:pPr>
              <w:spacing w:after="0"/>
            </w:pPr>
            <w:r>
              <w:rPr>
                <w:sz w:val="13"/>
              </w:rPr>
              <w:t>rosteredWeeks / scoringWeeks / starts</w:t>
            </w:r>
          </w:p>
        </w:tc>
        <w:tc>
          <w:tcPr>
            <w:tcW w:type="dxa" w:w="1728"/>
            <w:vAlign w:val="top"/>
          </w:tcPr>
          <w:p>
            <w:pPr>
              <w:spacing w:after="0"/>
            </w:pPr>
            <w:r>
              <w:rPr>
                <w:sz w:val="13"/>
              </w:rPr>
              <w:t>integer</w:t>
            </w:r>
          </w:p>
        </w:tc>
        <w:tc>
          <w:tcPr>
            <w:tcW w:type="dxa" w:w="5040"/>
            <w:vAlign w:val="top"/>
          </w:tcPr>
          <w:p>
            <w:pPr>
              <w:spacing w:after="0"/>
            </w:pPr>
            <w:r>
              <w:rPr>
                <w:sz w:val="13"/>
              </w:rPr>
              <w:t>Production sample and usage</w:t>
            </w:r>
          </w:p>
        </w:tc>
      </w:tr>
      <w:tr>
        <w:tc>
          <w:tcPr>
            <w:tcW w:type="dxa" w:w="3312"/>
            <w:vAlign w:val="top"/>
          </w:tcPr>
          <w:p>
            <w:pPr>
              <w:spacing w:after="0"/>
            </w:pPr>
            <w:r>
              <w:rPr>
                <w:sz w:val="13"/>
              </w:rPr>
              <w:t>starterPpg</w:t>
            </w:r>
          </w:p>
        </w:tc>
        <w:tc>
          <w:tcPr>
            <w:tcW w:type="dxa" w:w="1728"/>
            <w:vAlign w:val="top"/>
          </w:tcPr>
          <w:p>
            <w:pPr>
              <w:spacing w:after="0"/>
            </w:pPr>
            <w:r>
              <w:rPr>
                <w:sz w:val="13"/>
              </w:rPr>
              <w:t>decimal</w:t>
            </w:r>
          </w:p>
        </w:tc>
        <w:tc>
          <w:tcPr>
            <w:tcW w:type="dxa" w:w="5040"/>
            <w:vAlign w:val="top"/>
          </w:tcPr>
          <w:p>
            <w:pPr>
              <w:spacing w:after="0"/>
            </w:pPr>
            <w:r>
              <w:rPr>
                <w:sz w:val="13"/>
              </w:rPr>
              <w:t>Points in fantasy starts / starts</w:t>
            </w:r>
          </w:p>
        </w:tc>
      </w:tr>
      <w:tr>
        <w:tc>
          <w:tcPr>
            <w:tcW w:type="dxa" w:w="3312"/>
            <w:vAlign w:val="top"/>
          </w:tcPr>
          <w:p>
            <w:pPr>
              <w:spacing w:after="0"/>
            </w:pPr>
            <w:r>
              <w:rPr>
                <w:sz w:val="13"/>
              </w:rPr>
              <w:t>projectedTotal / projectedGames</w:t>
            </w:r>
          </w:p>
        </w:tc>
        <w:tc>
          <w:tcPr>
            <w:tcW w:type="dxa" w:w="1728"/>
            <w:vAlign w:val="top"/>
          </w:tcPr>
          <w:p>
            <w:pPr>
              <w:spacing w:after="0"/>
            </w:pPr>
            <w:r>
              <w:rPr>
                <w:sz w:val="13"/>
              </w:rPr>
              <w:t>decimal|null</w:t>
            </w:r>
          </w:p>
        </w:tc>
        <w:tc>
          <w:tcPr>
            <w:tcW w:type="dxa" w:w="5040"/>
            <w:vAlign w:val="top"/>
          </w:tcPr>
          <w:p>
            <w:pPr>
              <w:spacing w:after="0"/>
            </w:pPr>
            <w:r>
              <w:rPr>
                <w:sz w:val="13"/>
              </w:rPr>
              <w:t>Normalized projection</w:t>
            </w:r>
          </w:p>
        </w:tc>
      </w:tr>
      <w:tr>
        <w:tc>
          <w:tcPr>
            <w:tcW w:type="dxa" w:w="3312"/>
            <w:vAlign w:val="top"/>
          </w:tcPr>
          <w:p>
            <w:pPr>
              <w:spacing w:after="0"/>
            </w:pPr>
            <w:r>
              <w:rPr>
                <w:sz w:val="13"/>
              </w:rPr>
              <w:t>expectedPpg</w:t>
            </w:r>
          </w:p>
        </w:tc>
        <w:tc>
          <w:tcPr>
            <w:tcW w:type="dxa" w:w="1728"/>
            <w:vAlign w:val="top"/>
          </w:tcPr>
          <w:p>
            <w:pPr>
              <w:spacing w:after="0"/>
            </w:pPr>
            <w:r>
              <w:rPr>
                <w:sz w:val="13"/>
              </w:rPr>
              <w:t>decimal</w:t>
            </w:r>
          </w:p>
        </w:tc>
        <w:tc>
          <w:tcPr>
            <w:tcW w:type="dxa" w:w="5040"/>
            <w:vAlign w:val="top"/>
          </w:tcPr>
          <w:p>
            <w:pPr>
              <w:spacing w:after="0"/>
            </w:pPr>
            <w:r>
              <w:rPr>
                <w:sz w:val="13"/>
              </w:rPr>
              <w:t>projectedTotal / 17</w:t>
            </w:r>
          </w:p>
        </w:tc>
      </w:tr>
      <w:tr>
        <w:tc>
          <w:tcPr>
            <w:tcW w:type="dxa" w:w="3312"/>
            <w:vAlign w:val="top"/>
          </w:tcPr>
          <w:p>
            <w:pPr>
              <w:spacing w:after="0"/>
            </w:pPr>
            <w:r>
              <w:rPr>
                <w:sz w:val="13"/>
              </w:rPr>
              <w:t>sourcePpg / projectionSource</w:t>
            </w:r>
          </w:p>
        </w:tc>
        <w:tc>
          <w:tcPr>
            <w:tcW w:type="dxa" w:w="1728"/>
            <w:vAlign w:val="top"/>
          </w:tcPr>
          <w:p>
            <w:pPr>
              <w:spacing w:after="0"/>
            </w:pPr>
            <w:r>
              <w:rPr>
                <w:sz w:val="13"/>
              </w:rPr>
              <w:t>mixed</w:t>
            </w:r>
          </w:p>
        </w:tc>
        <w:tc>
          <w:tcPr>
            <w:tcW w:type="dxa" w:w="5040"/>
            <w:vAlign w:val="top"/>
          </w:tcPr>
          <w:p>
            <w:pPr>
              <w:spacing w:after="0"/>
            </w:pPr>
            <w:r>
              <w:rPr>
                <w:sz w:val="13"/>
              </w:rPr>
              <w:t>Projection lineage</w:t>
            </w:r>
          </w:p>
        </w:tc>
      </w:tr>
      <w:tr>
        <w:tc>
          <w:tcPr>
            <w:tcW w:type="dxa" w:w="3312"/>
            <w:vAlign w:val="top"/>
          </w:tcPr>
          <w:p>
            <w:pPr>
              <w:spacing w:after="0"/>
            </w:pPr>
            <w:r>
              <w:rPr>
                <w:sz w:val="13"/>
              </w:rPr>
              <w:t>dynastyValueRA / dynastyValueDP</w:t>
            </w:r>
          </w:p>
        </w:tc>
        <w:tc>
          <w:tcPr>
            <w:tcW w:type="dxa" w:w="1728"/>
            <w:vAlign w:val="top"/>
          </w:tcPr>
          <w:p>
            <w:pPr>
              <w:spacing w:after="0"/>
            </w:pPr>
            <w:r>
              <w:rPr>
                <w:sz w:val="13"/>
              </w:rPr>
              <w:t>decimal|null</w:t>
            </w:r>
          </w:p>
        </w:tc>
        <w:tc>
          <w:tcPr>
            <w:tcW w:type="dxa" w:w="5040"/>
            <w:vAlign w:val="top"/>
          </w:tcPr>
          <w:p>
            <w:pPr>
              <w:spacing w:after="0"/>
            </w:pPr>
            <w:r>
              <w:rPr>
                <w:sz w:val="13"/>
              </w:rPr>
              <w:t>Source-specific values</w:t>
            </w:r>
          </w:p>
        </w:tc>
      </w:tr>
      <w:tr>
        <w:tc>
          <w:tcPr>
            <w:tcW w:type="dxa" w:w="3312"/>
            <w:vAlign w:val="top"/>
          </w:tcPr>
          <w:p>
            <w:pPr>
              <w:spacing w:after="0"/>
            </w:pPr>
            <w:r>
              <w:rPr>
                <w:sz w:val="13"/>
              </w:rPr>
              <w:t>dynastyValue</w:t>
            </w:r>
          </w:p>
        </w:tc>
        <w:tc>
          <w:tcPr>
            <w:tcW w:type="dxa" w:w="1728"/>
            <w:vAlign w:val="top"/>
          </w:tcPr>
          <w:p>
            <w:pPr>
              <w:spacing w:after="0"/>
            </w:pPr>
            <w:r>
              <w:rPr>
                <w:sz w:val="13"/>
              </w:rPr>
              <w:t>integer</w:t>
            </w:r>
          </w:p>
        </w:tc>
        <w:tc>
          <w:tcPr>
            <w:tcW w:type="dxa" w:w="5040"/>
            <w:vAlign w:val="top"/>
          </w:tcPr>
          <w:p>
            <w:pPr>
              <w:spacing w:after="0"/>
            </w:pPr>
            <w:r>
              <w:rPr>
                <w:sz w:val="13"/>
              </w:rPr>
              <w:t>Mean of available values</w:t>
            </w:r>
          </w:p>
        </w:tc>
      </w:tr>
      <w:tr>
        <w:tc>
          <w:tcPr>
            <w:tcW w:type="dxa" w:w="3312"/>
            <w:vAlign w:val="top"/>
          </w:tcPr>
          <w:p>
            <w:pPr>
              <w:spacing w:after="0"/>
            </w:pPr>
            <w:r>
              <w:rPr>
                <w:sz w:val="13"/>
              </w:rPr>
              <w:t>trend7d / trend30d</w:t>
            </w:r>
          </w:p>
        </w:tc>
        <w:tc>
          <w:tcPr>
            <w:tcW w:type="dxa" w:w="1728"/>
            <w:vAlign w:val="top"/>
          </w:tcPr>
          <w:p>
            <w:pPr>
              <w:spacing w:after="0"/>
            </w:pPr>
            <w:r>
              <w:rPr>
                <w:sz w:val="13"/>
              </w:rPr>
              <w:t>decimal|null</w:t>
            </w:r>
          </w:p>
        </w:tc>
        <w:tc>
          <w:tcPr>
            <w:tcW w:type="dxa" w:w="5040"/>
            <w:vAlign w:val="top"/>
          </w:tcPr>
          <w:p>
            <w:pPr>
              <w:spacing w:after="0"/>
            </w:pPr>
            <w:r>
              <w:rPr>
                <w:sz w:val="13"/>
              </w:rPr>
              <w:t>RosterAudit market trends</w:t>
            </w:r>
          </w:p>
        </w:tc>
      </w:tr>
      <w:tr>
        <w:tc>
          <w:tcPr>
            <w:tcW w:type="dxa" w:w="3312"/>
            <w:vAlign w:val="top"/>
          </w:tcPr>
          <w:p>
            <w:pPr>
              <w:spacing w:after="0"/>
            </w:pPr>
            <w:r>
              <w:rPr>
                <w:sz w:val="13"/>
              </w:rPr>
              <w:t>draftYear / draftRound / college</w:t>
            </w:r>
          </w:p>
        </w:tc>
        <w:tc>
          <w:tcPr>
            <w:tcW w:type="dxa" w:w="1728"/>
            <w:vAlign w:val="top"/>
          </w:tcPr>
          <w:p>
            <w:pPr>
              <w:spacing w:after="0"/>
            </w:pPr>
            <w:r>
              <w:rPr>
                <w:sz w:val="13"/>
              </w:rPr>
              <w:t>mixed</w:t>
            </w:r>
          </w:p>
        </w:tc>
        <w:tc>
          <w:tcPr>
            <w:tcW w:type="dxa" w:w="5040"/>
            <w:vAlign w:val="top"/>
          </w:tcPr>
          <w:p>
            <w:pPr>
              <w:spacing w:after="0"/>
            </w:pPr>
            <w:r>
              <w:rPr>
                <w:sz w:val="13"/>
              </w:rPr>
              <w:t>Identity and pedigree</w:t>
            </w:r>
          </w:p>
        </w:tc>
      </w:tr>
      <w:tr>
        <w:tc>
          <w:tcPr>
            <w:tcW w:type="dxa" w:w="3312"/>
            <w:vAlign w:val="top"/>
          </w:tcPr>
          <w:p>
            <w:pPr>
              <w:spacing w:after="0"/>
            </w:pPr>
            <w:r>
              <w:rPr>
                <w:sz w:val="13"/>
              </w:rPr>
              <w:t>gsisId / fantasyProsId / ktcId</w:t>
            </w:r>
          </w:p>
        </w:tc>
        <w:tc>
          <w:tcPr>
            <w:tcW w:type="dxa" w:w="1728"/>
            <w:vAlign w:val="top"/>
          </w:tcPr>
          <w:p>
            <w:pPr>
              <w:spacing w:after="0"/>
            </w:pPr>
            <w:r>
              <w:rPr>
                <w:sz w:val="13"/>
              </w:rPr>
              <w:t>string</w:t>
            </w:r>
          </w:p>
        </w:tc>
        <w:tc>
          <w:tcPr>
            <w:tcW w:type="dxa" w:w="5040"/>
            <w:vAlign w:val="top"/>
          </w:tcPr>
          <w:p>
            <w:pPr>
              <w:spacing w:after="0"/>
            </w:pPr>
            <w:r>
              <w:rPr>
                <w:sz w:val="13"/>
              </w:rPr>
              <w:t>Cross-platform identifiers</w:t>
            </w:r>
          </w:p>
        </w:tc>
      </w:tr>
      <w:tr>
        <w:tc>
          <w:tcPr>
            <w:tcW w:type="dxa" w:w="3312"/>
            <w:vAlign w:val="top"/>
          </w:tcPr>
          <w:p>
            <w:pPr>
              <w:spacing w:after="0"/>
            </w:pPr>
            <w:r>
              <w:rPr>
                <w:sz w:val="13"/>
              </w:rPr>
              <w:t>riskScore / riskTier / reasons</w:t>
            </w:r>
          </w:p>
        </w:tc>
        <w:tc>
          <w:tcPr>
            <w:tcW w:type="dxa" w:w="1728"/>
            <w:vAlign w:val="top"/>
          </w:tcPr>
          <w:p>
            <w:pPr>
              <w:spacing w:after="0"/>
            </w:pPr>
            <w:r>
              <w:rPr>
                <w:sz w:val="13"/>
              </w:rPr>
              <w:t>mixed</w:t>
            </w:r>
          </w:p>
        </w:tc>
        <w:tc>
          <w:tcPr>
            <w:tcW w:type="dxa" w:w="5040"/>
            <w:vAlign w:val="top"/>
          </w:tcPr>
          <w:p>
            <w:pPr>
              <w:spacing w:after="0"/>
            </w:pPr>
            <w:r>
              <w:rPr>
                <w:sz w:val="13"/>
              </w:rPr>
              <w:t>Rule-based risk model</w:t>
            </w:r>
          </w:p>
        </w:tc>
      </w:tr>
      <w:tr>
        <w:tc>
          <w:tcPr>
            <w:tcW w:type="dxa" w:w="3312"/>
            <w:vAlign w:val="top"/>
          </w:tcPr>
          <w:p>
            <w:pPr>
              <w:spacing w:after="0"/>
            </w:pPr>
            <w:r>
              <w:rPr>
                <w:sz w:val="13"/>
              </w:rPr>
              <w:t>positionRank / positionPoolSize</w:t>
            </w:r>
          </w:p>
        </w:tc>
        <w:tc>
          <w:tcPr>
            <w:tcW w:type="dxa" w:w="1728"/>
            <w:vAlign w:val="top"/>
          </w:tcPr>
          <w:p>
            <w:pPr>
              <w:spacing w:after="0"/>
            </w:pPr>
            <w:r>
              <w:rPr>
                <w:sz w:val="13"/>
              </w:rPr>
              <w:t>integer</w:t>
            </w:r>
          </w:p>
        </w:tc>
        <w:tc>
          <w:tcPr>
            <w:tcW w:type="dxa" w:w="5040"/>
            <w:vAlign w:val="top"/>
          </w:tcPr>
          <w:p>
            <w:pPr>
              <w:spacing w:after="0"/>
            </w:pPr>
            <w:r>
              <w:rPr>
                <w:sz w:val="13"/>
              </w:rPr>
              <w:t>League positional context</w:t>
            </w:r>
          </w:p>
        </w:tc>
      </w:tr>
      <w:tr>
        <w:tc>
          <w:tcPr>
            <w:tcW w:type="dxa" w:w="3312"/>
            <w:vAlign w:val="top"/>
          </w:tcPr>
          <w:p>
            <w:pPr>
              <w:spacing w:after="0"/>
            </w:pPr>
            <w:r>
              <w:rPr>
                <w:sz w:val="13"/>
              </w:rPr>
              <w:t>positionPercentile / positionTier</w:t>
            </w:r>
          </w:p>
        </w:tc>
        <w:tc>
          <w:tcPr>
            <w:tcW w:type="dxa" w:w="1728"/>
            <w:vAlign w:val="top"/>
          </w:tcPr>
          <w:p>
            <w:pPr>
              <w:spacing w:after="0"/>
            </w:pPr>
            <w:r>
              <w:rPr>
                <w:sz w:val="13"/>
              </w:rPr>
              <w:t>mixed</w:t>
            </w:r>
          </w:p>
        </w:tc>
        <w:tc>
          <w:tcPr>
            <w:tcW w:type="dxa" w:w="5040"/>
            <w:vAlign w:val="top"/>
          </w:tcPr>
          <w:p>
            <w:pPr>
              <w:spacing w:after="0"/>
            </w:pPr>
            <w:r>
              <w:rPr>
                <w:sz w:val="13"/>
              </w:rPr>
              <w:t>Projection-based positional tier</w:t>
            </w:r>
          </w:p>
        </w:tc>
      </w:tr>
      <w:tr>
        <w:tc>
          <w:tcPr>
            <w:tcW w:type="dxa" w:w="3312"/>
            <w:vAlign w:val="top"/>
          </w:tcPr>
          <w:p>
            <w:pPr>
              <w:spacing w:after="0"/>
            </w:pPr>
            <w:r>
              <w:rPr>
                <w:sz w:val="13"/>
              </w:rPr>
              <w:t>longevityScore / longevityPct</w:t>
            </w:r>
          </w:p>
        </w:tc>
        <w:tc>
          <w:tcPr>
            <w:tcW w:type="dxa" w:w="1728"/>
            <w:vAlign w:val="top"/>
          </w:tcPr>
          <w:p>
            <w:pPr>
              <w:spacing w:after="0"/>
            </w:pPr>
            <w:r>
              <w:rPr>
                <w:sz w:val="13"/>
              </w:rPr>
              <w:t>decimal</w:t>
            </w:r>
          </w:p>
        </w:tc>
        <w:tc>
          <w:tcPr>
            <w:tcW w:type="dxa" w:w="5040"/>
            <w:vAlign w:val="top"/>
          </w:tcPr>
          <w:p>
            <w:pPr>
              <w:spacing w:after="0"/>
            </w:pPr>
            <w:r>
              <w:rPr>
                <w:sz w:val="13"/>
              </w:rPr>
              <w:t>Tier longevity component</w:t>
            </w:r>
          </w:p>
        </w:tc>
      </w:tr>
      <w:tr>
        <w:tc>
          <w:tcPr>
            <w:tcW w:type="dxa" w:w="3312"/>
            <w:vAlign w:val="top"/>
          </w:tcPr>
          <w:p>
            <w:pPr>
              <w:spacing w:after="0"/>
            </w:pPr>
            <w:r>
              <w:rPr>
                <w:sz w:val="13"/>
              </w:rPr>
              <w:t>projectionPct / valuePct</w:t>
            </w:r>
          </w:p>
        </w:tc>
        <w:tc>
          <w:tcPr>
            <w:tcW w:type="dxa" w:w="1728"/>
            <w:vAlign w:val="top"/>
          </w:tcPr>
          <w:p>
            <w:pPr>
              <w:spacing w:after="0"/>
            </w:pPr>
            <w:r>
              <w:rPr>
                <w:sz w:val="13"/>
              </w:rPr>
              <w:t>decimal</w:t>
            </w:r>
          </w:p>
        </w:tc>
        <w:tc>
          <w:tcPr>
            <w:tcW w:type="dxa" w:w="5040"/>
            <w:vAlign w:val="top"/>
          </w:tcPr>
          <w:p>
            <w:pPr>
              <w:spacing w:after="0"/>
            </w:pPr>
            <w:r>
              <w:rPr>
                <w:sz w:val="13"/>
              </w:rPr>
              <w:t>Same-position tier components</w:t>
            </w:r>
          </w:p>
        </w:tc>
      </w:tr>
      <w:tr>
        <w:tc>
          <w:tcPr>
            <w:tcW w:type="dxa" w:w="3312"/>
            <w:vAlign w:val="top"/>
          </w:tcPr>
          <w:p>
            <w:pPr>
              <w:spacing w:after="0"/>
            </w:pPr>
            <w:r>
              <w:rPr>
                <w:sz w:val="13"/>
              </w:rPr>
              <w:t>tierComposite / analysisTier</w:t>
            </w:r>
          </w:p>
        </w:tc>
        <w:tc>
          <w:tcPr>
            <w:tcW w:type="dxa" w:w="1728"/>
            <w:vAlign w:val="top"/>
          </w:tcPr>
          <w:p>
            <w:pPr>
              <w:spacing w:after="0"/>
            </w:pPr>
            <w:r>
              <w:rPr>
                <w:sz w:val="13"/>
              </w:rPr>
              <w:t>mixed</w:t>
            </w:r>
          </w:p>
        </w:tc>
        <w:tc>
          <w:tcPr>
            <w:tcW w:type="dxa" w:w="5040"/>
            <w:vAlign w:val="top"/>
          </w:tcPr>
          <w:p>
            <w:pPr>
              <w:spacing w:after="0"/>
            </w:pPr>
            <w:r>
              <w:rPr>
                <w:sz w:val="13"/>
              </w:rPr>
              <w:t>Player Tiers composite and S/1-4 label</w:t>
            </w:r>
          </w:p>
        </w:tc>
      </w:tr>
    </w:tbl>
    <w:p/>
    <w:p>
      <w:pPr>
        <w:pStyle w:val="Heading2"/>
      </w:pPr>
      <w:r>
        <w:t>12.3 Team Analytical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896"/>
            <w:shd w:fill="D9EAF7"/>
          </w:tcPr>
          <w:p>
            <w:r>
              <w:rPr>
                <w:b/>
                <w:sz w:val="14"/>
              </w:rPr>
              <w:t>Field group</w:t>
            </w:r>
          </w:p>
        </w:tc>
        <w:tc>
          <w:tcPr>
            <w:tcW w:type="dxa" w:w="5184"/>
            <w:shd w:fill="D9EAF7"/>
          </w:tcPr>
          <w:p>
            <w:r>
              <w:rPr>
                <w:b/>
                <w:sz w:val="14"/>
              </w:rPr>
              <w:t>Definition</w:t>
            </w:r>
          </w:p>
        </w:tc>
      </w:tr>
      <w:tr>
        <w:tc>
          <w:tcPr>
            <w:tcW w:type="dxa" w:w="4896"/>
            <w:vAlign w:val="top"/>
          </w:tcPr>
          <w:p>
            <w:pPr>
              <w:spacing w:after="0"/>
            </w:pPr>
            <w:r>
              <w:rPr>
                <w:sz w:val="14"/>
              </w:rPr>
              <w:t>rosterId, team, manager</w:t>
            </w:r>
          </w:p>
        </w:tc>
        <w:tc>
          <w:tcPr>
            <w:tcW w:type="dxa" w:w="5184"/>
            <w:vAlign w:val="top"/>
          </w:tcPr>
          <w:p>
            <w:pPr>
              <w:spacing w:after="0"/>
            </w:pPr>
            <w:r>
              <w:rPr>
                <w:sz w:val="14"/>
              </w:rPr>
              <w:t>Identity</w:t>
            </w:r>
          </w:p>
        </w:tc>
      </w:tr>
      <w:tr>
        <w:tc>
          <w:tcPr>
            <w:tcW w:type="dxa" w:w="4896"/>
            <w:vAlign w:val="top"/>
          </w:tcPr>
          <w:p>
            <w:pPr>
              <w:spacing w:after="0"/>
            </w:pPr>
            <w:r>
              <w:rPr>
                <w:sz w:val="14"/>
              </w:rPr>
              <w:t>players, lineup, bench</w:t>
            </w:r>
          </w:p>
        </w:tc>
        <w:tc>
          <w:tcPr>
            <w:tcW w:type="dxa" w:w="5184"/>
            <w:vAlign w:val="top"/>
          </w:tcPr>
          <w:p>
            <w:pPr>
              <w:spacing w:after="0"/>
            </w:pPr>
            <w:r>
              <w:rPr>
                <w:sz w:val="14"/>
              </w:rPr>
              <w:t>Roster and legal-lineup collections</w:t>
            </w:r>
          </w:p>
        </w:tc>
      </w:tr>
      <w:tr>
        <w:tc>
          <w:tcPr>
            <w:tcW w:type="dxa" w:w="4896"/>
            <w:vAlign w:val="top"/>
          </w:tcPr>
          <w:p>
            <w:pPr>
              <w:spacing w:after="0"/>
            </w:pPr>
            <w:r>
              <w:rPr>
                <w:sz w:val="14"/>
              </w:rPr>
              <w:t>positionScores</w:t>
            </w:r>
          </w:p>
        </w:tc>
        <w:tc>
          <w:tcPr>
            <w:tcW w:type="dxa" w:w="5184"/>
            <w:vAlign w:val="top"/>
          </w:tcPr>
          <w:p>
            <w:pPr>
              <w:spacing w:after="0"/>
            </w:pPr>
            <w:r>
              <w:rPr>
                <w:sz w:val="14"/>
              </w:rPr>
              <w:t>Projected positional group totals</w:t>
            </w:r>
          </w:p>
        </w:tc>
      </w:tr>
      <w:tr>
        <w:tc>
          <w:tcPr>
            <w:tcW w:type="dxa" w:w="4896"/>
            <w:vAlign w:val="top"/>
          </w:tcPr>
          <w:p>
            <w:pPr>
              <w:spacing w:after="0"/>
            </w:pPr>
            <w:r>
              <w:rPr>
                <w:sz w:val="14"/>
              </w:rPr>
              <w:t>lineupPpg, lineupSourcePpg</w:t>
            </w:r>
          </w:p>
        </w:tc>
        <w:tc>
          <w:tcPr>
            <w:tcW w:type="dxa" w:w="5184"/>
            <w:vAlign w:val="top"/>
          </w:tcPr>
          <w:p>
            <w:pPr>
              <w:spacing w:after="0"/>
            </w:pPr>
            <w:r>
              <w:rPr>
                <w:sz w:val="14"/>
              </w:rPr>
              <w:t>Projected lineup strength</w:t>
            </w:r>
          </w:p>
        </w:tc>
      </w:tr>
      <w:tr>
        <w:tc>
          <w:tcPr>
            <w:tcW w:type="dxa" w:w="4896"/>
            <w:vAlign w:val="top"/>
          </w:tcPr>
          <w:p>
            <w:pPr>
              <w:spacing w:after="0"/>
            </w:pPr>
            <w:r>
              <w:rPr>
                <w:sz w:val="14"/>
              </w:rPr>
              <w:t>depth</w:t>
            </w:r>
          </w:p>
        </w:tc>
        <w:tc>
          <w:tcPr>
            <w:tcW w:type="dxa" w:w="5184"/>
            <w:vAlign w:val="top"/>
          </w:tcPr>
          <w:p>
            <w:pPr>
              <w:spacing w:after="0"/>
            </w:pPr>
            <w:r>
              <w:rPr>
                <w:sz w:val="14"/>
              </w:rPr>
              <w:t>Top-six bench index</w:t>
            </w:r>
          </w:p>
        </w:tc>
      </w:tr>
      <w:tr>
        <w:tc>
          <w:tcPr>
            <w:tcW w:type="dxa" w:w="4896"/>
            <w:vAlign w:val="top"/>
          </w:tcPr>
          <w:p>
            <w:pPr>
              <w:spacing w:after="0"/>
            </w:pPr>
            <w:r>
              <w:rPr>
                <w:sz w:val="14"/>
              </w:rPr>
              <w:t>risk, lineupAge, highRiskStarters</w:t>
            </w:r>
          </w:p>
        </w:tc>
        <w:tc>
          <w:tcPr>
            <w:tcW w:type="dxa" w:w="5184"/>
            <w:vAlign w:val="top"/>
          </w:tcPr>
          <w:p>
            <w:pPr>
              <w:spacing w:after="0"/>
            </w:pPr>
            <w:r>
              <w:rPr>
                <w:sz w:val="14"/>
              </w:rPr>
              <w:t>Projected-lineup risk profile</w:t>
            </w:r>
          </w:p>
        </w:tc>
      </w:tr>
      <w:tr>
        <w:tc>
          <w:tcPr>
            <w:tcW w:type="dxa" w:w="4896"/>
            <w:vAlign w:val="top"/>
          </w:tcPr>
          <w:p>
            <w:pPr>
              <w:spacing w:after="0"/>
            </w:pPr>
            <w:r>
              <w:rPr>
                <w:sz w:val="14"/>
              </w:rPr>
              <w:t>totalValue, lineupValue, youngValue</w:t>
            </w:r>
          </w:p>
        </w:tc>
        <w:tc>
          <w:tcPr>
            <w:tcW w:type="dxa" w:w="5184"/>
            <w:vAlign w:val="top"/>
          </w:tcPr>
          <w:p>
            <w:pPr>
              <w:spacing w:after="0"/>
            </w:pPr>
            <w:r>
              <w:rPr>
                <w:sz w:val="14"/>
              </w:rPr>
              <w:t>Dynasty asset measures</w:t>
            </w:r>
          </w:p>
        </w:tc>
      </w:tr>
      <w:tr>
        <w:tc>
          <w:tcPr>
            <w:tcW w:type="dxa" w:w="4896"/>
            <w:vAlign w:val="top"/>
          </w:tcPr>
          <w:p>
            <w:pPr>
              <w:spacing w:after="0"/>
            </w:pPr>
            <w:r>
              <w:rPr>
                <w:sz w:val="14"/>
              </w:rPr>
              <w:t>currentWins/Losses/PF/MaxPF</w:t>
            </w:r>
          </w:p>
        </w:tc>
        <w:tc>
          <w:tcPr>
            <w:tcW w:type="dxa" w:w="5184"/>
            <w:vAlign w:val="top"/>
          </w:tcPr>
          <w:p>
            <w:pPr>
              <w:spacing w:after="0"/>
            </w:pPr>
            <w:r>
              <w:rPr>
                <w:sz w:val="14"/>
              </w:rPr>
              <w:t>Current production</w:t>
            </w:r>
          </w:p>
        </w:tc>
      </w:tr>
      <w:tr>
        <w:tc>
          <w:tcPr>
            <w:tcW w:type="dxa" w:w="4896"/>
            <w:vAlign w:val="top"/>
          </w:tcPr>
          <w:p>
            <w:pPr>
              <w:spacing w:after="0"/>
            </w:pPr>
            <w:r>
              <w:rPr>
                <w:sz w:val="14"/>
              </w:rPr>
              <w:t>priorWins/Losses/PF/MaxPF</w:t>
            </w:r>
          </w:p>
        </w:tc>
        <w:tc>
          <w:tcPr>
            <w:tcW w:type="dxa" w:w="5184"/>
            <w:vAlign w:val="top"/>
          </w:tcPr>
          <w:p>
            <w:pPr>
              <w:spacing w:after="0"/>
            </w:pPr>
            <w:r>
              <w:rPr>
                <w:sz w:val="14"/>
              </w:rPr>
              <w:t>Historical baseline</w:t>
            </w:r>
          </w:p>
        </w:tc>
      </w:tr>
      <w:tr>
        <w:tc>
          <w:tcPr>
            <w:tcW w:type="dxa" w:w="4896"/>
            <w:vAlign w:val="top"/>
          </w:tcPr>
          <w:p>
            <w:pPr>
              <w:spacing w:after="0"/>
            </w:pPr>
            <w:r>
              <w:rPr>
                <w:sz w:val="14"/>
              </w:rPr>
              <w:t>pickCapital, futureFirsts, picksOwned</w:t>
            </w:r>
          </w:p>
        </w:tc>
        <w:tc>
          <w:tcPr>
            <w:tcW w:type="dxa" w:w="5184"/>
            <w:vAlign w:val="top"/>
          </w:tcPr>
          <w:p>
            <w:pPr>
              <w:spacing w:after="0"/>
            </w:pPr>
            <w:r>
              <w:rPr>
                <w:sz w:val="14"/>
              </w:rPr>
              <w:t>Draft capital</w:t>
            </w:r>
          </w:p>
        </w:tc>
      </w:tr>
      <w:tr>
        <w:tc>
          <w:tcPr>
            <w:tcW w:type="dxa" w:w="4896"/>
            <w:vAlign w:val="top"/>
          </w:tcPr>
          <w:p>
            <w:pPr>
              <w:spacing w:after="0"/>
            </w:pPr>
            <w:r>
              <w:rPr>
                <w:sz w:val="14"/>
              </w:rPr>
              <w:t>projectionPct, depthPct, productionPct, dynastyPct, riskPct, picksPct, youngPct</w:t>
            </w:r>
          </w:p>
        </w:tc>
        <w:tc>
          <w:tcPr>
            <w:tcW w:type="dxa" w:w="5184"/>
            <w:vAlign w:val="top"/>
          </w:tcPr>
          <w:p>
            <w:pPr>
              <w:spacing w:after="0"/>
            </w:pPr>
            <w:r>
              <w:rPr>
                <w:sz w:val="14"/>
              </w:rPr>
              <w:t>League-relative components</w:t>
            </w:r>
          </w:p>
        </w:tc>
      </w:tr>
      <w:tr>
        <w:tc>
          <w:tcPr>
            <w:tcW w:type="dxa" w:w="4896"/>
            <w:vAlign w:val="top"/>
          </w:tcPr>
          <w:p>
            <w:pPr>
              <w:spacing w:after="0"/>
            </w:pPr>
            <w:r>
              <w:rPr>
                <w:sz w:val="14"/>
              </w:rPr>
              <w:t>contenderScore, currentRank, currentClass</w:t>
            </w:r>
          </w:p>
        </w:tc>
        <w:tc>
          <w:tcPr>
            <w:tcW w:type="dxa" w:w="5184"/>
            <w:vAlign w:val="top"/>
          </w:tcPr>
          <w:p>
            <w:pPr>
              <w:spacing w:after="0"/>
            </w:pPr>
            <w:r>
              <w:rPr>
                <w:sz w:val="14"/>
              </w:rPr>
              <w:t>Current competitive ranking</w:t>
            </w:r>
          </w:p>
        </w:tc>
      </w:tr>
      <w:tr>
        <w:tc>
          <w:tcPr>
            <w:tcW w:type="dxa" w:w="4896"/>
            <w:vAlign w:val="top"/>
          </w:tcPr>
          <w:p>
            <w:pPr>
              <w:spacing w:after="0"/>
            </w:pPr>
            <w:r>
              <w:rPr>
                <w:sz w:val="14"/>
              </w:rPr>
              <w:t>franchiseScore, franchiseRank, franchiseClass</w:t>
            </w:r>
          </w:p>
        </w:tc>
        <w:tc>
          <w:tcPr>
            <w:tcW w:type="dxa" w:w="5184"/>
            <w:vAlign w:val="top"/>
          </w:tcPr>
          <w:p>
            <w:pPr>
              <w:spacing w:after="0"/>
            </w:pPr>
            <w:r>
              <w:rPr>
                <w:sz w:val="14"/>
              </w:rPr>
              <w:t>Long-term ranking</w:t>
            </w:r>
          </w:p>
        </w:tc>
      </w:tr>
      <w:tr>
        <w:tc>
          <w:tcPr>
            <w:tcW w:type="dxa" w:w="4896"/>
            <w:vAlign w:val="top"/>
          </w:tcPr>
          <w:p>
            <w:pPr>
              <w:spacing w:after="0"/>
            </w:pPr>
            <w:r>
              <w:rPr>
                <w:sz w:val="14"/>
              </w:rPr>
              <w:t>insights</w:t>
            </w:r>
          </w:p>
        </w:tc>
        <w:tc>
          <w:tcPr>
            <w:tcW w:type="dxa" w:w="5184"/>
            <w:vAlign w:val="top"/>
          </w:tcPr>
          <w:p>
            <w:r>
              <w:t>Evidence-backed strengths, weaknesses, strategy, Build candidates, Shop candidates, championship outlook, and position reviews.</w:t>
            </w:r>
          </w:p>
        </w:tc>
      </w:tr>
      <w:tr>
        <w:tc>
          <w:tcPr>
            <w:tcW w:type="dxa" w:w="5112"/>
          </w:tcPr>
          <w:p>
            <w:r>
              <w:t>historical</w:t>
            </w:r>
          </w:p>
        </w:tc>
        <w:tc>
          <w:tcPr>
            <w:tcW w:type="dxa" w:w="5112"/>
          </w:tcPr>
          <w:p>
            <w:r>
              <w:t>Linked-season franchise summary: matched seasons, completed seasons, record, points, average PPG, finish, rank, and standing.</w:t>
            </w:r>
          </w:p>
        </w:tc>
      </w:tr>
      <w:tr>
        <w:tc>
          <w:tcPr>
            <w:tcW w:type="dxa" w:w="5112"/>
          </w:tcPr>
          <w:p>
            <w:r>
              <w:t>positionRanks</w:t>
            </w:r>
          </w:p>
        </w:tc>
        <w:tc>
          <w:tcPr>
            <w:tcW w:type="dxa" w:w="5112"/>
          </w:tcPr>
          <w:p>
            <w:r>
              <w:t>League rank for QB, RB, WR, TE, and FLEX projected starter output.</w:t>
            </w:r>
          </w:p>
        </w:tc>
      </w:tr>
      <w:tr>
        <w:tc>
          <w:tcPr>
            <w:tcW w:type="dxa" w:w="5112"/>
          </w:tcPr>
          <w:p>
            <w:r>
              <w:t>biggestStrength, biggestWeakness</w:t>
            </w:r>
          </w:p>
        </w:tc>
        <w:tc>
          <w:tcPr>
            <w:tcW w:type="dxa" w:w="5112"/>
          </w:tcPr>
          <w:p>
            <w:r>
              <w:t>Best and worst positional ranks used in the full-width power-ranking report.</w:t>
            </w:r>
          </w:p>
        </w:tc>
      </w:tr>
      <w:tr>
        <w:tc>
          <w:tcPr>
            <w:tcW w:type="dxa" w:w="5112"/>
          </w:tcPr>
          <w:p>
            <w:r>
              <w:t>insights.championshipOutlook</w:t>
            </w:r>
          </w:p>
        </w:tc>
        <w:tc>
          <w:tcPr>
            <w:tcW w:type="dxa" w:w="5112"/>
          </w:tcPr>
          <w:p>
            <w:r>
              <w:t>Recommendation title, expanded explanation, confidence, and summary metrics. No separate potential-moves list is rendered.</w:t>
            </w:r>
          </w:p>
        </w:tc>
      </w:tr>
      <w:tr>
        <w:tc>
          <w:tcPr>
            <w:tcW w:type="dxa" w:w="5112"/>
          </w:tcPr>
          <w:p>
            <w:r>
              <w:t>insights.positionReviews</w:t>
            </w:r>
          </w:p>
        </w:tc>
        <w:tc>
          <w:tcPr>
            <w:tcW w:type="dxa" w:w="5112"/>
          </w:tcPr>
          <w:p>
            <w:r>
              <w:t>Narrative and structured review objects for QB, RB, WR, TE, FLEX, Bench Depth, and Draft Capital.</w:t>
            </w:r>
          </w:p>
        </w:tc>
      </w:tr>
      <w:tr>
        <w:tc>
          <w:tcPr>
            <w:tcW w:type="dxa" w:w="5112"/>
          </w:tcPr>
          <w:p>
            <w:r>
              <w:t>weeklyHistory</w:t>
            </w:r>
          </w:p>
        </w:tc>
        <w:tc>
          <w:tcPr>
            <w:tcW w:type="dxa" w:w="5112"/>
          </w:tcPr>
          <w:p>
            <w:r>
              <w:t>Chart-ready linked-season weekly matchup scores through the Week 17 championship, matched to the franchise by owner first.</w:t>
            </w:r>
          </w:p>
        </w:tc>
      </w:tr>
    </w:tbl>
    <w:p/>
    <w:p>
      <w:pPr>
        <w:pStyle w:val="Heading2"/>
      </w:pPr>
      <w:r>
        <w:t>12.4 Snapshot Data Dictionary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D9EAF7"/>
          </w:tcPr>
          <w:p>
            <w:r>
              <w:rPr>
                <w:b/>
                <w:sz w:val="14"/>
              </w:rPr>
              <w:t>Field</w:t>
            </w:r>
          </w:p>
        </w:tc>
        <w:tc>
          <w:tcPr>
            <w:tcW w:type="dxa" w:w="1800"/>
            <w:shd w:fill="D9EAF7"/>
          </w:tcPr>
          <w:p>
            <w:r>
              <w:rPr>
                <w:b/>
                <w:sz w:val="14"/>
              </w:rPr>
              <w:t>Type</w:t>
            </w:r>
          </w:p>
        </w:tc>
        <w:tc>
          <w:tcPr>
            <w:tcW w:type="dxa" w:w="3240"/>
            <w:shd w:fill="D9EAF7"/>
          </w:tcPr>
          <w:p>
            <w:r>
              <w:rPr>
                <w:b/>
                <w:sz w:val="14"/>
              </w:rPr>
              <w:t>File</w:t>
            </w:r>
          </w:p>
        </w:tc>
        <w:tc>
          <w:tcPr>
            <w:tcW w:type="dxa" w:w="3240"/>
            <w:shd w:fill="D9EAF7"/>
          </w:tcPr>
          <w:p>
            <w:r>
              <w:rPr>
                <w:b/>
                <w:sz w:val="14"/>
              </w:rPr>
              <w:t>Definition</w:t>
            </w:r>
          </w:p>
        </w:tc>
      </w:tr>
      <w:tr>
        <w:tc>
          <w:tcPr>
            <w:tcW w:type="dxa" w:w="1800"/>
            <w:vAlign w:val="top"/>
          </w:tcPr>
          <w:p>
            <w:pPr>
              <w:spacing w:after="0"/>
            </w:pPr>
            <w:r>
              <w:rPr>
                <w:sz w:val="14"/>
              </w:rPr>
              <w:t>generatedAt</w:t>
            </w:r>
          </w:p>
        </w:tc>
        <w:tc>
          <w:tcPr>
            <w:tcW w:type="dxa" w:w="1800"/>
            <w:vAlign w:val="top"/>
          </w:tcPr>
          <w:p>
            <w:pPr>
              <w:spacing w:after="0"/>
            </w:pPr>
            <w:r>
              <w:rPr>
                <w:sz w:val="14"/>
              </w:rPr>
              <w:t>datetime|null</w:t>
            </w:r>
          </w:p>
        </w:tc>
        <w:tc>
          <w:tcPr>
            <w:tcW w:type="dxa" w:w="3240"/>
            <w:vAlign w:val="top"/>
          </w:tcPr>
          <w:p>
            <w:pPr>
              <w:spacing w:after="0"/>
            </w:pPr>
            <w:r>
              <w:rPr>
                <w:sz w:val="14"/>
              </w:rPr>
              <w:t>All snapshot files</w:t>
            </w:r>
          </w:p>
        </w:tc>
        <w:tc>
          <w:tcPr>
            <w:tcW w:type="dxa" w:w="3240"/>
            <w:vAlign w:val="top"/>
          </w:tcPr>
          <w:p>
            <w:pPr>
              <w:spacing w:after="0"/>
            </w:pPr>
            <w:r>
              <w:rPr>
                <w:sz w:val="14"/>
              </w:rPr>
              <w:t>Time the automation generated the file.</w:t>
            </w:r>
          </w:p>
        </w:tc>
      </w:tr>
      <w:tr>
        <w:tc>
          <w:tcPr>
            <w:tcW w:type="dxa" w:w="1800"/>
            <w:vAlign w:val="top"/>
          </w:tcPr>
          <w:p>
            <w:pPr>
              <w:spacing w:after="0"/>
            </w:pPr>
            <w:r>
              <w:rPr>
                <w:sz w:val="14"/>
              </w:rPr>
              <w:t>season</w:t>
            </w:r>
          </w:p>
        </w:tc>
        <w:tc>
          <w:tcPr>
            <w:tcW w:type="dxa" w:w="1800"/>
            <w:vAlign w:val="top"/>
          </w:tcPr>
          <w:p>
            <w:pPr>
              <w:spacing w:after="0"/>
            </w:pPr>
            <w:r>
              <w:rPr>
                <w:sz w:val="14"/>
              </w:rPr>
              <w:t>integer|null</w:t>
            </w:r>
          </w:p>
        </w:tc>
        <w:tc>
          <w:tcPr>
            <w:tcW w:type="dxa" w:w="3240"/>
            <w:vAlign w:val="top"/>
          </w:tcPr>
          <w:p>
            <w:pPr>
              <w:spacing w:after="0"/>
            </w:pPr>
            <w:r>
              <w:rPr>
                <w:sz w:val="14"/>
              </w:rPr>
              <w:t>projections.json, metadata.json</w:t>
            </w:r>
          </w:p>
        </w:tc>
        <w:tc>
          <w:tcPr>
            <w:tcW w:type="dxa" w:w="3240"/>
            <w:vAlign w:val="top"/>
          </w:tcPr>
          <w:p>
            <w:pPr>
              <w:spacing w:after="0"/>
            </w:pPr>
            <w:r>
              <w:rPr>
                <w:sz w:val="14"/>
              </w:rPr>
              <w:t>NFL season represented.</w:t>
            </w:r>
          </w:p>
        </w:tc>
      </w:tr>
      <w:tr>
        <w:tc>
          <w:tcPr>
            <w:tcW w:type="dxa" w:w="1800"/>
            <w:vAlign w:val="top"/>
          </w:tcPr>
          <w:p>
            <w:pPr>
              <w:spacing w:after="0"/>
            </w:pPr>
            <w:r>
              <w:rPr>
                <w:sz w:val="14"/>
              </w:rPr>
              <w:t>players</w:t>
            </w:r>
          </w:p>
        </w:tc>
        <w:tc>
          <w:tcPr>
            <w:tcW w:type="dxa" w:w="1800"/>
            <w:vAlign w:val="top"/>
          </w:tcPr>
          <w:p>
            <w:pPr>
              <w:spacing w:after="0"/>
            </w:pPr>
            <w:r>
              <w:rPr>
                <w:sz w:val="14"/>
              </w:rPr>
              <w:t>object</w:t>
            </w:r>
          </w:p>
        </w:tc>
        <w:tc>
          <w:tcPr>
            <w:tcW w:type="dxa" w:w="3240"/>
            <w:vAlign w:val="top"/>
          </w:tcPr>
          <w:p>
            <w:pPr>
              <w:spacing w:after="0"/>
            </w:pPr>
            <w:r>
              <w:rPr>
                <w:sz w:val="14"/>
              </w:rPr>
              <w:t>players.json</w:t>
            </w:r>
          </w:p>
        </w:tc>
        <w:tc>
          <w:tcPr>
            <w:tcW w:type="dxa" w:w="3240"/>
            <w:vAlign w:val="top"/>
          </w:tcPr>
          <w:p>
            <w:pPr>
              <w:spacing w:after="0"/>
            </w:pPr>
            <w:r>
              <w:rPr>
                <w:sz w:val="14"/>
              </w:rPr>
              <w:t>Sleeper player directory keyed by player ID.</w:t>
            </w:r>
          </w:p>
        </w:tc>
      </w:tr>
      <w:tr>
        <w:tc>
          <w:tcPr>
            <w:tcW w:type="dxa" w:w="1800"/>
            <w:vAlign w:val="top"/>
          </w:tcPr>
          <w:p>
            <w:pPr>
              <w:spacing w:after="0"/>
            </w:pPr>
            <w:r>
              <w:rPr>
                <w:sz w:val="14"/>
              </w:rPr>
              <w:t>players</w:t>
            </w:r>
          </w:p>
        </w:tc>
        <w:tc>
          <w:tcPr>
            <w:tcW w:type="dxa" w:w="1800"/>
            <w:vAlign w:val="top"/>
          </w:tcPr>
          <w:p>
            <w:pPr>
              <w:spacing w:after="0"/>
            </w:pPr>
            <w:r>
              <w:rPr>
                <w:sz w:val="14"/>
              </w:rPr>
              <w:t>array&lt;object&gt;</w:t>
            </w:r>
          </w:p>
        </w:tc>
        <w:tc>
          <w:tcPr>
            <w:tcW w:type="dxa" w:w="3240"/>
            <w:vAlign w:val="top"/>
          </w:tcPr>
          <w:p>
            <w:pPr>
              <w:spacing w:after="0"/>
            </w:pPr>
            <w:r>
              <w:rPr>
                <w:sz w:val="14"/>
              </w:rPr>
              <w:t>projections.json</w:t>
            </w:r>
          </w:p>
        </w:tc>
        <w:tc>
          <w:tcPr>
            <w:tcW w:type="dxa" w:w="3240"/>
            <w:vAlign w:val="top"/>
          </w:tcPr>
          <w:p>
            <w:pPr>
              <w:spacing w:after="0"/>
            </w:pPr>
            <w:r>
              <w:rPr>
                <w:sz w:val="14"/>
              </w:rPr>
              <w:t>Raw normalized projection rows.</w:t>
            </w:r>
          </w:p>
        </w:tc>
      </w:tr>
      <w:tr>
        <w:tc>
          <w:tcPr>
            <w:tcW w:type="dxa" w:w="1800"/>
            <w:vAlign w:val="top"/>
          </w:tcPr>
          <w:p>
            <w:pPr>
              <w:spacing w:after="0"/>
            </w:pPr>
            <w:r>
              <w:rPr>
                <w:sz w:val="14"/>
              </w:rPr>
              <w:t>formats</w:t>
            </w:r>
          </w:p>
        </w:tc>
        <w:tc>
          <w:tcPr>
            <w:tcW w:type="dxa" w:w="1800"/>
            <w:vAlign w:val="top"/>
          </w:tcPr>
          <w:p>
            <w:pPr>
              <w:spacing w:after="0"/>
            </w:pPr>
            <w:r>
              <w:rPr>
                <w:sz w:val="14"/>
              </w:rPr>
              <w:t>object</w:t>
            </w:r>
          </w:p>
        </w:tc>
        <w:tc>
          <w:tcPr>
            <w:tcW w:type="dxa" w:w="3240"/>
            <w:vAlign w:val="top"/>
          </w:tcPr>
          <w:p>
            <w:pPr>
              <w:spacing w:after="0"/>
            </w:pPr>
            <w:r>
              <w:rPr>
                <w:sz w:val="14"/>
              </w:rPr>
              <w:t>dynasty-values.json</w:t>
            </w:r>
          </w:p>
        </w:tc>
        <w:tc>
          <w:tcPr>
            <w:tcW w:type="dxa" w:w="3240"/>
            <w:vAlign w:val="top"/>
          </w:tcPr>
          <w:p>
            <w:pPr>
              <w:spacing w:after="0"/>
            </w:pPr>
            <w:r>
              <w:rPr>
                <w:sz w:val="14"/>
              </w:rPr>
              <w:t>Map of formatKey to RosterAudit value payload.</w:t>
            </w:r>
          </w:p>
        </w:tc>
      </w:tr>
      <w:tr>
        <w:tc>
          <w:tcPr>
            <w:tcW w:type="dxa" w:w="1800"/>
            <w:vAlign w:val="top"/>
          </w:tcPr>
          <w:p>
            <w:pPr>
              <w:spacing w:after="0"/>
            </w:pPr>
            <w:r>
              <w:rPr>
                <w:sz w:val="14"/>
              </w:rPr>
              <w:t>data</w:t>
            </w:r>
          </w:p>
        </w:tc>
        <w:tc>
          <w:tcPr>
            <w:tcW w:type="dxa" w:w="1800"/>
            <w:vAlign w:val="top"/>
          </w:tcPr>
          <w:p>
            <w:pPr>
              <w:spacing w:after="0"/>
            </w:pPr>
            <w:r>
              <w:rPr>
                <w:sz w:val="14"/>
              </w:rPr>
              <w:t>object</w:t>
            </w:r>
          </w:p>
        </w:tc>
        <w:tc>
          <w:tcPr>
            <w:tcW w:type="dxa" w:w="3240"/>
            <w:vAlign w:val="top"/>
          </w:tcPr>
          <w:p>
            <w:pPr>
              <w:spacing w:after="0"/>
            </w:pPr>
            <w:r>
              <w:rPr>
                <w:sz w:val="14"/>
              </w:rPr>
              <w:t>roster-audit-projections.json / pick-values.json</w:t>
            </w:r>
          </w:p>
        </w:tc>
        <w:tc>
          <w:tcPr>
            <w:tcW w:type="dxa" w:w="3240"/>
            <w:vAlign w:val="top"/>
          </w:tcPr>
          <w:p>
            <w:pPr>
              <w:spacing w:after="0"/>
            </w:pPr>
            <w:r>
              <w:rPr>
                <w:sz w:val="14"/>
              </w:rPr>
              <w:t>Provider payload preserved for browser normalization.</w:t>
            </w:r>
          </w:p>
        </w:tc>
      </w:tr>
      <w:tr>
        <w:tc>
          <w:tcPr>
            <w:tcW w:type="dxa" w:w="1800"/>
            <w:vAlign w:val="top"/>
          </w:tcPr>
          <w:p>
            <w:pPr>
              <w:spacing w:after="0"/>
            </w:pPr>
            <w:r>
              <w:rPr>
                <w:sz w:val="14"/>
              </w:rPr>
              <w:t>ids</w:t>
            </w:r>
          </w:p>
        </w:tc>
        <w:tc>
          <w:tcPr>
            <w:tcW w:type="dxa" w:w="1800"/>
            <w:vAlign w:val="top"/>
          </w:tcPr>
          <w:p>
            <w:pPr>
              <w:spacing w:after="0"/>
            </w:pPr>
            <w:r>
              <w:rPr>
                <w:sz w:val="14"/>
              </w:rPr>
              <w:t>array&lt;object&gt;</w:t>
            </w:r>
          </w:p>
        </w:tc>
        <w:tc>
          <w:tcPr>
            <w:tcW w:type="dxa" w:w="3240"/>
            <w:vAlign w:val="top"/>
          </w:tcPr>
          <w:p>
            <w:pPr>
              <w:spacing w:after="0"/>
            </w:pPr>
            <w:r>
              <w:rPr>
                <w:sz w:val="14"/>
              </w:rPr>
              <w:t>dynasty-process.json</w:t>
            </w:r>
          </w:p>
        </w:tc>
        <w:tc>
          <w:tcPr>
            <w:tcW w:type="dxa" w:w="3240"/>
            <w:vAlign w:val="top"/>
          </w:tcPr>
          <w:p>
            <w:pPr>
              <w:spacing w:after="0"/>
            </w:pPr>
            <w:r>
              <w:rPr>
                <w:sz w:val="14"/>
              </w:rPr>
              <w:t>Parsed db_playerids.csv rows.</w:t>
            </w:r>
          </w:p>
        </w:tc>
      </w:tr>
      <w:tr>
        <w:tc>
          <w:tcPr>
            <w:tcW w:type="dxa" w:w="1800"/>
            <w:vAlign w:val="top"/>
          </w:tcPr>
          <w:p>
            <w:pPr>
              <w:spacing w:after="0"/>
            </w:pPr>
            <w:r>
              <w:rPr>
                <w:sz w:val="14"/>
              </w:rPr>
              <w:t>values</w:t>
            </w:r>
          </w:p>
        </w:tc>
        <w:tc>
          <w:tcPr>
            <w:tcW w:type="dxa" w:w="1800"/>
            <w:vAlign w:val="top"/>
          </w:tcPr>
          <w:p>
            <w:pPr>
              <w:spacing w:after="0"/>
            </w:pPr>
            <w:r>
              <w:rPr>
                <w:sz w:val="14"/>
              </w:rPr>
              <w:t>array&lt;object&gt;</w:t>
            </w:r>
          </w:p>
        </w:tc>
        <w:tc>
          <w:tcPr>
            <w:tcW w:type="dxa" w:w="3240"/>
            <w:vAlign w:val="top"/>
          </w:tcPr>
          <w:p>
            <w:pPr>
              <w:spacing w:after="0"/>
            </w:pPr>
            <w:r>
              <w:rPr>
                <w:sz w:val="14"/>
              </w:rPr>
              <w:t>dynasty-process.json</w:t>
            </w:r>
          </w:p>
        </w:tc>
        <w:tc>
          <w:tcPr>
            <w:tcW w:type="dxa" w:w="3240"/>
            <w:vAlign w:val="top"/>
          </w:tcPr>
          <w:p>
            <w:pPr>
              <w:spacing w:after="0"/>
            </w:pPr>
            <w:r>
              <w:rPr>
                <w:sz w:val="14"/>
              </w:rPr>
              <w:t>Parsed values.csv rows.</w:t>
            </w:r>
          </w:p>
        </w:tc>
      </w:tr>
      <w:tr>
        <w:tc>
          <w:tcPr>
            <w:tcW w:type="dxa" w:w="1800"/>
            <w:vAlign w:val="top"/>
          </w:tcPr>
          <w:p>
            <w:pPr>
              <w:spacing w:after="0"/>
            </w:pPr>
            <w:r>
              <w:rPr>
                <w:sz w:val="14"/>
              </w:rPr>
              <w:t>nflState</w:t>
            </w:r>
          </w:p>
        </w:tc>
        <w:tc>
          <w:tcPr>
            <w:tcW w:type="dxa" w:w="1800"/>
            <w:vAlign w:val="top"/>
          </w:tcPr>
          <w:p>
            <w:pPr>
              <w:spacing w:after="0"/>
            </w:pPr>
            <w:r>
              <w:rPr>
                <w:sz w:val="14"/>
              </w:rPr>
              <w:t>object</w:t>
            </w:r>
          </w:p>
        </w:tc>
        <w:tc>
          <w:tcPr>
            <w:tcW w:type="dxa" w:w="3240"/>
            <w:vAlign w:val="top"/>
          </w:tcPr>
          <w:p>
            <w:pPr>
              <w:spacing w:after="0"/>
            </w:pPr>
            <w:r>
              <w:rPr>
                <w:sz w:val="14"/>
              </w:rPr>
              <w:t>metadata.json</w:t>
            </w:r>
          </w:p>
        </w:tc>
        <w:tc>
          <w:tcPr>
            <w:tcW w:type="dxa" w:w="3240"/>
            <w:vAlign w:val="top"/>
          </w:tcPr>
          <w:p>
            <w:pPr>
              <w:spacing w:after="0"/>
            </w:pPr>
            <w:r>
              <w:rPr>
                <w:sz w:val="14"/>
              </w:rPr>
              <w:t>Sleeper NFL state at job time.</w:t>
            </w:r>
          </w:p>
        </w:tc>
      </w:tr>
      <w:tr>
        <w:tc>
          <w:tcPr>
            <w:tcW w:type="dxa" w:w="1800"/>
            <w:vAlign w:val="top"/>
          </w:tcPr>
          <w:p>
            <w:pPr>
              <w:spacing w:after="0"/>
            </w:pPr>
            <w:r>
              <w:rPr>
                <w:sz w:val="14"/>
              </w:rPr>
              <w:t>sources</w:t>
            </w:r>
          </w:p>
        </w:tc>
        <w:tc>
          <w:tcPr>
            <w:tcW w:type="dxa" w:w="1800"/>
            <w:vAlign w:val="top"/>
          </w:tcPr>
          <w:p>
            <w:pPr>
              <w:spacing w:after="0"/>
            </w:pPr>
            <w:r>
              <w:rPr>
                <w:sz w:val="14"/>
              </w:rPr>
              <w:t>object</w:t>
            </w:r>
          </w:p>
        </w:tc>
        <w:tc>
          <w:tcPr>
            <w:tcW w:type="dxa" w:w="3240"/>
            <w:vAlign w:val="top"/>
          </w:tcPr>
          <w:p>
            <w:pPr>
              <w:spacing w:after="0"/>
            </w:pPr>
            <w:r>
              <w:rPr>
                <w:sz w:val="14"/>
              </w:rPr>
              <w:t>metadata.json</w:t>
            </w:r>
          </w:p>
        </w:tc>
        <w:tc>
          <w:tcPr>
            <w:tcW w:type="dxa" w:w="3240"/>
            <w:vAlign w:val="top"/>
          </w:tcPr>
          <w:p>
            <w:pPr>
              <w:spacing w:after="0"/>
            </w:pPr>
            <w:r>
              <w:rPr>
                <w:sz w:val="14"/>
              </w:rPr>
              <w:t>Per-source success or error outcome.</w:t>
            </w:r>
          </w:p>
        </w:tc>
      </w:tr>
    </w:tbl>
    <w:p/>
    <w:p>
      <w:pPr>
        <w:pStyle w:val="Heading2"/>
      </w:pPr>
      <w:r>
        <w:t>12.5 Source Status Object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Pr>
          <w:p>
            <w:r>
              <w:rPr>
                <w:b/>
                <w:sz w:val="16"/>
              </w:rPr>
              <w:t>Field</w:t>
            </w:r>
          </w:p>
        </w:tc>
        <w:tc>
          <w:tcPr>
            <w:tcW w:type="dxa" w:w="1728"/>
            <w:shd w:fill="D9EAF7"/>
          </w:tcPr>
          <w:p>
            <w:r>
              <w:rPr>
                <w:b/>
                <w:sz w:val="16"/>
              </w:rPr>
              <w:t>Type</w:t>
            </w:r>
          </w:p>
        </w:tc>
        <w:tc>
          <w:tcPr>
            <w:tcW w:type="dxa" w:w="6624"/>
            <w:shd w:fill="D9EAF7"/>
          </w:tcPr>
          <w:p>
            <w:r>
              <w:rPr>
                <w:b/>
                <w:sz w:val="16"/>
              </w:rPr>
              <w:t>Definition</w:t>
            </w:r>
          </w:p>
        </w:tc>
      </w:tr>
      <w:tr>
        <w:tc>
          <w:tcPr>
            <w:tcW w:type="dxa" w:w="2016"/>
            <w:vAlign w:val="top"/>
          </w:tcPr>
          <w:p>
            <w:pPr>
              <w:spacing w:after="0"/>
            </w:pPr>
            <w:r>
              <w:rPr>
                <w:sz w:val="16"/>
              </w:rPr>
              <w:t>name</w:t>
            </w:r>
          </w:p>
        </w:tc>
        <w:tc>
          <w:tcPr>
            <w:tcW w:type="dxa" w:w="1728"/>
            <w:vAlign w:val="top"/>
          </w:tcPr>
          <w:p>
            <w:pPr>
              <w:spacing w:after="0"/>
            </w:pPr>
            <w:r>
              <w:rPr>
                <w:sz w:val="16"/>
              </w:rPr>
              <w:t>string</w:t>
            </w:r>
          </w:p>
        </w:tc>
        <w:tc>
          <w:tcPr>
            <w:tcW w:type="dxa" w:w="6624"/>
            <w:vAlign w:val="top"/>
          </w:tcPr>
          <w:p>
            <w:pPr>
              <w:spacing w:after="0"/>
            </w:pPr>
            <w:r>
              <w:rPr>
                <w:sz w:val="16"/>
              </w:rPr>
              <w:t>Human-readable source name.</w:t>
            </w:r>
          </w:p>
        </w:tc>
      </w:tr>
      <w:tr>
        <w:tc>
          <w:tcPr>
            <w:tcW w:type="dxa" w:w="2016"/>
            <w:vAlign w:val="top"/>
          </w:tcPr>
          <w:p>
            <w:pPr>
              <w:spacing w:after="0"/>
            </w:pPr>
            <w:r>
              <w:rPr>
                <w:sz w:val="16"/>
              </w:rPr>
              <w:t>status</w:t>
            </w:r>
          </w:p>
        </w:tc>
        <w:tc>
          <w:tcPr>
            <w:tcW w:type="dxa" w:w="1728"/>
            <w:vAlign w:val="top"/>
          </w:tcPr>
          <w:p>
            <w:pPr>
              <w:spacing w:after="0"/>
            </w:pPr>
            <w:r>
              <w:rPr>
                <w:sz w:val="16"/>
              </w:rPr>
              <w:t>string</w:t>
            </w:r>
          </w:p>
        </w:tc>
        <w:tc>
          <w:tcPr>
            <w:tcW w:type="dxa" w:w="6624"/>
            <w:vAlign w:val="top"/>
          </w:tcPr>
          <w:p>
            <w:pPr>
              <w:spacing w:after="0"/>
            </w:pPr>
            <w:r>
              <w:rPr>
                <w:sz w:val="16"/>
              </w:rPr>
              <w:t>ok, warn, or bad.</w:t>
            </w:r>
          </w:p>
        </w:tc>
      </w:tr>
      <w:tr>
        <w:tc>
          <w:tcPr>
            <w:tcW w:type="dxa" w:w="2016"/>
            <w:vAlign w:val="top"/>
          </w:tcPr>
          <w:p>
            <w:pPr>
              <w:spacing w:after="0"/>
            </w:pPr>
            <w:r>
              <w:rPr>
                <w:sz w:val="16"/>
              </w:rPr>
              <w:t>detail</w:t>
            </w:r>
          </w:p>
        </w:tc>
        <w:tc>
          <w:tcPr>
            <w:tcW w:type="dxa" w:w="1728"/>
            <w:vAlign w:val="top"/>
          </w:tcPr>
          <w:p>
            <w:pPr>
              <w:spacing w:after="0"/>
            </w:pPr>
            <w:r>
              <w:rPr>
                <w:sz w:val="16"/>
              </w:rPr>
              <w:t>string</w:t>
            </w:r>
          </w:p>
        </w:tc>
        <w:tc>
          <w:tcPr>
            <w:tcW w:type="dxa" w:w="6624"/>
            <w:vAlign w:val="top"/>
          </w:tcPr>
          <w:p>
            <w:pPr>
              <w:spacing w:after="0"/>
            </w:pPr>
            <w:r>
              <w:rPr>
                <w:sz w:val="16"/>
              </w:rPr>
              <w:t>Live/snapshot/cache origin, count, or error summary.</w:t>
            </w:r>
          </w:p>
        </w:tc>
      </w:tr>
    </w:tbl>
    <w:p/>
    <w:p>
      <w:pPr>
        <w:pStyle w:val="Heading1"/>
      </w:pPr>
      <w:r>
        <w:t>13. Architecture Decision Record - Version 2.0 Refactor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D9EAF7"/>
          </w:tcPr>
          <w:p>
            <w:r>
              <w:rPr>
                <w:b/>
                <w:sz w:val="14"/>
              </w:rPr>
              <w:t>Decision</w:t>
            </w:r>
          </w:p>
        </w:tc>
        <w:tc>
          <w:tcPr>
            <w:tcW w:type="dxa" w:w="4464"/>
            <w:shd w:fill="D9EAF7"/>
          </w:tcPr>
          <w:p>
            <w:r>
              <w:rPr>
                <w:b/>
                <w:sz w:val="14"/>
              </w:rPr>
              <w:t>Rationale</w:t>
            </w:r>
          </w:p>
        </w:tc>
        <w:tc>
          <w:tcPr>
            <w:tcW w:type="dxa" w:w="3384"/>
            <w:shd w:fill="D9EAF7"/>
          </w:tcPr>
          <w:p>
            <w:r>
              <w:rPr>
                <w:b/>
                <w:sz w:val="14"/>
              </w:rPr>
              <w:t>Consequence</w:t>
            </w:r>
          </w:p>
        </w:tc>
      </w:tr>
      <w:tr>
        <w:tc>
          <w:tcPr>
            <w:tcW w:type="dxa" w:w="2232"/>
            <w:vAlign w:val="top"/>
          </w:tcPr>
          <w:p>
            <w:pPr>
              <w:spacing w:after="0"/>
            </w:pPr>
            <w:r>
              <w:rPr>
                <w:sz w:val="14"/>
              </w:rPr>
              <w:t>Use ES modules</w:t>
            </w:r>
          </w:p>
        </w:tc>
        <w:tc>
          <w:tcPr>
            <w:tcW w:type="dxa" w:w="4464"/>
            <w:vAlign w:val="top"/>
          </w:tcPr>
          <w:p>
            <w:pPr>
              <w:spacing w:after="0"/>
            </w:pPr>
            <w:r>
              <w:rPr>
                <w:sz w:val="14"/>
              </w:rPr>
              <w:t>Separate concerns and reduce monolithic change risk.</w:t>
            </w:r>
          </w:p>
        </w:tc>
        <w:tc>
          <w:tcPr>
            <w:tcW w:type="dxa" w:w="3384"/>
            <w:vAlign w:val="top"/>
          </w:tcPr>
          <w:p>
            <w:pPr>
              <w:spacing w:after="0"/>
            </w:pPr>
            <w:r>
              <w:rPr>
                <w:sz w:val="14"/>
              </w:rPr>
              <w:t>Requires HTTP hosting; GitHub Pages satisfies this.</w:t>
            </w:r>
          </w:p>
        </w:tc>
      </w:tr>
      <w:tr>
        <w:tc>
          <w:tcPr>
            <w:tcW w:type="dxa" w:w="2232"/>
            <w:vAlign w:val="top"/>
          </w:tcPr>
          <w:p>
            <w:pPr>
              <w:spacing w:after="0"/>
            </w:pPr>
            <w:r>
              <w:rPr>
                <w:sz w:val="14"/>
              </w:rPr>
              <w:t>Provider-specific API files</w:t>
            </w:r>
          </w:p>
        </w:tc>
        <w:tc>
          <w:tcPr>
            <w:tcW w:type="dxa" w:w="4464"/>
            <w:vAlign w:val="top"/>
          </w:tcPr>
          <w:p>
            <w:pPr>
              <w:spacing w:after="0"/>
            </w:pPr>
            <w:r>
              <w:rPr>
                <w:sz w:val="14"/>
              </w:rPr>
              <w:t>Make source behavior and fallbacks explicit.</w:t>
            </w:r>
          </w:p>
        </w:tc>
        <w:tc>
          <w:tcPr>
            <w:tcW w:type="dxa" w:w="3384"/>
            <w:vAlign w:val="top"/>
          </w:tcPr>
          <w:p>
            <w:pPr>
              <w:spacing w:after="0"/>
            </w:pPr>
            <w:r>
              <w:rPr>
                <w:sz w:val="14"/>
              </w:rPr>
              <w:t>More files, but clearer ownership and testing boundaries.</w:t>
            </w:r>
          </w:p>
        </w:tc>
      </w:tr>
      <w:tr>
        <w:tc>
          <w:tcPr>
            <w:tcW w:type="dxa" w:w="2232"/>
            <w:vAlign w:val="top"/>
          </w:tcPr>
          <w:p>
            <w:pPr>
              <w:spacing w:after="0"/>
            </w:pPr>
            <w:r>
              <w:rPr>
                <w:sz w:val="14"/>
              </w:rPr>
              <w:t>View-specific render files</w:t>
            </w:r>
          </w:p>
        </w:tc>
        <w:tc>
          <w:tcPr>
            <w:tcW w:type="dxa" w:w="4464"/>
            <w:vAlign w:val="top"/>
          </w:tcPr>
          <w:p>
            <w:pPr>
              <w:spacing w:after="0"/>
            </w:pPr>
            <w:r>
              <w:rPr>
                <w:sz w:val="14"/>
              </w:rPr>
              <w:t>Reduce render.js size and isolate UI changes.</w:t>
            </w:r>
          </w:p>
        </w:tc>
        <w:tc>
          <w:tcPr>
            <w:tcW w:type="dxa" w:w="3384"/>
            <w:vAlign w:val="top"/>
          </w:tcPr>
          <w:p>
            <w:pPr>
              <w:spacing w:after="0"/>
            </w:pPr>
            <w:r>
              <w:rPr>
                <w:sz w:val="14"/>
              </w:rPr>
              <w:t>Shared markup must remain in views/shared.js.</w:t>
            </w:r>
          </w:p>
        </w:tc>
      </w:tr>
      <w:tr>
        <w:tc>
          <w:tcPr>
            <w:tcW w:type="dxa" w:w="2232"/>
            <w:vAlign w:val="top"/>
          </w:tcPr>
          <w:p>
            <w:pPr>
              <w:spacing w:after="0"/>
            </w:pPr>
            <w:r>
              <w:rPr>
                <w:sz w:val="14"/>
              </w:rPr>
              <w:t>Same-origin JSON snapshots</w:t>
            </w:r>
          </w:p>
        </w:tc>
        <w:tc>
          <w:tcPr>
            <w:tcW w:type="dxa" w:w="4464"/>
            <w:vAlign w:val="top"/>
          </w:tcPr>
          <w:p>
            <w:pPr>
              <w:spacing w:after="0"/>
            </w:pPr>
            <w:r>
              <w:rPr>
                <w:sz w:val="14"/>
              </w:rPr>
              <w:t>Reduce CORS and availability risk for shared datasets.</w:t>
            </w:r>
          </w:p>
        </w:tc>
        <w:tc>
          <w:tcPr>
            <w:tcW w:type="dxa" w:w="3384"/>
            <w:vAlign w:val="top"/>
          </w:tcPr>
          <w:p>
            <w:pPr>
              <w:spacing w:after="0"/>
            </w:pPr>
            <w:r>
              <w:rPr>
                <w:sz w:val="14"/>
              </w:rPr>
              <w:t>Requires scheduled refresh and schema governance.</w:t>
            </w:r>
          </w:p>
        </w:tc>
      </w:tr>
      <w:tr>
        <w:tc>
          <w:tcPr>
            <w:tcW w:type="dxa" w:w="2232"/>
            <w:vAlign w:val="top"/>
          </w:tcPr>
          <w:p>
            <w:pPr>
              <w:spacing w:after="0"/>
            </w:pPr>
            <w:r>
              <w:rPr>
                <w:sz w:val="14"/>
              </w:rPr>
              <w:t>GitHub Actions automation</w:t>
            </w:r>
          </w:p>
        </w:tc>
        <w:tc>
          <w:tcPr>
            <w:tcW w:type="dxa" w:w="4464"/>
            <w:vAlign w:val="top"/>
          </w:tcPr>
          <w:p>
            <w:pPr>
              <w:spacing w:after="0"/>
            </w:pPr>
            <w:r>
              <w:rPr>
                <w:sz w:val="14"/>
              </w:rPr>
              <w:t>Create repeatable public-data refreshes without a backend.</w:t>
            </w:r>
          </w:p>
        </w:tc>
        <w:tc>
          <w:tcPr>
            <w:tcW w:type="dxa" w:w="3384"/>
            <w:vAlign w:val="top"/>
          </w:tcPr>
          <w:p>
            <w:pPr>
              <w:spacing w:after="0"/>
            </w:pPr>
            <w:r>
              <w:rPr>
                <w:sz w:val="14"/>
              </w:rPr>
              <w:t>Workflow health and permissions must be monitored.</w:t>
            </w:r>
          </w:p>
        </w:tc>
      </w:tr>
      <w:tr>
        <w:tc>
          <w:tcPr>
            <w:tcW w:type="dxa" w:w="2232"/>
            <w:vAlign w:val="top"/>
          </w:tcPr>
          <w:p>
            <w:pPr>
              <w:spacing w:after="0"/>
            </w:pPr>
            <w:r>
              <w:rPr>
                <w:sz w:val="14"/>
              </w:rPr>
              <w:t>Node tests and validation</w:t>
            </w:r>
          </w:p>
        </w:tc>
        <w:tc>
          <w:tcPr>
            <w:tcW w:type="dxa" w:w="4464"/>
            <w:vAlign w:val="top"/>
          </w:tcPr>
          <w:p>
            <w:pPr>
              <w:spacing w:after="0"/>
            </w:pPr>
            <w:r>
              <w:rPr>
                <w:sz w:val="14"/>
              </w:rPr>
              <w:t>Catch analytical and structural regressions before deployment.</w:t>
            </w:r>
          </w:p>
        </w:tc>
        <w:tc>
          <w:tcPr>
            <w:tcW w:type="dxa" w:w="3384"/>
            <w:vAlign w:val="top"/>
          </w:tcPr>
          <w:p>
            <w:pPr>
              <w:spacing w:after="0"/>
            </w:pPr>
            <w:r>
              <w:rPr>
                <w:sz w:val="14"/>
              </w:rPr>
              <w:t>Node 22+ is required for local checks.</w:t>
            </w:r>
          </w:p>
        </w:tc>
      </w:tr>
      <w:tr>
        <w:tc>
          <w:tcPr>
            <w:tcW w:type="dxa" w:w="2232"/>
            <w:vAlign w:val="top"/>
          </w:tcPr>
          <w:p>
            <w:pPr>
              <w:spacing w:after="0"/>
            </w:pPr>
            <w:r>
              <w:rPr>
                <w:sz w:val="14"/>
              </w:rPr>
              <w:t>GitHub Pages deployment</w:t>
            </w:r>
          </w:p>
        </w:tc>
        <w:tc>
          <w:tcPr>
            <w:tcW w:type="dxa" w:w="4464"/>
            <w:vAlign w:val="top"/>
          </w:tcPr>
          <w:p>
            <w:pPr>
              <w:spacing w:after="0"/>
            </w:pPr>
            <w:r>
              <w:rPr>
                <w:sz w:val="14"/>
              </w:rPr>
              <w:t>Provide free HTTPS static hosting and a single published URL.</w:t>
            </w:r>
          </w:p>
        </w:tc>
        <w:tc>
          <w:tcPr>
            <w:tcW w:type="dxa" w:w="3384"/>
            <w:vAlign w:val="top"/>
          </w:tcPr>
          <w:p>
            <w:pPr>
              <w:spacing w:after="0"/>
            </w:pPr>
            <w:r>
              <w:rPr>
                <w:sz w:val="14"/>
              </w:rPr>
              <w:t>All paths must be relative and case-correct.</w:t>
            </w:r>
          </w:p>
        </w:tc>
      </w:tr>
      <w:tr>
        <w:tc>
          <w:tcPr>
            <w:tcW w:type="dxa" w:w="2232"/>
            <w:vAlign w:val="top"/>
          </w:tcPr>
          <w:p>
            <w:r>
              <w:t>Release Version 2.2</w:t>
            </w:r>
          </w:p>
        </w:tc>
        <w:tc>
          <w:tcPr>
            <w:tcW w:type="dxa" w:w="4464"/>
            <w:vAlign w:val="top"/>
          </w:tcPr>
          <w:p>
            <w:r>
              <w:t>The global header is a material user-facing navigation and responsive-shell enhancement.</w:t>
            </w:r>
          </w:p>
        </w:tc>
        <w:tc>
          <w:tcPr>
            <w:tcW w:type="dxa" w:w="3384"/>
            <w:vAlign w:val="top"/>
          </w:tcPr>
          <w:p>
            <w:r>
              <w:t>Application and documentation versions advance to 2.2.0.</w:t>
            </w:r>
          </w:p>
        </w:tc>
      </w:tr>
    </w:tbl>
    <w:p/>
    <w:p>
      <w:pPr>
        <w:pStyle w:val="Heading1"/>
      </w:pPr>
      <w:r>
        <w:t>14.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D9EAF7"/>
          </w:tcPr>
          <w:p>
            <w:r>
              <w:rPr>
                <w:b/>
                <w:sz w:val="15"/>
              </w:rPr>
              <w:t>Date</w:t>
            </w:r>
          </w:p>
        </w:tc>
        <w:tc>
          <w:tcPr>
            <w:tcW w:type="dxa" w:w="1584"/>
            <w:shd w:fill="D9EAF7"/>
          </w:tcPr>
          <w:p>
            <w:r>
              <w:rPr>
                <w:b/>
                <w:sz w:val="15"/>
              </w:rPr>
              <w:t>Document version</w:t>
            </w:r>
          </w:p>
        </w:tc>
        <w:tc>
          <w:tcPr>
            <w:tcW w:type="dxa" w:w="2088"/>
            <w:shd w:fill="D9EAF7"/>
          </w:tcPr>
          <w:p>
            <w:r>
              <w:rPr>
                <w:b/>
                <w:sz w:val="15"/>
              </w:rPr>
              <w:t>Application baseline</w:t>
            </w:r>
          </w:p>
        </w:tc>
        <w:tc>
          <w:tcPr>
            <w:tcW w:type="dxa" w:w="4680"/>
            <w:shd w:fill="D9EAF7"/>
          </w:tcPr>
          <w:p>
            <w:r>
              <w:rPr>
                <w:b/>
                <w:sz w:val="15"/>
              </w:rPr>
              <w:t>Change</w:t>
            </w:r>
          </w:p>
        </w:tc>
      </w:tr>
      <w:tr>
        <w:tc>
          <w:tcPr>
            <w:tcW w:type="dxa" w:w="1728"/>
            <w:vAlign w:val="top"/>
          </w:tcPr>
          <w:p>
            <w:pPr>
              <w:spacing w:after="0"/>
            </w:pPr>
            <w:r>
              <w:rPr>
                <w:sz w:val="15"/>
              </w:rPr>
              <w:t>July 26, 2026</w:t>
            </w:r>
          </w:p>
        </w:tc>
        <w:tc>
          <w:tcPr>
            <w:tcW w:type="dxa" w:w="1584"/>
            <w:vAlign w:val="top"/>
          </w:tcPr>
          <w:p>
            <w:pPr>
              <w:spacing w:after="0"/>
            </w:pPr>
            <w:r>
              <w:rPr>
                <w:sz w:val="15"/>
              </w:rPr>
              <w:t>1.0</w:t>
            </w:r>
          </w:p>
        </w:tc>
        <w:tc>
          <w:tcPr>
            <w:tcW w:type="dxa" w:w="2088"/>
            <w:vAlign w:val="top"/>
          </w:tcPr>
          <w:p>
            <w:pPr>
              <w:spacing w:after="0"/>
            </w:pPr>
            <w:r>
              <w:rPr>
                <w:sz w:val="15"/>
              </w:rPr>
              <w:t>v1.x</w:t>
            </w:r>
          </w:p>
        </w:tc>
        <w:tc>
          <w:tcPr>
            <w:tcW w:type="dxa" w:w="4680"/>
            <w:vAlign w:val="top"/>
          </w:tcPr>
          <w:p>
            <w:pPr>
              <w:spacing w:after="0"/>
            </w:pPr>
            <w:r>
              <w:rPr>
                <w:sz w:val="15"/>
              </w:rPr>
              <w:t>Initial architecture and data-dictionary working draft.</w:t>
            </w:r>
          </w:p>
        </w:tc>
      </w:tr>
      <w:tr>
        <w:tc>
          <w:tcPr>
            <w:tcW w:type="dxa" w:w="1728"/>
            <w:vAlign w:val="top"/>
          </w:tcPr>
          <w:p>
            <w:pPr>
              <w:spacing w:after="0"/>
            </w:pPr>
            <w:r>
              <w:rPr>
                <w:sz w:val="15"/>
              </w:rPr>
              <w:t>July 27, 2026</w:t>
            </w:r>
          </w:p>
        </w:tc>
        <w:tc>
          <w:tcPr>
            <w:tcW w:type="dxa" w:w="1584"/>
            <w:vAlign w:val="top"/>
          </w:tcPr>
          <w:p>
            <w:pPr>
              <w:spacing w:after="0"/>
            </w:pPr>
            <w:r>
              <w:rPr>
                <w:sz w:val="15"/>
              </w:rPr>
              <w:t>2.0</w:t>
            </w:r>
          </w:p>
        </w:tc>
        <w:tc>
          <w:tcPr>
            <w:tcW w:type="dxa" w:w="2088"/>
            <w:vAlign w:val="top"/>
          </w:tcPr>
          <w:p>
            <w:pPr>
              <w:spacing w:after="0"/>
            </w:pPr>
            <w:r>
              <w:rPr>
                <w:sz w:val="15"/>
              </w:rPr>
              <w:t>v2.0</w:t>
            </w:r>
          </w:p>
        </w:tc>
        <w:tc>
          <w:tcPr>
            <w:tcW w:type="dxa" w:w="4680"/>
            <w:vAlign w:val="top"/>
          </w:tcPr>
          <w:p>
            <w:pPr>
              <w:spacing w:after="0"/>
            </w:pPr>
            <w:r>
              <w:rPr>
                <w:sz w:val="15"/>
              </w:rPr>
              <w:t>Added Player Tiers and consolidated the SDS.</w:t>
            </w:r>
          </w:p>
        </w:tc>
      </w:tr>
      <w:tr>
        <w:tc>
          <w:tcPr>
            <w:tcW w:type="dxa" w:w="1728"/>
            <w:vAlign w:val="top"/>
          </w:tcPr>
          <w:p>
            <w:pPr>
              <w:spacing w:after="0"/>
            </w:pPr>
            <w:r>
              <w:rPr>
                <w:sz w:val="15"/>
              </w:rPr>
              <w:t>July 27, 2026</w:t>
            </w:r>
          </w:p>
        </w:tc>
        <w:tc>
          <w:tcPr>
            <w:tcW w:type="dxa" w:w="1584"/>
            <w:vAlign w:val="top"/>
          </w:tcPr>
          <w:p>
            <w:pPr>
              <w:spacing w:after="0"/>
            </w:pPr>
            <w:r>
              <w:rPr>
                <w:sz w:val="15"/>
              </w:rPr>
              <w:t>2.0</w:t>
            </w:r>
          </w:p>
        </w:tc>
        <w:tc>
          <w:tcPr>
            <w:tcW w:type="dxa" w:w="2088"/>
            <w:vAlign w:val="top"/>
          </w:tcPr>
          <w:p>
            <w:pPr>
              <w:spacing w:after="0"/>
            </w:pPr>
            <w:r>
              <w:rPr>
                <w:sz w:val="15"/>
              </w:rPr>
              <w:t>v2.0 / 2.0.0</w:t>
            </w:r>
          </w:p>
        </w:tc>
        <w:tc>
          <w:tcPr>
            <w:tcW w:type="dxa" w:w="4680"/>
            <w:vAlign w:val="top"/>
          </w:tcPr>
          <w:p>
            <w:pPr>
              <w:spacing w:after="0"/>
            </w:pPr>
            <w:r>
              <w:rPr>
                <w:sz w:val="15"/>
              </w:rPr>
              <w:t>Documented external CSS and ES-module architecture, provider and view modules, centralized errors, Node tests, local snapshots, GitHub Actions automation, GitHub Pages deployment, per-file JavaScript READMEs, updated data dictionary, and revised architecture diagram. No application-version increment.</w:t>
            </w:r>
          </w:p>
        </w:tc>
      </w:tr>
      <w:tr>
        <w:tc>
          <w:tcPr>
            <w:tcW w:type="dxa" w:w="2556"/>
          </w:tcPr>
          <w:p>
            <w:r>
              <w:t>July 28, 2026</w:t>
            </w:r>
          </w:p>
        </w:tc>
        <w:tc>
          <w:tcPr>
            <w:tcW w:type="dxa" w:w="2556"/>
          </w:tcPr>
          <w:p>
            <w:r>
              <w:t>2.1</w:t>
            </w:r>
          </w:p>
        </w:tc>
        <w:tc>
          <w:tcPr>
            <w:tcW w:type="dxa" w:w="2556"/>
          </w:tcPr>
          <w:p>
            <w:r>
              <w:t>v2.1 / 2.1.0</w:t>
            </w:r>
          </w:p>
        </w:tc>
        <w:tc>
          <w:tcPr>
            <w:tcW w:type="dxa" w:w="2556"/>
          </w:tcPr>
          <w:p>
            <w:r>
              <w:t>Released landing-page simplification and automatic league detection; added paced loading, Current Season and Overall Performance summaries, historical franchise metrics, full-width League Power Rankings, QB/RB/WR/TE/FLEX ranks, biggest strength and weakness, and the Championship Outlook &amp; Roster Review.</w:t>
            </w:r>
          </w:p>
        </w:tc>
      </w:tr>
      <w:tr>
        <w:tc>
          <w:tcPr>
            <w:tcW w:type="dxa" w:w="2556"/>
          </w:tcPr>
          <w:p>
            <w:r>
              <w:t>July 28, 2026</w:t>
            </w:r>
          </w:p>
        </w:tc>
        <w:tc>
          <w:tcPr>
            <w:tcW w:type="dxa" w:w="2556"/>
          </w:tcPr>
          <w:p>
            <w:r>
              <w:t>2.2</w:t>
            </w:r>
          </w:p>
        </w:tc>
        <w:tc>
          <w:tcPr>
            <w:tcW w:type="dxa" w:w="2556"/>
          </w:tcPr>
          <w:p>
            <w:r>
              <w:t>v2.2 / 2.2.0</w:t>
            </w:r>
          </w:p>
        </w:tc>
        <w:tc>
          <w:tcPr>
            <w:tcW w:type="dxa" w:w="2556"/>
          </w:tcPr>
          <w:p>
            <w:r>
              <w:t>Replaced the standalone page-selector banner with a sticky responsive global header containing grouped page navigation, league context, Focus Team selection, data status, version, overflow actions, browser-history support, and active-page persistence.</w:t>
            </w:r>
          </w:p>
        </w:tc>
      </w:tr>
      <w:tr>
        <w:tc>
          <w:tcPr>
            <w:tcW w:type="dxa" w:w="2556"/>
          </w:tcPr>
          <w:p>
            <w:r>
              <w:t>July 29, 2026</w:t>
            </w:r>
          </w:p>
        </w:tc>
        <w:tc>
          <w:tcPr>
            <w:tcW w:type="dxa" w:w="2556"/>
          </w:tcPr>
          <w:p>
            <w:r>
              <w:t>2.2.1</w:t>
            </w:r>
          </w:p>
        </w:tc>
        <w:tc>
          <w:tcPr>
            <w:tcW w:type="dxa" w:w="2556"/>
          </w:tcPr>
          <w:p>
            <w:r>
              <w:t>v2.2.1 / 2.2.1</w:t>
            </w:r>
          </w:p>
        </w:tc>
        <w:tc>
          <w:tcPr>
            <w:tcW w:type="dxa" w:w="2556"/>
          </w:tcPr>
          <w:p>
            <w:r>
              <w:t>Merged Dashboard and Team Insights refinement: made Dashboard league-centric; moved selected-team performance and recommendations to Team Insights; added linked-season League Scoring History, Build/Shop candidates, full-roster evidence, Coming Soon! placeholder, Week 18 exclusion, and renderer tests.</w:t>
            </w:r>
          </w:p>
        </w:tc>
      </w:tr>
      <w:tr>
        <w:tc>
          <w:tcPr>
            <w:tcW w:type="dxa" w:w="2556"/>
          </w:tcPr>
          <w:p>
            <w:r>
              <w:t>August 1, 2026</w:t>
            </w:r>
          </w:p>
        </w:tc>
        <w:tc>
          <w:tcPr>
            <w:tcW w:type="dxa" w:w="2556"/>
          </w:tcPr>
          <w:p>
            <w:r>
              <w:t>2.3.0</w:t>
            </w:r>
          </w:p>
        </w:tc>
        <w:tc>
          <w:tcPr>
            <w:tcW w:type="dxa" w:w="2556"/>
          </w:tcPr>
          <w:p>
            <w:r>
              <w:t>v2.3.0 / 2.3.0</w:t>
            </w:r>
          </w:p>
        </w:tc>
        <w:tc>
          <w:tcPr>
            <w:tcW w:type="dxa" w:w="2556"/>
          </w:tcPr>
          <w:p>
            <w:r>
              <w:t>Released stateless Sleeper acquisition with session-only deep-history loading, retries and partial-failure visibility; moved Methodology into Settings; removed report persistence and exports; refreshed header and navigation labels; and documented Week 18 exclusion and identifier privacy.</w:t>
            </w:r>
          </w:p>
        </w:tc>
      </w:tr>
      <w:tr>
        <w:tc>
          <w:tcPr>
            <w:tcW w:type="dxa" w:w="2556"/>
          </w:tcPr>
          <w:p>
            <w:r>
              <w:t>August 1, 2026</w:t>
            </w:r>
          </w:p>
        </w:tc>
        <w:tc>
          <w:tcPr>
            <w:tcW w:type="dxa" w:w="2556"/>
          </w:tcPr>
          <w:p>
            <w:r>
              <w:t>2.3.0</w:t>
            </w:r>
          </w:p>
        </w:tc>
        <w:tc>
          <w:tcPr>
            <w:tcW w:type="dxa" w:w="2556"/>
          </w:tcPr>
          <w:p>
            <w:r>
              <w:t>v2.3.0 / 2.3.0</w:t>
            </w:r>
          </w:p>
        </w:tc>
        <w:tc>
          <w:tcPr>
            <w:tcW w:type="dxa" w:w="2556"/>
          </w:tcPr>
          <w:p>
            <w:r>
              <w:t>Released stateless Sleeper acquisition with session-only deep-history loading, retries and partial-failure visibility; moved Methodology into Settings; removed report persistence and exports; refreshed header and navigation labels; and documented Week 18 exclusion and identifier privacy.</w:t>
            </w:r>
          </w:p>
        </w:tc>
      </w:tr>
    </w:tbl>
    <w:p/>
    <w:p>
      <w:pPr>
        <w:pStyle w:val="Heading1"/>
      </w:pPr>
      <w:r>
        <w:t>15. Release Maintenance Checklist</w:t>
      </w:r>
    </w:p>
    <w:p>
      <w:pPr>
        <w:pStyle w:val="ListBullet"/>
      </w:pPr>
      <w:r>
        <w:t>Confirm APP_VERSION and displayed Version Control are intentionally unchanged or updated.</w:t>
      </w:r>
    </w:p>
    <w:p>
      <w:pPr>
        <w:pStyle w:val="ListBullet"/>
      </w:pPr>
      <w:r>
        <w:t>Update SDS sections affected by architecture, analytical, provider, data, deployment, or UX changes.</w:t>
      </w:r>
    </w:p>
    <w:p>
      <w:pPr>
        <w:pStyle w:val="ListBullet"/>
      </w:pPr>
      <w:r>
        <w:t>Update the data dictionary for every added, changed, or deprecated field.</w:t>
      </w:r>
    </w:p>
    <w:p>
      <w:pPr>
        <w:pStyle w:val="ListBullet"/>
      </w:pPr>
      <w:r>
        <w:t>Update the architecture diagram when processing boundaries or integrations change.</w:t>
      </w:r>
    </w:p>
    <w:p>
      <w:pPr>
        <w:pStyle w:val="ListBullet"/>
      </w:pPr>
      <w:r>
        <w:t>Update companion JavaScript README files when module responsibilities or dependencies change.</w:t>
      </w:r>
    </w:p>
    <w:p>
      <w:pPr>
        <w:pStyle w:val="ListBullet"/>
      </w:pPr>
      <w:r>
        <w:t>Run npm test, npm run validate, and npm run check.</w:t>
      </w:r>
    </w:p>
    <w:p>
      <w:pPr>
        <w:pStyle w:val="ListBullet"/>
      </w:pPr>
      <w:r>
        <w:t>Test all application tabs through the local HTTP server, including desktop and narrow layouts.</w:t>
      </w:r>
    </w:p>
    <w:p>
      <w:pPr>
        <w:pStyle w:val="ListBullet"/>
      </w:pPr>
      <w:r>
        <w:t>Confirm relative asset paths and case sensitivity.</w:t>
      </w:r>
    </w:p>
    <w:p>
      <w:pPr>
        <w:pStyle w:val="ListBullet"/>
      </w:pPr>
      <w:r>
        <w:t>Push through a feature branch and merge to main.</w:t>
      </w:r>
    </w:p>
    <w:p>
      <w:pPr>
        <w:pStyle w:val="ListBullet"/>
      </w:pPr>
      <w:r>
        <w:t>Confirm GitHub Pages and the Update fantasy football data workflow succeed.</w:t>
      </w:r>
    </w:p>
    <w:p>
      <w:pPr>
        <w:pStyle w:val="Heading1"/>
      </w:pPr>
      <w:r>
        <w:t>Version 2.2.1 Active Tab Style Patch</w:t>
      </w:r>
    </w:p>
    <w:p>
      <w:r>
        <w:t>Version 2.2.1 corrects the active state of the global report tabs without changing navigation behavior or the desktop header structure.</w:t>
      </w:r>
    </w:p>
    <w:p>
      <w:pPr>
        <w:pStyle w:val="ListBullet"/>
      </w:pPr>
      <w:r>
        <w:t>Active and inactive tabs use the same height, width allocation, padding, margin, border radius, and vertical position.</w:t>
      </w:r>
    </w:p>
    <w:p>
      <w:pPr>
        <w:pStyle w:val="ListBullet"/>
      </w:pPr>
      <w:r>
        <w:t>The active state changes only the background to the product blue, the text to white, and the font weight to bold.</w:t>
      </w:r>
    </w:p>
    <w:p>
      <w:pPr>
        <w:pStyle w:val="ListBullet"/>
      </w:pPr>
      <w:r>
        <w:t>Raised positioning, active-state height growth, negative overlap, visual bridge pseudo-elements, and active-state shadows are removed.</w:t>
      </w:r>
    </w:p>
    <w:p>
      <w:pPr>
        <w:pStyle w:val="ListBullet"/>
      </w:pPr>
      <w:r>
        <w:t>The tab row no longer overlaps or covers the report content below it.</w:t>
      </w:r>
    </w:p>
    <w:p>
      <w:pPr>
        <w:pStyle w:val="ListBullet"/>
      </w:pPr>
      <w:r>
        <w:t>Tab click navigation, focus-team persistence, URL hash state, and browser Back/Forward behavior remain unchanged.</w:t>
      </w:r>
    </w:p>
    <w:p>
      <w:pPr>
        <w:pStyle w:val="ListBullet"/>
      </w:pPr>
      <w:r>
        <w:t>Regression tests verify version consistency, fixed dimensions, color-only active styling, and absence of the previous pseudo-element bridge.</w:t>
      </w:r>
    </w:p>
    <w:p>
      <w:pPr>
        <w:pStyle w:val="Heading2"/>
      </w:pPr>
      <w:r>
        <w:t>Version 2.2.1 Header Starter Count Metadata Correction</w:t>
      </w:r>
    </w:p>
    <w:p>
      <w:pPr>
        <w:pStyle w:val="ListBullet"/>
      </w:pPr>
      <w:r>
        <w:t>The league header resolves starter count from a valid stored starterCount value, detectedSetup.starterCount, starterSlots, rosterSlots, or Sleeper roster_positions.</w:t>
      </w:r>
    </w:p>
    <w:p>
      <w:pPr>
        <w:pStyle w:val="ListBullet"/>
      </w:pPr>
      <w:r>
        <w:t>Bench, IR, reserve, and taxi slots are excluded from derived starter counts. Legal offensive, kicker, defense, Superflex, and IDP starter slots are included.</w:t>
      </w:r>
    </w:p>
    <w:p>
      <w:pPr>
        <w:pStyle w:val="ListBullet"/>
      </w:pPr>
      <w:r>
        <w:t>New analyses retain starterCount and starterSlots alongside rosterSlots in the in-memory report for the current browser session.</w:t>
      </w:r>
    </w:p>
    <w:p>
      <w:pPr>
        <w:pStyle w:val="ListBullet"/>
      </w:pPr>
      <w:r>
        <w:t>When no valid starter count can be resolved, the header omits the starter-count segment instead of displaying Starter count unavailable.</w:t>
      </w:r>
    </w:p>
    <w:p>
      <w:pPr>
        <w:pStyle w:val="ListBullet"/>
      </w:pPr>
      <w:r>
        <w:t>For the referenced 12-team 1QB PPR league, the header renders 12 teams · 1QB PPR · Start 10.</w:t>
      </w:r>
    </w:p>
    <w:p>
      <w:pPr>
        <w:pStyle w:val="ListBullet"/>
      </w:pPr>
      <w:r>
        <w:t>Regression tests cover direct stored values, detected setup fallback, roster-slot arrays, Sleeper roster positions, excluded reserve slots, and unresolved metadata.</w:t>
      </w:r>
    </w:p>
    <w:p>
      <w:pPr>
        <w:pStyle w:val="Heading3"/>
      </w:pPr>
      <w:r>
        <w:t>Starter Count Derived Field</w:t>
      </w:r>
    </w:p>
    <w:p>
      <w:r>
        <w:t>starterCount resolution order: explicit analysis starterCount; detectedSetup.starterCount; starterSlots; rosterSlots; direct or nested Sleeper roster_positions. The derived output is a positive integer or null.</w:t>
      </w:r>
    </w:p>
    <w:p>
      <w:pPr>
        <w:pStyle w:val="Heading1"/>
      </w:pPr>
      <w:r>
        <w:t>Version 2.3.0 — Stateless Sleeper Acquisition</w:t>
      </w:r>
    </w:p>
    <w:p>
      <w:r>
        <w:t>Version 2.3.0 makes linked Sleeper league history available without a persistent league database. Analyze loads live current-season data and a linked-season index first, then page-level resources load on demand and are kept only in browser memory for the current tab.</w:t>
      </w:r>
    </w:p>
    <w:p>
      <w:pPr>
        <w:pStyle w:val="ListBullet"/>
      </w:pPr>
      <w:r>
        <w:t>Settings now contains Contender Index weights, Methodology, and collapsed League History Evidence.</w:t>
      </w:r>
    </w:p>
    <w:p>
      <w:pPr>
        <w:pStyle w:val="ListBullet"/>
      </w:pPr>
      <w:r>
        <w:t>Team Insights requests linked-season roster and Week 1–17 matchup history only when opened.</w:t>
      </w:r>
    </w:p>
    <w:p>
      <w:pPr>
        <w:pStyle w:val="ListBullet"/>
      </w:pPr>
      <w:r>
        <w:t>Deep evidence requests use bounded concurrency, retry and timeout behavior, progress updates, and visible partial-data warnings.</w:t>
      </w:r>
    </w:p>
    <w:p>
      <w:pPr>
        <w:pStyle w:val="ListBullet"/>
      </w:pPr>
      <w:r>
        <w:t>League IDs and Sleeper user identifiers are excluded from report payloads, URLs, header text, and application error messages.</w:t>
      </w:r>
    </w:p>
    <w:p>
      <w:pPr>
        <w:pStyle w:val="ListBullet"/>
      </w:pPr>
      <w:r>
        <w:t>NFL Week 18 is excluded from fantasy-team performance metrics and charts.</w:t>
      </w:r>
    </w:p>
    <w:p>
      <w:pPr>
        <w:pStyle w:val="ListBullet"/>
      </w:pPr>
      <w:r>
        <w:t>Report persistence, exports, printing, advanced detection overrides, and header overflow controls are removed.</w:t>
      </w:r>
    </w:p>
    <w:p>
      <w:pPr>
        <w:pStyle w:val="ListBullet"/>
      </w:pPr>
      <w:r>
        <w:t>Report tabs are Dashboard, Team Insights, Trade Center, Draft Capital, Player Trends, Player Tiers, Player Master, and Settings.</w:t>
      </w:r>
    </w:p>
    <w:sectPr w:rsidR="00FC693F" w:rsidRPr="0006063C" w:rsidSect="00034616">
      <w:footerReference w:type="default" r:id="rId10"/>
      <w:head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Fantasy Football Intelligence Hub | Software Design Specification | Version 2.3.0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C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5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B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Football Intelligence Hub Software Design Specification</dc:title>
  <dc:subject>Version 2.1 landing page and dashboard release design</dc:subject>
  <dc:creator>python-docx</dc:creator>
  <cp:keywords/>
  <dc:description>generated by python-docx</dc:description>
  <cp:lastModifiedBy/>
  <cp:revision>1</cp:revision>
  <dcterms:created xsi:type="dcterms:W3CDTF">2013-12-23T23:15:00Z</dcterms:created>
  <dcterms:modified xsi:type="dcterms:W3CDTF">2026-07-29T00:00:00Z</dcterms:modified>
  <cp:category/>
</cp:coreProperties>
</file>