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i0lkn3v3kavd" w:id="0"/>
      <w:bookmarkEnd w:id="0"/>
      <w:r w:rsidDel="00000000" w:rsidR="00000000" w:rsidRPr="00000000">
        <w:rPr>
          <w:rtl w:val="0"/>
        </w:rPr>
        <w:t xml:space="preserve">Studio dei dataset da importare ed integrare nel sistema</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Lo studio dei dataset da importare e integrare nel sistema rappresenta una fase fondamentale nella progettazione di qualsiasi architettura orientata ai dati. Prima ancora di definire strumenti, tecnologie o modelli di archiviazione, è necessario comprendere in modo approfondito la natura dei dati disponibili, la loro origine e il valore informativo che possono apportare al sistema. Un’analisi superficiale dei dataset rischia di compromettere l’intero processo di integrazione, generando inconsistenze, ridondanze o informazioni poco affidabili.</w:t>
      </w:r>
      <w:r w:rsidDel="00000000" w:rsidR="00000000" w:rsidRPr="00000000">
        <w:rPr>
          <w:rtl w:val="0"/>
        </w:rPr>
        <w:t xml:space="preserve"> </w:t>
      </w:r>
      <w:r w:rsidDel="00000000" w:rsidR="00000000" w:rsidRPr="00000000">
        <w:rPr>
          <w:rtl w:val="0"/>
        </w:rPr>
        <w:t xml:space="preserve">Questa fase si colloca tra l’analisi dei requisiti informativi e la progettazione tecnica del sistema e costituisce un ponte tra le esigenze del business e la realtà dei dati effettivamente disponibili.</w:t>
      </w:r>
    </w:p>
    <w:p w:rsidR="00000000" w:rsidDel="00000000" w:rsidP="00000000" w:rsidRDefault="00000000" w:rsidRPr="00000000" w14:paraId="00000003">
      <w:pPr>
        <w:keepNext w:val="0"/>
        <w:keepLines w:val="0"/>
        <w:spacing w:after="80" w:lineRule="auto"/>
        <w:jc w:val="both"/>
        <w:rPr>
          <w:b w:val="1"/>
          <w:bCs w:val="1"/>
          <w:sz w:val="34"/>
          <w:szCs w:val="34"/>
        </w:rPr>
      </w:pPr>
      <w:r w:rsidDel="00000000" w:rsidR="00000000" w:rsidRPr="00000000">
        <w:rPr>
          <w:b w:val="1"/>
          <w:bCs w:val="1"/>
          <w:sz w:val="34"/>
          <w:szCs w:val="34"/>
          <w:rtl w:val="0"/>
        </w:rPr>
        <w:t xml:space="preserve">1.1</w:t>
      </w:r>
      <w:r w:rsidDel="00000000" w:rsidR="00000000" w:rsidRPr="00000000">
        <w:rPr>
          <w:sz w:val="14"/>
          <w:szCs w:val="14"/>
          <w:rtl w:val="0"/>
        </w:rPr>
        <w:t xml:space="preserve">   </w:t>
        <w:tab/>
      </w:r>
      <w:r w:rsidDel="00000000" w:rsidR="00000000" w:rsidRPr="00000000">
        <w:rPr>
          <w:b w:val="1"/>
          <w:bCs w:val="1"/>
          <w:sz w:val="34"/>
          <w:szCs w:val="34"/>
          <w:rtl w:val="0"/>
        </w:rPr>
        <w:t xml:space="preserve">Identificazione delle fonti dati</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Il primo passo nello studio dei dataset consiste nell’identificazione delle fonti da cui i dati verranno estratti. Tali fonti possono essere interne all’organizzazione, come database transazionali, sistemi ERP o CRM, oppure esterne, come servizi di terze parti, open data, API pubbliche o flussi provenienti da dispositivi IoT. Ogni fonte presenta caratteristiche specifiche in termini di struttura, formato, frequenza di aggiornamento e affidabilità.</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È importante valutare non solo la disponibilità dei dati, ma anche la loro rilevanza rispetto agli obiettivi del sistema. Non tutti i dataset disponibili sono necessariamente utili: lo studio preliminare consente di selezionare quelli che apportano un reale valore informativo e che possono essere integrati in modo efficace nel contesto complessivo.</w:t>
      </w:r>
    </w:p>
    <w:p>
      <w:pPr>
        <w:pStyle w:val="normal"/>
      </w:pPr>
      <w:r>
        <w:rPr>
          <w:color w:val="FF0000"/>
        </w:rPr>
        <w:t xml:space="preserve">Fonti Interne</w:t>
      </w:r>
    </w:p>
    <w:p>
      <w:pPr>
        <w:pStyle w:val="Heading3"/>
      </w:pPr>
      <w:r>
        <w:rPr>
          <w:color w:val="FF0000"/>
        </w:rPr>
        <w:t xml:space="preserve">1. GESAN — Database Malattie Infettive</w:t>
      </w:r>
    </w:p>
    <w:p>
      <w:pPr>
        <w:pStyle w:val="Heading4"/>
      </w:pPr>
      <w:r>
        <w:rPr>
          <w:color w:val="FF0000"/>
        </w:rPr>
        <w:t xml:space="preserve">Descrizione Generale</w:t>
      </w:r>
    </w:p>
    <w:p>
      <w:pPr>
        <w:pStyle w:val="normal"/>
      </w:pPr>
      <w:r>
        <w:rPr>
          <w:color w:val="FF0000"/>
        </w:rPr>
        <w:t xml:space="preserve">Il sistema GESAN (Gestione Sanitaria) è la piattaforma informatica adottata dalle Aziende Sanitarie Locali della Campania per la gestione e la notifica obbligatoria delle malattie infettive. Il database raccoglie in forma strutturata le segnalazioni cliniche prodotte dai medici di base, dai reparti ospedalieri e dai servizi di igiene pubblica, in conformità con il sistema nazionale di sorveglianza delle malattie infettive (SIMI) e con le direttive del Ministero della Salute. Ogni segnalazione comprende informazioni anonimizzate del paziente, la diagnosi codificata secondo la nomenclatura ministeriale, le date clinicamente rilevanti — tra cui la data di insorgenza dei sintomi, la data di ricovero e la data di segnalazione — e la georeferenziazione del caso tramite codice ISTAT del comune di residenza e del comune di insorgenza dei sintomi. Il database costituisce la fonte istituzionale di riferimento per la sorveglianza epidemiologica a livello regionale e rappresenta il dataset primario del sistema HealthTrace.</w:t>
      </w:r>
    </w:p>
    <w:p>
      <w:pPr>
        <w:pStyle w:val="Heading4"/>
      </w:pPr>
      <w:r>
        <w:rPr>
          <w:color w:val="FF0000"/>
        </w:rPr>
        <w:t xml:space="preserve">Utilizzo nel Progetto HealthTrace</w:t>
      </w:r>
    </w:p>
    <w:p>
      <w:pPr>
        <w:pStyle w:val="normal"/>
      </w:pPr>
      <w:r>
        <w:rPr>
          <w:color w:val="FF0000"/>
        </w:rPr>
        <w:t xml:space="preserve">Nell'ambito del progetto, il database GESAN fornisce i dati di incidenza delle tre patologie infettive target: Influenza, Legionellosi ed Epatite A. Tali dati costituiscono la variabile dipendente di tutti i modelli statistici e di machine learning implementati nel sistema per la stima della correlazione tra esposizione ambientale e insorgenza di malattia. Il periodo di osservazione disponibile copre l'arco temporale dalla prima metà del 2024 ai primi mesi del 2026, con una copertura geografica prevalentemente concentrata sulla Regione Campania, e in particolare sull'area metropolitana di Napoli e le province limitrofe.</w:t>
      </w:r>
    </w:p>
    <w:p>
      <w:pPr>
        <w:pStyle w:val="normal"/>
      </w:pPr>
      <w:r>
        <w:rPr>
          <w:color w:val="FF0000"/>
        </w:rPr>
        <w:t xml:space="preserve">Il campo geografico utilizzato per il matching con le fonti ambientali è il comune di insorgenza dei sintomi, in quanto rappresenta il luogo di probabile esposizione del paziente al momento dell'evento clinico. Questo approccio è epidemiologicamente più corretto rispetto all'utilizzo del comune di residenza, poiché una quota rilevante dei casi presenta i due comuni distinti: l'utilizzo del comune di residenza introdurrebbe un errore sistematico di classificazione geografica nel processo di associazione tra caso clinico e misurazioni ambientali.</w:t>
      </w:r>
    </w:p>
    <w:p>
      <w:pPr>
        <w:pStyle w:val="normal"/>
      </w:pPr>
      <w:r>
        <w:rPr>
          <w:color w:val="FF0000"/>
        </w:rPr>
        <w:t xml:space="preserve">Il campo temporale di riferimento è la data di insorgenza dei sintomi. Tale scelta è motivata dal fatto che il ritardo tra l'insorgenza clinica e la segnalazione formale è variabile e sistematicamente presente, rendendo la data di segnalazione un indicatore temporale non affidabile per la ricostruzione della finestra di esposizione ambientale. La data di insorgenza dei sintomi è invece direttamente collegata al periodo durante il quale il paziente è stato esposto ai fattori ambientali di rischio, ed è pertanto il riferimento corretto per l'applicazione dei modelli a ritardo distribuito (DLNM) previsti dal sistema, nei quali la finestra di esposizione si estende nei giorni precedenti l'evento clinico.</w:t>
      </w:r>
    </w:p>
    <w:p>
      <w:pPr>
        <w:pStyle w:val="normal"/>
      </w:pPr>
      <w:r>
        <w:rPr>
          <w:color w:val="FF0000"/>
        </w:rPr>
        <w:t xml:space="preserve">Fonti Esterne</w:t>
      </w:r>
    </w:p>
    <w:p>
      <w:pPr>
        <w:pStyle w:val="Heading3"/>
      </w:pPr>
      <w:r>
        <w:rPr>
          <w:color w:val="FF0000"/>
        </w:rPr>
        <w:t xml:space="preserve">2. ARPAC — Rete di Monitoraggio della Qualità dell'Aria</w:t>
      </w:r>
    </w:p>
    <w:p>
      <w:pPr>
        <w:pStyle w:val="Heading4"/>
      </w:pPr>
      <w:r>
        <w:rPr>
          <w:color w:val="FF0000"/>
        </w:rPr>
        <w:t xml:space="preserve">Descrizione Generale</w:t>
      </w:r>
    </w:p>
    <w:p>
      <w:pPr>
        <w:pStyle w:val="normal"/>
      </w:pPr>
      <w:r>
        <w:rPr>
          <w:color w:val="FF0000"/>
        </w:rPr>
        <w:t xml:space="preserve">L'Agenzia Regionale per la Protezione dell'Ambiente della Campania (ARPA Campania) gestisce la rete regionale di monitoraggio della qualità dell'aria, istituita in conformità con la normativa europea e nazionale in materia di qualità dell'aria ambiente (Direttiva 2008/50/CE, D.Lgs. 155/2010). La rete è composta da stazioni fisse di rilevamento distribuite sul territorio regionale, ciascuna classificata per tipologia di zona di monitoraggio secondo lo standard dell'Agenzia Europea per l'Ambiente: stazioni di fondo, di traffico e industriali. I dati rilevati hanno cadenza oraria e coprono i principali inquinanti atmosferici normati: biossido di azoto, particolato fine, ozono, biossido di zolfo e monossido di carbonio. Le stazioni sono georeferenziate e associate al comune ISTAT di appartenenza, con informazioni sulla quota altimetrica e la tipologia che ne consentono la classificazione nel contesto urbano e periurbano.</w:t>
      </w:r>
    </w:p>
    <w:p>
      <w:pPr>
        <w:pStyle w:val="Heading4"/>
      </w:pPr>
      <w:r>
        <w:rPr>
          <w:color w:val="FF0000"/>
        </w:rPr>
        <w:t xml:space="preserve">Utilizzo nel Progetto HealthTrace</w:t>
      </w:r>
    </w:p>
    <w:p>
      <w:pPr>
        <w:pStyle w:val="normal"/>
      </w:pPr>
      <w:r>
        <w:rPr>
          <w:color w:val="FF0000"/>
        </w:rPr>
        <w:t xml:space="preserve">I dati ARPAC forniscono le variabili di esposizione atmosferica utilizzate nei modelli di correlazione con le patologie respiratorie target, in primo luogo l'Influenza e la Legionellosi. In letteratura scientifica è ampiamente documentato il ruolo degli inquinanti atmosferici — in particolare il particolato fine e il biossido di azoto — come fattori predisponenti e aggravanti delle infezioni respiratorie, attraverso meccanismi di compromissione delle difese mucociliari delle vie aeree e di aumento della suscettibilità individuale ai patogeni. I parametri acquisiti da ARPAC costituiscono le variabili indipendenti di esposizione atmosferica nei modelli GAM, DLNM, ARIMAX e Random Forest implementati nel sistema HealthTrace.</w:t>
      </w:r>
    </w:p>
    <w:p>
      <w:pPr>
        <w:pStyle w:val="normal"/>
      </w:pPr>
      <w:r>
        <w:rPr>
          <w:color w:val="FF0000"/>
        </w:rPr>
        <w:t xml:space="preserve">Per ciascun comune di interesse, il sistema interroga l'API ARPAC richiedendo i valori statistici aggregati su base mensile per tutte le stazioni presenti nel territorio comunale. Al fine di garantire la rappresentatività delle misurazioni rispetto alla popolazione esposta, vengono incluse esclusivamente le stazioni di tipologia urbana e di traffico, con esclusione delle stazioni industriali e di quelle posizionate ad altitudini superiori alla soglia definita per i contesti abitati. Nei casi in cui siano presenti più stazioni per lo stesso comune, i valori vengono aggregati tramite media pesata per distanza (Inverse Distance Weighting), attribuendo peso maggiore alle stazioni più prossime alla centroide del comune. I valori anomali e non validati sono esclusi dal calcolo tramite i meccanismi di validazione e filtraggio per range messi a disposizione dall'API.</w:t>
      </w:r>
    </w:p>
    <w:p>
      <w:pPr>
        <w:pStyle w:val="Heading3"/>
      </w:pPr>
      <w:r>
        <w:rPr>
          <w:color w:val="FF0000"/>
        </w:rPr>
        <w:t xml:space="preserve">3. MeteoHub — Rete Meteorologica della Protezione Civile</w:t>
      </w:r>
    </w:p>
    <w:p>
      <w:pPr>
        <w:pStyle w:val="Heading4"/>
      </w:pPr>
      <w:r>
        <w:rPr>
          <w:color w:val="FF0000"/>
        </w:rPr>
        <w:t xml:space="preserve">Descrizione Generale</w:t>
      </w:r>
    </w:p>
    <w:p>
      <w:pPr>
        <w:pStyle w:val="normal"/>
      </w:pPr>
      <w:r>
        <w:rPr>
          <w:color w:val="FF0000"/>
        </w:rPr>
        <w:t xml:space="preserve">MeteoHub è il sistema di raccolta e distribuzione dei dati meteorologici operato dalla rete di stazioni della Protezione Civile e reti associate attive sul territorio campano. La rete fornisce misurazioni in continuo di variabili meteorologiche fondamentali: temperatura dell'aria, precipitazioni cumulate, umidità relativa e velocità del vento, con una frequenza di acquisizione ad alta risoluzione temporale. Le stazioni sono distribuite sul territorio regionale e associate al comune ISTAT di appartenenza, consentendo il collegamento diretto con le fonti sanitarie del sistema. I dati meteorologici sono accessibili tramite un microservizio dedicato che espone sia le serie temporali grezze sia aggregazioni statistiche su finestre temporali configurabili.</w:t>
      </w:r>
    </w:p>
    <w:p>
      <w:pPr>
        <w:pStyle w:val="Heading4"/>
      </w:pPr>
      <w:r>
        <w:rPr>
          <w:color w:val="FF0000"/>
        </w:rPr>
        <w:t xml:space="preserve">Utilizzo nel Progetto HealthTrace</w:t>
      </w:r>
    </w:p>
    <w:p>
      <w:pPr>
        <w:pStyle w:val="normal"/>
      </w:pPr>
      <w:r>
        <w:rPr>
          <w:color w:val="FF0000"/>
        </w:rPr>
        <w:t xml:space="preserve">Le variabili meteorologiche acquisite da MeteoHub svolgono un ruolo modulante nei modelli epidemiologici del sistema HealthTrace. La temperatura e l'umidità influenzano direttamente la sopravvivenza e la diffusione dei patogeni nell'ambiente: la Legionella pneumophila prolifera in condizioni di temperatura dell'acqua comprese tra i venti e i quarantacinque gradi centigradi, mentre le variazioni stagionali di temperatura e umidità condizionano la trasmissione del virus influenzale. Le precipitazioni sono rilevanti come proxy del rischio di contaminazione idrica per l'Epatite A.</w:t>
      </w:r>
    </w:p>
    <w:p>
      <w:pPr>
        <w:pStyle w:val="normal"/>
      </w:pPr>
      <w:r>
        <w:rPr>
          <w:color w:val="FF0000"/>
        </w:rPr>
        <w:t xml:space="preserve">Per ciascun comune di interesse, il sistema acquisisce i valori statistici mensili aggregati per tutte le stazioni meteorologiche presenti nel territorio comunale. Al fine di garantire la rappresentatività delle misurazioni, vengono incluse esclusivamente le stazioni posizionate al di sotto della soglia altimetrica definita per i contesti abitati. Poiché i metadati originali delle stazioni MeteoHub non includono il dato altimetrico, tale informazione viene calcolata a partire dalle coordinate geografiche tramite integrazione con il servizio di modello digitale del terreno descritto nella fonte successiva. Come per ARPAC, in presenza di stazioni multiple per lo stesso comune viene applicata la media pesata per distanza per derivare un unico valore rappresentativo del territorio comunale. Le variabili meteorologiche costituiscono le variabili di confondimento e modulazione nei modelli di correlazione, permettendo di isolare il contributo specifico degli inquinanti atmosferici dall'effetto delle condizioni climatiche generali.</w:t>
      </w:r>
    </w:p>
    <w:p>
      <w:pPr>
        <w:pStyle w:val="Heading3"/>
      </w:pPr>
      <w:r>
        <w:rPr>
          <w:color w:val="FF0000"/>
        </w:rPr>
        <w:t xml:space="preserve">4. OpenTopoData SRTM — Modello Digitale del Terreno</w:t>
      </w:r>
    </w:p>
    <w:p>
      <w:pPr>
        <w:pStyle w:val="Heading4"/>
      </w:pPr>
      <w:r>
        <w:rPr>
          <w:color w:val="FF0000"/>
        </w:rPr>
        <w:t xml:space="preserve">Descrizione Generale</w:t>
      </w:r>
    </w:p>
    <w:p>
      <w:pPr>
        <w:pStyle w:val="normal"/>
      </w:pPr>
      <w:r>
        <w:rPr>
          <w:color w:val="FF0000"/>
        </w:rPr>
        <w:t xml:space="preserve">Il dataset SRTM (Shuttle Radar Topography Mission) è un modello digitale del terreno prodotto dalla NASA nell'ambito di una missione dello Space Shuttle nel febbraio del 2000, successivamente elaborato e distribuito dall'agenzia statunitense USGS (United States Geological Survey). Il dataset fornisce quote altimetriche a copertura quasi globale, compreso l'intero territorio italiano, con una risoluzione spaziale adeguata agli scopi del progetto. OpenTopoData è un servizio pubblico e gratuito che espone i dati SRTM tramite un'interfaccia di tipo REST, consentendo l'interrogazione puntuale della quota altimetrica a partire da coordinate geografiche. Il servizio supporta richieste in modalità batch per l'elaborazione simultanea di coordinate multiple.</w:t>
      </w:r>
    </w:p>
    <w:p>
      <w:pPr>
        <w:pStyle w:val="Heading4"/>
      </w:pPr>
      <w:r>
        <w:rPr>
          <w:color w:val="FF0000"/>
        </w:rPr>
        <w:t xml:space="preserve">Utilizzo nel Progetto HealthTrace</w:t>
      </w:r>
    </w:p>
    <w:p>
      <w:pPr>
        <w:pStyle w:val="normal"/>
      </w:pPr>
      <w:r>
        <w:rPr>
          <w:color w:val="FF0000"/>
        </w:rPr>
        <w:t xml:space="preserve">L'integrazione di questa fonte è motivata dalla necessità di disporre del dato altimetrico per tutte le stazioni meteorologiche MeteoHub, i cui metadati originali non includono tale informazione. La quota altimetrica è indispensabile per il processo di selezione delle stazioni: l'analisi di correlazione ambientale-sanitaria richiede che le misurazioni siano rappresentative delle condizioni di esposizione della popolazione insediata, pertanto le stazioni posizionate in aree montane o in contesti non abitati devono essere escluse dall'aggregazione.</w:t>
      </w:r>
    </w:p>
    <w:p>
      <w:pPr>
        <w:pStyle w:val="normal"/>
      </w:pPr>
      <w:r>
        <w:rPr>
          <w:color w:val="FF0000"/>
        </w:rPr>
        <w:t xml:space="preserve">Il processo di integrazione si articola in un'unica fase di censimento, eseguita all'avvio del sistema o all'aggiunta di nuove stazioni: per ciascuna stazione MeteoHub vengono inviate le coordinate geografiche al servizio in modalità batch, e il valore di quota restituito viene memorizzato in modo permanente nel registro delle stazioni. Una volta completato il censimento, il sistema non necessita di ulteriori interrogazioni esterne per il dato altimetrico, garantendo piena autonomia operativa durante il normale funzionamento. Le stazioni con quota superiore alla soglia definita vengono marcate come non idonee e automaticamente escluse da tutte le interrogazioni successive.</w:t>
      </w:r>
    </w:p>
    <w:p>
      <w:pPr>
        <w:pStyle w:val="Heading3"/>
      </w:pPr>
      <w:r>
        <w:rPr>
          <w:color w:val="FF0000"/>
        </w:rPr>
        <w:t xml:space="preserve">5. ISTAT — Codici Amministrativi di Riferimento</w:t>
      </w:r>
    </w:p>
    <w:p>
      <w:pPr>
        <w:pStyle w:val="Heading4"/>
      </w:pPr>
      <w:r>
        <w:rPr>
          <w:color w:val="FF0000"/>
        </w:rPr>
        <w:t xml:space="preserve">Descrizione Generale</w:t>
      </w:r>
    </w:p>
    <w:p>
      <w:pPr>
        <w:pStyle w:val="normal"/>
      </w:pPr>
      <w:r>
        <w:rPr>
          <w:color w:val="FF0000"/>
        </w:rPr>
        <w:t xml:space="preserve">L'Istituto Nazionale di Statistica (ISTAT) è l'ente pubblico italiano responsabile della produzione e della diffusione dell'informazione statistica ufficiale. Tra i sistemi di riferimento gestiti dall'ISTAT figura la codifica geografica amministrativa del territorio italiano, che assegna a ciascuna unità amministrativa — comune, provincia e regione — un codice numerico univoco, aggiornato in occasione di variazioni territoriali e riforme amministrative. Il codice ISTAT comunale è strutturato gerarchicamente: le prime due cifre identificano la regione, le prime tre identificano la provincia, e il codice completo identifica il singolo comune. Questo sistema è adottato in modo uniforme da tutti i sistemi informativi della pubblica amministrazione italiana, rendendolo lo standard de facto per l'interoperabilità tra basi di dati di provenienza istituzionale diversa.</w:t>
      </w:r>
    </w:p>
    <w:p>
      <w:pPr>
        <w:pStyle w:val="Heading4"/>
      </w:pPr>
      <w:r>
        <w:rPr>
          <w:color w:val="FF0000"/>
        </w:rPr>
        <w:t xml:space="preserve">Utilizzo nel Progetto HealthTrace</w:t>
      </w:r>
    </w:p>
    <w:p>
      <w:pPr>
        <w:pStyle w:val="normal"/>
      </w:pPr>
      <w:r>
        <w:rPr>
          <w:color w:val="FF0000"/>
        </w:rPr>
        <w:t xml:space="preserve">Il codice ISTAT comunale costituisce la chiave di integrazione universale del sistema HealthTrace. Esso è presente in forma coerente in tutte le fonti dati del sistema: nel database sanitario GESAN come attributo geografico di ciascuna segnalazione clinica, e nelle API ambientali ARPAC e MeteoHub come attributo di ciascuna stazione di rilevamento. Questa uniformità elimina la necessità di operazioni di geocoding o di inferenza geografica nel processo di integrazione, consentendo un collegamento diretto e deterministico tra i dati sanitari e i dati ambientali riferiti allo stesso territorio.</w:t>
      </w:r>
    </w:p>
    <w:p>
      <w:pPr>
        <w:pStyle w:val="normal"/>
      </w:pPr>
      <w:r>
        <w:rPr>
          <w:color w:val="FF0000"/>
        </w:rPr>
        <w:t xml:space="preserve">Il livello comunale rappresenta la granularità minima di analisi del sistema. La struttura gerarchica del codice consente di condurre analisi aggregate a livello provinciale e regionale per derivazione diretta, senza necessità di tabelle di corrispondenza aggiuntive. Questa flessibilità è particolarmente rilevante per le analisi di epidemiologia spaziale e per i modelli di autocorrelazione geografica implementati nel sistema, quali l'indice di Moran e la statistica Getis-Ord Gi*.</w:t>
      </w:r>
    </w:p>
    <w:p w:rsidR="00000000" w:rsidDel="00000000" w:rsidP="00000000" w:rsidRDefault="00000000" w:rsidRPr="00000000" w14:paraId="00000007">
      <w:pPr>
        <w:pStyle w:val="Heading2"/>
        <w:jc w:val="both"/>
        <w:rPr/>
      </w:pPr>
      <w:bookmarkStart w:colFirst="0" w:colLast="0" w:name="_20ve64rums0v" w:id="1"/>
      <w:bookmarkEnd w:id="1"/>
      <w:r w:rsidDel="00000000" w:rsidR="00000000" w:rsidRPr="00000000">
        <w:rPr>
          <w:rtl w:val="0"/>
        </w:rPr>
        <w:t xml:space="preserve">Analisi della struttura e del contenuto dei dataset</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Una volta individuate le fonti, è necessario analizzare in dettaglio la struttura dei dataset. Questa analisi riguarda il formato dei dati, che può essere strutturato, semi-strutturato o non strutturato, e il modo in cui le informazioni sono organizzate. Ad esempio, un database relazionale presenta schemi e vincoli ben definiti, mentre file JSON o XML possono avere strutture più flessibili e variabili. Oltre alla struttura, è fondamentale esaminare il contenuto dei dati. Ciò include il significato dei campi, i tipi di dato utilizzati, le unità di misura e le possibili relazioni tra le informazioni. Questa fase consente di individuare eventuali ambiguità semantiche e di chiarire il reale significato dei dati, evitando interpretazioni errate durante le fasi successive di integrazione e analisi.</w:t>
      </w:r>
    </w:p>
    <w:p w:rsidR="00000000" w:rsidDel="00000000" w:rsidP="00000000" w:rsidRDefault="00000000" w:rsidRPr="00000000" w14:paraId="00000009">
      <w:pPr>
        <w:pStyle w:val="Heading2"/>
        <w:spacing w:after="80" w:lineRule="auto"/>
        <w:jc w:val="both"/>
        <w:rPr/>
      </w:pPr>
      <w:bookmarkStart w:colFirst="0" w:colLast="0" w:name="_qcsk6n1ecqf2" w:id="2"/>
      <w:bookmarkEnd w:id="2"/>
      <w:r w:rsidDel="00000000" w:rsidR="00000000" w:rsidRPr="00000000">
        <w:rPr>
          <w:rtl w:val="0"/>
        </w:rPr>
        <w:t xml:space="preserve">Valutazione della qualità dei dati</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Un aspetto centrale nello studio dei dataset è la valutazione della qualità dei dati. I dati possono presentare problemi di incompletezza, incoerenza, duplicazione o obsolescenza, soprattutto quando provengono da sistemi diversi e non progettati per l’integrazione. Identificare queste criticità in fase preliminare permette di pianificare adeguate strategie di pulizia e trasformazione.</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La qualità dei dati influisce direttamente sull’affidabilità delle analisi e delle decisioni che verranno prese sulla base del sistema. Per questo motivo, lo studio dei dataset deve includere una valutazione della frequenza degli errori, della presenza di valori nulli e della coerenza logica delle informazioni, ponendo le basi per un processo di integrazione solido e controllato.</w:t>
      </w:r>
    </w:p>
    <w:p w:rsidR="00000000" w:rsidDel="00000000" w:rsidP="00000000" w:rsidRDefault="00000000" w:rsidRPr="00000000" w14:paraId="0000000C">
      <w:pPr>
        <w:pStyle w:val="Heading3"/>
        <w:spacing w:before="280" w:lineRule="auto"/>
        <w:jc w:val="both"/>
        <w:rPr/>
      </w:pPr>
      <w:bookmarkStart w:colFirst="0" w:colLast="0" w:name="_e558s3adakhq" w:id="3"/>
      <w:bookmarkEnd w:id="3"/>
      <w:r w:rsidDel="00000000" w:rsidR="00000000" w:rsidRPr="00000000">
        <w:rPr>
          <w:rtl w:val="0"/>
        </w:rPr>
        <w:t xml:space="preserve">Integrazione e coerenza tra dataset eterogenei</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Uno degli obiettivi principali dello studio dei dataset è comprendere come i diversi insiemi di dati possano essere integrati tra loro. Dataset provenienti da fonti differenti possono utilizzare codifiche diverse, nomenclature non uniformi o criteri di classificazione differenti per rappresentare la stessa informazione. Senza un’analisi approfondita, queste differenze possono causare incongruenze difficili da risolvere in seguito. Lo studio preliminare consente di individuare chiavi di integrazione, relazioni logiche e corrispondenze semantiche tra i dataset. In questo modo è possibile definire regole di armonizzazione che rendano i dati coerenti e confrontabili all’interno del sistema integrato, migliorando la qualità complessiva dell’informazione.</w:t>
      </w:r>
    </w:p>
    <w:p w:rsidR="00000000" w:rsidDel="00000000" w:rsidP="00000000" w:rsidRDefault="00000000" w:rsidRPr="00000000" w14:paraId="0000000E">
      <w:pPr>
        <w:pStyle w:val="Heading3"/>
        <w:spacing w:before="280" w:lineRule="auto"/>
        <w:jc w:val="both"/>
        <w:rPr/>
      </w:pPr>
      <w:bookmarkStart w:colFirst="0" w:colLast="0" w:name="_tapjy9rdqpg" w:id="4"/>
      <w:bookmarkEnd w:id="4"/>
      <w:r w:rsidDel="00000000" w:rsidR="00000000" w:rsidRPr="00000000">
        <w:rPr>
          <w:rtl w:val="0"/>
        </w:rPr>
        <w:t xml:space="preserve">Aspetti temporali e aggiornamento dei dati</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Un ulteriore elemento da considerare riguarda la dimensione temporale dei dataset. Alcuni dati vengono aggiornati in tempo reale, altri con frequenza giornaliera, settimanale o ancora più sporadica. Comprendere queste dinamiche è essenziale per progettare correttamente i processi di ingestion e integrazione. Lo studio dei dataset deve quindi analizzare la disponibilità storica dei dati, la profondità temporale necessaria per le analisi e le modalità di gestione delle variazioni nel tempo. Questo aspetto è particolarmente rilevante nei sistemi di analisi, dove la storicizzazione delle informazioni consente di osservare trend, evoluzioni e comportamenti nel lungo periodo.</w:t>
      </w:r>
    </w:p>
    <w:p w:rsidR="00000000" w:rsidDel="00000000" w:rsidP="00000000" w:rsidRDefault="00000000" w:rsidRPr="00000000" w14:paraId="00000010">
      <w:pPr>
        <w:pStyle w:val="Heading3"/>
        <w:spacing w:after="240" w:before="240" w:lineRule="auto"/>
        <w:jc w:val="both"/>
        <w:rPr/>
      </w:pPr>
      <w:bookmarkStart w:colFirst="0" w:colLast="0" w:name="_gxmheetwwoa5" w:id="5"/>
      <w:bookmarkEnd w:id="5"/>
      <w:r w:rsidDel="00000000" w:rsidR="00000000" w:rsidRPr="00000000">
        <w:rPr>
          <w:rtl w:val="0"/>
        </w:rPr>
        <w:t xml:space="preserve">Implicazioni per la progettazione del sistema</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I risultati dello studio dei dataset influenzano direttamente le scelte progettuali del sistema. La tipologia dei dati, la loro qualità e il grado di integrazione richiesto determinano le tecnologie da adottare, i modelli di dati da utilizzare e le strategie di trasformazione da implementare. Un’analisi accurata riduce il rischio di modifiche strutturali in fase avanzata del progetto, con conseguente risparmio di tempo e risorse. Inoltre, lo studio dei dataset favorisce una maggiore consapevolezza del patrimonio informativo dell’organizzazione, consentendo di valorizzare al meglio i dati disponibili e di individuare eventuali lacune informative da colmare in futuro.</w:t>
      </w:r>
    </w:p>
    <w:p w:rsidR="00000000" w:rsidDel="00000000" w:rsidP="00000000" w:rsidRDefault="00000000" w:rsidRPr="00000000" w14:paraId="00000012">
      <w:pPr>
        <w:pStyle w:val="Heading2"/>
        <w:spacing w:after="80" w:lineRule="auto"/>
        <w:jc w:val="both"/>
        <w:rPr/>
      </w:pPr>
      <w:bookmarkStart w:colFirst="0" w:colLast="0" w:name="_tx7f67m3hnx8" w:id="6"/>
      <w:bookmarkEnd w:id="6"/>
      <w:r w:rsidDel="00000000" w:rsidR="00000000" w:rsidRPr="00000000">
        <w:rPr>
          <w:rtl w:val="0"/>
        </w:rPr>
        <w:t xml:space="preserve">Data Source Catalog</w:t>
      </w:r>
    </w:p>
    <w:tbl>
      <w:tblPr>
        <w:tblStyle w:val="TableGrid"/>
        <w:tblW w:w="9360" w:type="dxa"/>
      </w:tblPr>
      <w:tr>
        <w:tc>
          <w:p>
            <w:r>
              <w:rPr>
                <w:color w:val="FF0000"/>
                <w:b/>
              </w:rPr>
              <w:t xml:space="preserve">Campo</w:t>
            </w:r>
          </w:p>
        </w:tc>
        <w:tc>
          <w:p>
            <w:r>
              <w:rPr>
                <w:color w:val="FF0000"/>
                <w:b/>
              </w:rPr>
              <w:t xml:space="preserve">GESAN</w:t>
            </w:r>
          </w:p>
        </w:tc>
        <w:tc>
          <w:p>
            <w:r>
              <w:rPr>
                <w:color w:val="FF0000"/>
                <w:b/>
              </w:rPr>
              <w:t xml:space="preserve">ARPAC</w:t>
            </w:r>
          </w:p>
        </w:tc>
        <w:tc>
          <w:p>
            <w:r>
              <w:rPr>
                <w:color w:val="FF0000"/>
                <w:b/>
              </w:rPr>
              <w:t xml:space="preserve">MeteoHub</w:t>
            </w:r>
          </w:p>
        </w:tc>
        <w:tc>
          <w:p>
            <w:r>
              <w:rPr>
                <w:color w:val="FF0000"/>
                <w:b/>
              </w:rPr>
              <w:t xml:space="preserve">OpenTopoData SRTM</w:t>
            </w:r>
          </w:p>
        </w:tc>
      </w:tr>
      <w:tr>
        <w:tc>
          <w:p>
            <w:r>
              <w:rPr>
                <w:color w:val="FF0000"/>
              </w:rPr>
              <w:t xml:space="preserve">Tipo fonte</w:t>
            </w:r>
          </w:p>
        </w:tc>
        <w:tc>
          <w:p>
            <w:r>
              <w:rPr>
                <w:color w:val="FF0000"/>
              </w:rPr>
              <w:t xml:space="preserve">Interna / PostgreSQL</w:t>
            </w:r>
          </w:p>
        </w:tc>
        <w:tc>
          <w:p>
            <w:r>
              <w:rPr>
                <w:color w:val="FF0000"/>
              </w:rPr>
              <w:t xml:space="preserve">Esterna / REST API</w:t>
            </w:r>
          </w:p>
        </w:tc>
        <w:tc>
          <w:p>
            <w:r>
              <w:rPr>
                <w:color w:val="FF0000"/>
              </w:rPr>
              <w:t xml:space="preserve">Esterna / REST API</w:t>
            </w:r>
          </w:p>
        </w:tc>
        <w:tc>
          <w:p>
            <w:r>
              <w:rPr>
                <w:color w:val="FF0000"/>
              </w:rPr>
              <w:t xml:space="preserve">Esterna / REST API</w:t>
            </w:r>
          </w:p>
        </w:tc>
      </w:tr>
      <w:tr>
        <w:tc>
          <w:p>
            <w:r>
              <w:rPr>
                <w:color w:val="FF0000"/>
              </w:rPr>
              <w:t xml:space="preserve">Cadenza dati</w:t>
            </w:r>
          </w:p>
        </w:tc>
        <w:tc>
          <w:p>
            <w:r>
              <w:rPr>
                <w:color w:val="FF0000"/>
              </w:rPr>
              <w:t xml:space="preserve">Per evento (continua)</w:t>
            </w:r>
          </w:p>
        </w:tc>
        <w:tc>
          <w:p>
            <w:r>
              <w:rPr>
                <w:color w:val="FF0000"/>
              </w:rPr>
              <w:t xml:space="preserve">Oraria</w:t>
            </w:r>
          </w:p>
        </w:tc>
        <w:tc>
          <w:p>
            <w:r>
              <w:rPr>
                <w:color w:val="FF0000"/>
              </w:rPr>
              <w:t xml:space="preserve">Al minuto</w:t>
            </w:r>
          </w:p>
        </w:tc>
        <w:tc>
          <w:p>
            <w:r>
              <w:rPr>
                <w:color w:val="FF0000"/>
              </w:rPr>
              <w:t xml:space="preserve">Una tantum per stazione</w:t>
            </w:r>
          </w:p>
        </w:tc>
      </w:tr>
      <w:tr>
        <w:tc>
          <w:p>
            <w:r>
              <w:rPr>
                <w:color w:val="FF0000"/>
              </w:rPr>
              <w:t xml:space="preserve">Granularità geografica</w:t>
            </w:r>
          </w:p>
        </w:tc>
        <w:tc>
          <w:p>
            <w:r>
              <w:rPr>
                <w:color w:val="FF0000"/>
              </w:rPr>
              <w:t xml:space="preserve">Comune ISTAT 6 cifre</w:t>
            </w:r>
          </w:p>
        </w:tc>
        <w:tc>
          <w:p>
            <w:r>
              <w:rPr>
                <w:color w:val="FF0000"/>
              </w:rPr>
              <w:t xml:space="preserve">Stazione + istat_code</w:t>
            </w:r>
          </w:p>
        </w:tc>
        <w:tc>
          <w:p>
            <w:r>
              <w:rPr>
                <w:color w:val="FF0000"/>
              </w:rPr>
              <w:t xml:space="preserve">Stazione + istat_code</w:t>
            </w:r>
          </w:p>
        </w:tc>
        <w:tc>
          <w:p>
            <w:r>
              <w:rPr>
                <w:color w:val="FF0000"/>
              </w:rPr>
              <w:t xml:space="preserve">Punto (lat/lon)</w:t>
            </w:r>
          </w:p>
        </w:tc>
      </w:tr>
      <w:tr>
        <w:tc>
          <w:p>
            <w:r>
              <w:rPr>
                <w:color w:val="FF0000"/>
                <w:b/>
              </w:rPr>
              <w:t xml:space="preserve">Campo di riferimento geografico</w:t>
            </w:r>
          </w:p>
        </w:tc>
        <w:tc>
          <w:p>
            <w:r>
              <w:rPr>
                <w:color w:val="FF0000"/>
              </w:rPr>
              <w:t xml:space="preserve">Codice ISTAT comunale</w:t>
            </w:r>
          </w:p>
        </w:tc>
        <w:tc>
          <w:p>
            <w:r>
              <w:rPr>
                <w:color w:val="FF0000"/>
              </w:rPr>
              <w:t xml:space="preserve">Codice ISTAT comunale</w:t>
            </w:r>
          </w:p>
        </w:tc>
        <w:tc>
          <w:p>
            <w:r>
              <w:rPr>
                <w:color w:val="FF0000"/>
              </w:rPr>
              <w:t xml:space="preserve">Coordinate geografiche</w:t>
            </w:r>
          </w:p>
        </w:tc>
        <w:tc>
          <w:p>
            <w:r>
              <w:rPr>
                <w:color w:val="FF0000"/>
              </w:rPr>
              <w:t xml:space="preserve"/>
            </w:r>
          </w:p>
        </w:tc>
      </w:tr>
      <w:tr>
        <w:tc>
          <w:p>
            <w:r>
              <w:rPr>
                <w:color w:val="FF0000"/>
                <w:b/>
              </w:rPr>
              <w:t xml:space="preserve">Campo di riferimento temporale</w:t>
            </w:r>
          </w:p>
        </w:tc>
        <w:tc>
          <w:p>
            <w:r>
              <w:rPr>
                <w:color w:val="FF0000"/>
              </w:rPr>
              <w:t xml:space="preserve">Data insorgenza sintomi</w:t>
            </w:r>
          </w:p>
        </w:tc>
        <w:tc>
          <w:p>
            <w:r>
              <w:rPr>
                <w:color w:val="FF0000"/>
              </w:rPr>
              <w:t xml:space="preserve">Finestra temporale della richiesta</w:t>
            </w:r>
          </w:p>
        </w:tc>
        <w:tc>
          <w:p>
            <w:r>
              <w:rPr>
                <w:color w:val="FF0000"/>
              </w:rPr>
              <w:t xml:space="preserve">N/A</w:t>
            </w:r>
          </w:p>
        </w:tc>
        <w:tc>
          <w:p>
            <w:r>
              <w:rPr>
                <w:color w:val="FF0000"/>
              </w:rPr>
              <w:t xml:space="preserve"/>
            </w:r>
          </w:p>
        </w:tc>
      </w:tr>
      <w:tr>
        <w:tc>
          <w:p>
            <w:r>
              <w:rPr>
                <w:color w:val="FF0000"/>
              </w:rPr>
              <w:t xml:space="preserve">Storico disponibile</w:t>
            </w:r>
          </w:p>
        </w:tc>
        <w:tc>
          <w:p>
            <w:r>
              <w:rPr>
                <w:color w:val="FF0000"/>
              </w:rPr>
              <w:t xml:space="preserve">Gen 2024 – Feb 2026</w:t>
            </w:r>
          </w:p>
        </w:tc>
        <w:tc>
          <w:p>
            <w:r>
              <w:rPr>
                <w:color w:val="FF0000"/>
              </w:rPr>
              <w:t xml:space="preserve">Variabile (data_from sensore)</w:t>
            </w:r>
          </w:p>
        </w:tc>
        <w:tc>
          <w:p>
            <w:r>
              <w:rPr>
                <w:color w:val="FF0000"/>
              </w:rPr>
              <w:t xml:space="preserve">Variabile (data_from sensore)</w:t>
            </w:r>
          </w:p>
        </w:tc>
        <w:tc>
          <w:p>
            <w:r>
              <w:rPr>
                <w:color w:val="FF0000"/>
              </w:rPr>
              <w:t xml:space="preserve">Permanente</w:t>
            </w:r>
          </w:p>
        </w:tc>
      </w:tr>
      <w:tr>
        <w:tc>
          <w:p>
            <w:r>
              <w:rPr>
                <w:color w:val="FF0000"/>
              </w:rPr>
              <w:t xml:space="preserve">Parametri chiave</w:t>
            </w:r>
          </w:p>
        </w:tc>
        <w:tc>
          <w:p>
            <w:r>
              <w:rPr>
                <w:color w:val="FF0000"/>
              </w:rPr>
              <w:t xml:space="preserve">malattia_segnalata, data_inizio_sintomi, comune_inizio_sintomi_istat</w:t>
            </w:r>
          </w:p>
        </w:tc>
        <w:tc>
          <w:p>
            <w:r>
              <w:rPr>
                <w:color w:val="FF0000"/>
              </w:rPr>
              <w:t xml:space="preserve">NO2, PM2,5, O3, SO2, CO</w:t>
            </w:r>
          </w:p>
        </w:tc>
        <w:tc>
          <w:p>
            <w:r>
              <w:rPr>
                <w:color w:val="FF0000"/>
              </w:rPr>
              <w:t xml:space="preserve">Temperatura, Precipitazioni, Umidità, Vento</w:t>
            </w:r>
          </w:p>
        </w:tc>
        <w:tc>
          <w:p>
            <w:r>
              <w:rPr>
                <w:color w:val="FF0000"/>
              </w:rPr>
              <w:t xml:space="preserve">elevation (m s.l.m.)</w:t>
            </w:r>
          </w:p>
        </w:tc>
      </w:tr>
      <w:tr>
        <w:tc>
          <w:p>
            <w:r>
              <w:rPr>
                <w:color w:val="FF0000"/>
                <w:b/>
              </w:rPr>
              <w:t xml:space="preserve">Filtri applicati</w:t>
            </w:r>
          </w:p>
        </w:tc>
        <w:tc>
          <w:p>
            <w:r>
              <w:rPr>
                <w:color w:val="FF0000"/>
              </w:rPr>
              <w:t xml:space="preserve">Le segnalazioni vengono selezionate limitatamente alle tre patologie infettive target del progetto: Influenza, Legionellosi ed Epatite A.</w:t>
            </w:r>
          </w:p>
        </w:tc>
        <w:tc>
          <w:p>
            <w:r>
              <w:rPr>
                <w:color w:val="FF0000"/>
              </w:rPr>
              <w:t xml:space="preserve">Vengono incluse esclusivamente misurazioni validate dalla rete di monitoraggio, con esclusione dei valori fuori range. Sul piano geografico, sono considerate unicamente le stazioni di tipo urbano e di traffico posizionate al di sotto della soglia altimetrica definita.</w:t>
            </w:r>
          </w:p>
        </w:tc>
        <w:tc>
          <w:p>
            <w:r>
              <w:rPr>
                <w:color w:val="FF0000"/>
              </w:rPr>
              <w:t xml:space="preserve">Vengono escluse le misurazioni fuori range fisico. Sul piano geografico, sono considerate unicamente le stazioni la cui quota altimetrica, calcolata tramite modello digitale del terreno, risulta inferiore alla soglia definita per i contesti abitati.</w:t>
            </w:r>
          </w:p>
        </w:tc>
        <w:tc>
          <w:p>
            <w:r>
              <w:rPr>
                <w:color w:val="FF0000"/>
              </w:rPr>
              <w:t xml:space="preserve">Nessun filtro applicato. Il servizio viene interrogato per tutte le stazioni di cui sono disponibili le coordinate geografiche.</w:t>
            </w:r>
          </w:p>
        </w:tc>
      </w:tr>
      <w:tr>
        <w:tc>
          <w:p>
            <w:r>
              <w:rPr>
                <w:color w:val="FF0000"/>
              </w:rPr>
              <w:t xml:space="preserve">Aggregazione</w:t>
            </w:r>
          </w:p>
        </w:tc>
        <w:tc>
          <w:p>
            <w:r>
              <w:rPr>
                <w:color w:val="FF0000"/>
              </w:rPr>
              <w:t xml:space="preserve">Conteggio casi per istat_code/mese</w:t>
            </w:r>
          </w:p>
        </w:tc>
        <w:tc>
          <w:p>
            <w:r>
              <w:rPr>
                <w:color w:val="FF0000"/>
              </w:rPr>
              <w:t xml:space="preserve">IDW multi-stazione per istat_code</w:t>
            </w:r>
          </w:p>
        </w:tc>
        <w:tc>
          <w:p>
            <w:r>
              <w:rPr>
                <w:color w:val="FF0000"/>
              </w:rPr>
              <w:t xml:space="preserve">IDW multi-stazione per istat_code</w:t>
            </w:r>
          </w:p>
        </w:tc>
        <w:tc>
          <w:p>
            <w:r>
              <w:rPr>
                <w:color w:val="FF0000"/>
              </w:rPr>
              <w:t xml:space="preserve">Valore puntuale</w:t>
            </w:r>
          </w:p>
        </w:tc>
      </w:tr>
      <w:tr>
        <w:tc>
          <w:p>
            <w:r>
              <w:rPr>
                <w:color w:val="FF0000"/>
                <w:b/>
              </w:rPr>
              <w:t xml:space="preserve">Problema noto 1</w:t>
            </w:r>
          </w:p>
        </w:tc>
        <w:tc>
          <w:p>
            <w:r>
              <w:rPr>
                <w:color w:val="FF0000"/>
              </w:rPr>
              <w:t xml:space="preserve">Una porzione delle segnalazioni cliniche presenta comune di insorgenza dei sintomi diverso dal comune di residenza del paziente, rendendo il comune di residenza non sempre rappresentativo del luogo di esposizione ambientale.</w:t>
            </w:r>
          </w:p>
        </w:tc>
        <w:tc>
          <w:p>
            <w:r>
              <w:rPr>
                <w:color w:val="FF0000"/>
              </w:rPr>
              <w:t xml:space="preserve">La classificazione "FONDO" non distingue tra stazioni di background urbano e stazioni di background rurale remoto, rendendo potenzialmente non rappresentativa la misura rispetto alla popolazione esposta.</w:t>
            </w:r>
          </w:p>
        </w:tc>
        <w:tc>
          <w:p>
            <w:r>
              <w:rPr>
                <w:color w:val="FF0000"/>
              </w:rPr>
              <w:t xml:space="preserve">La quota altimetrica delle stazioni non è inclusa nei metadati originali dell'API, impedendo l'esclusione automatica di stazioni posizionate in aree montane non abitate.</w:t>
            </w:r>
          </w:p>
        </w:tc>
        <w:tc>
          <w:p>
            <w:r>
              <w:rPr>
                <w:color w:val="FF0000"/>
              </w:rPr>
              <w:t xml:space="preserve">Il calcolo della quota altimetrica richiede connettività verso un servizio esterno durante la fase iniziale di censimento delle stazioni.</w:t>
            </w:r>
          </w:p>
        </w:tc>
      </w:tr>
      <w:tr>
        <w:tc>
          <w:p>
            <w:r>
              <w:rPr>
                <w:color w:val="FF0000"/>
                <w:b/>
              </w:rPr>
              <w:t xml:space="preserve">Soluzione adottata 1</w:t>
            </w:r>
          </w:p>
        </w:tc>
        <w:tc>
          <w:p>
            <w:r>
              <w:rPr>
                <w:color w:val="FF0000"/>
              </w:rPr>
              <w:t xml:space="preserve">Il sistema utilizza il comune di insorgenza dei sintomi come riferimento geografico per il matching con i dati ambientali, in quanto rappresenta il luogo di effettiva esposizione del paziente al momento dell'evento clinico.</w:t>
            </w:r>
          </w:p>
        </w:tc>
        <w:tc>
          <w:p>
            <w:r>
              <w:rPr>
                <w:color w:val="FF0000"/>
              </w:rPr>
              <w:t xml:space="preserve">Viene applicato un filtro aggiuntivo sulla quota altimetrica della stazione: vengono incluse esclusivamente le stazioni con quota inferiore a cinquecento metri sul livello del mare, utilizzando tale soglia come proxy del contesto urbano e periurbano.</w:t>
            </w:r>
          </w:p>
        </w:tc>
        <w:tc>
          <w:p>
            <w:r>
              <w:rPr>
                <w:color w:val="FF0000"/>
              </w:rPr>
              <w:t xml:space="preserve">La quota altimetrica viene calcolata a partire dalle coordinate geografiche di ciascuna stazione tramite interrogazione di un modello digitale del terreno e memorizzata in modo permanente nel sistema durante la fase di censimento iniziale.</w:t>
            </w:r>
          </w:p>
        </w:tc>
        <w:tc>
          <w:p>
            <w:r>
              <w:rPr>
                <w:color w:val="FF0000"/>
              </w:rPr>
              <w:t xml:space="preserve">L'interrogazione viene eseguita in modalità batch durante il censimento iniziale e il risultato viene persistito, eliminando la dipendenza dalla connettività esterna durante il normale funzionamento del sistema.</w:t>
            </w:r>
          </w:p>
        </w:tc>
      </w:tr>
      <w:tr>
        <w:tc>
          <w:p>
            <w:r>
              <w:rPr>
                <w:color w:val="FF0000"/>
                <w:b/>
              </w:rPr>
              <w:t xml:space="preserve">Problema noto 2</w:t>
            </w:r>
          </w:p>
        </w:tc>
        <w:tc>
          <w:p>
            <w:r>
              <w:rPr>
                <w:color w:val="FF0000"/>
              </w:rPr>
              <w:t xml:space="preserve">Esiste un ritardo sistematico tra la data di insorgenza dei sintomi e la data di segnalazione clinica al sistema di sorveglianza. Utilizzare la data di segnalazione come riferimento temporale introduce uno sfasamento nella correlazione con i dati ambientali.</w:t>
            </w:r>
          </w:p>
        </w:tc>
        <w:tc>
          <w:p>
            <w:r>
              <w:rPr>
                <w:color w:val="FF0000"/>
              </w:rPr>
              <w:t xml:space="preserve">Le serie storiche delle stazioni possono contenere valori anomali che, se inclusi nel calcolo delle statistiche aggregate, alterano significativamente i risultati, rendendo le medie non rappresentative delle condizioni reali di esposizione.</w:t>
            </w:r>
          </w:p>
        </w:tc>
        <w:tc>
          <w:p>
            <w:r>
              <w:rPr>
                <w:color w:val="FF0000"/>
              </w:rPr>
              <w:t xml:space="preserve">Le stazioni MeteoHub non dispongono di un campo di validazione esplicito paragonabile a quello presente nelle stazioni ARPAC, richiedendo una strategia alternativa per il controllo della qualità dei dati.</w:t>
            </w:r>
          </w:p>
        </w:tc>
        <w:tc>
          <w:p>
            <w:r>
              <w:rPr>
                <w:color w:val="FF0000"/>
              </w:rPr>
              <w:t xml:space="preserve">N/A</w:t>
            </w:r>
          </w:p>
        </w:tc>
      </w:tr>
      <w:tr>
        <w:tc>
          <w:p>
            <w:r>
              <w:rPr>
                <w:color w:val="FF0000"/>
                <w:b/>
              </w:rPr>
              <w:t xml:space="preserve">Soluzione adottata 2</w:t>
            </w:r>
          </w:p>
        </w:tc>
        <w:tc>
          <w:p>
            <w:r>
              <w:rPr>
                <w:color w:val="FF0000"/>
              </w:rPr>
              <w:t xml:space="preserve">Il sistema utilizza la data di insorgenza dei sintomi come riferimento temporale per la costruzione della finestra di esposizione ambientale, garantendo la coerenza epidemiologica tra il momento dell'evento clinico e le condizioni ambientali ad esso associate.</w:t>
            </w:r>
          </w:p>
        </w:tc>
        <w:tc>
          <w:p>
            <w:r>
              <w:rPr>
                <w:color w:val="FF0000"/>
              </w:rPr>
              <w:t xml:space="preserve">Viene attivato il meccanismo di filtraggio per range in tutte le richieste di statistiche aggregate, in modo che i valori anomali siano esclusi dal calcolo della media e degli altri indicatori statistici restituiti dall'API.</w:t>
            </w:r>
          </w:p>
        </w:tc>
        <w:tc>
          <w:p>
            <w:r>
              <w:rPr>
                <w:color w:val="FF0000"/>
              </w:rPr>
              <w:t xml:space="preserve">Viene applicato il filtraggio per range fisicamente plausibili dei parametri meteorologici, escludendo automaticamente i valori che eccedono le soglie minime e massime attese per ciascuna variabile misurata.</w:t>
            </w:r>
          </w:p>
        </w:tc>
        <w:tc>
          <w:p>
            <w:r>
              <w:rPr>
                <w:color w:val="FF0000"/>
              </w:rPr>
              <w:t xml:space="preserve">N/A</w:t>
            </w:r>
          </w:p>
        </w:tc>
      </w:tr>
      <w:tr>
        <w:tc>
          <w:p>
            <w:r>
              <w:rPr>
                <w:color w:val="FF0000"/>
              </w:rPr>
              <w:t xml:space="preserve">Unità output</w:t>
            </w:r>
          </w:p>
        </w:tc>
        <w:tc>
          <w:p>
            <w:r>
              <w:rPr>
                <w:color w:val="FF0000"/>
              </w:rPr>
              <w:t xml:space="preserve">N/A</w:t>
            </w:r>
          </w:p>
        </w:tc>
        <w:tc>
          <w:p>
            <w:r>
              <w:rPr>
                <w:color w:val="FF0000"/>
              </w:rPr>
              <w:t xml:space="preserve">µg/m³ (inquinanti)</w:t>
            </w:r>
          </w:p>
        </w:tc>
        <w:tc>
          <w:p>
            <w:r>
              <w:rPr>
                <w:color w:val="FF0000"/>
              </w:rPr>
              <w:t xml:space="preserve">°C, mm, %, m/s</w:t>
            </w:r>
          </w:p>
        </w:tc>
        <w:tc>
          <w:p>
            <w:r>
              <w:rPr>
                <w:color w:val="FF0000"/>
              </w:rPr>
              <w:t xml:space="preserve">m s.l.m.</w:t>
            </w:r>
          </w:p>
        </w:tc>
      </w:tr>
    </w:tbl>
    <w:p w:rsidR="00000000" w:rsidDel="00000000" w:rsidP="00000000" w:rsidRDefault="00000000" w:rsidRPr="00000000" w14:paraId="00000014">
      <w:pPr>
        <w:spacing w:after="240" w:before="240" w:lineRule="auto"/>
        <w:jc w:val="both"/>
        <w:rPr/>
      </w:pPr>
      <w:r w:rsidDel="00000000" w:rsidR="00000000" w:rsidRPr="00000000">
        <w:rPr>
          <w:rtl w:val="0"/>
        </w:rPr>
        <w:t xml:space="preserve">Questa fase si traduce nella creazione di un </w:t>
      </w:r>
      <w:r w:rsidDel="00000000" w:rsidR="00000000" w:rsidRPr="00000000">
        <w:rPr>
          <w:b w:val="1"/>
          <w:bCs w:val="1"/>
          <w:rtl w:val="0"/>
        </w:rPr>
        <w:t xml:space="preserve">Data Source Catalog</w:t>
      </w:r>
      <w:r w:rsidDel="00000000" w:rsidR="00000000" w:rsidRPr="00000000">
        <w:rPr>
          <w:rtl w:val="0"/>
        </w:rPr>
        <w:t xml:space="preserve"> che definisce i contratti di integrazione per ciascuna fonte esterna.</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L'acquisizione dei dati ambientali non può essere indiscriminata, ma deve essere focalizzata sui fattori di rischio epidemiologicamente rilevanti</w:t>
      </w:r>
    </w:p>
    <w:p w:rsidR="00000000" w:rsidDel="00000000" w:rsidP="00000000" w:rsidRDefault="00000000" w:rsidRPr="00000000" w14:paraId="00000016">
      <w:pPr>
        <w:numPr>
          <w:ilvl w:val="0"/>
          <w:numId w:val="2"/>
        </w:numPr>
        <w:spacing w:after="0" w:afterAutospacing="0" w:lineRule="auto"/>
        <w:ind w:left="720" w:hanging="360"/>
        <w:jc w:val="both"/>
        <w:rPr/>
      </w:pPr>
      <w:r w:rsidDel="00000000" w:rsidR="00000000" w:rsidRPr="00000000">
        <w:rPr>
          <w:b w:val="1"/>
          <w:bCs w:val="1"/>
          <w:rtl w:val="0"/>
        </w:rPr>
        <w:t xml:space="preserve">Imposizione di Granularità Temporale Standardizzata:</w:t>
      </w:r>
      <w:r w:rsidDel="00000000" w:rsidR="00000000" w:rsidRPr="00000000">
        <w:rPr>
          <w:rtl w:val="0"/>
        </w:rPr>
        <w:t xml:space="preserve"> La correlazione tra un evento ambientale e una diagnosi clinica (che è un evento discreto) richiede che i dati ambientali siano resi omogenei. Viene imposto uno standard di </w:t>
      </w:r>
      <w:r w:rsidDel="00000000" w:rsidR="00000000" w:rsidRPr="00000000">
        <w:rPr>
          <w:b w:val="1"/>
          <w:bCs w:val="1"/>
          <w:rtl w:val="0"/>
        </w:rPr>
        <w:t xml:space="preserve">granularità oraria o sub-giornaliera</w:t>
      </w:r>
      <w:r w:rsidDel="00000000" w:rsidR="00000000" w:rsidRPr="00000000">
        <w:rPr>
          <w:rtl w:val="0"/>
        </w:rPr>
        <w:t xml:space="preserve"> per i dati ad alta frequenza (es. inquinanti e temperatura), consentendo la ricostruzione precisa della </w:t>
      </w:r>
      <w:r w:rsidDel="00000000" w:rsidR="00000000" w:rsidRPr="00000000">
        <w:rPr>
          <w:b w:val="1"/>
          <w:bCs w:val="1"/>
          <w:rtl w:val="0"/>
        </w:rPr>
        <w:t xml:space="preserve">finestra di esposizione</w:t>
      </w:r>
      <w:r w:rsidDel="00000000" w:rsidR="00000000" w:rsidRPr="00000000">
        <w:rPr>
          <w:rtl w:val="0"/>
        </w:rPr>
        <w:t xml:space="preserve"> del paziente prima della segnalazione.</w:t>
      </w:r>
    </w:p>
    <w:p w:rsidR="00000000" w:rsidDel="00000000" w:rsidP="00000000" w:rsidRDefault="00000000" w:rsidRPr="00000000" w14:paraId="00000017">
      <w:pPr>
        <w:numPr>
          <w:ilvl w:val="0"/>
          <w:numId w:val="2"/>
        </w:numPr>
        <w:spacing w:after="0" w:afterAutospacing="0" w:before="0" w:beforeAutospacing="0" w:lineRule="auto"/>
        <w:ind w:left="720" w:hanging="360"/>
        <w:jc w:val="both"/>
        <w:rPr/>
      </w:pPr>
      <w:r w:rsidDel="00000000" w:rsidR="00000000" w:rsidRPr="00000000">
        <w:rPr>
          <w:b w:val="1"/>
          <w:bCs w:val="1"/>
          <w:rtl w:val="0"/>
        </w:rPr>
        <w:t xml:space="preserve">Allineamento Spaziale Obbligatorio:</w:t>
      </w:r>
      <w:r w:rsidDel="00000000" w:rsidR="00000000" w:rsidRPr="00000000">
        <w:rPr>
          <w:rtl w:val="0"/>
        </w:rPr>
        <w:t xml:space="preserve"> Tutte le misurazioni devono essere georeferenziate. Se la fonte fornisce solo coordinate GPS (punti), è necessario mappare queste coordinate ai </w:t>
      </w:r>
      <w:r w:rsidDel="00000000" w:rsidR="00000000" w:rsidRPr="00000000">
        <w:rPr>
          <w:b w:val="1"/>
          <w:bCs w:val="1"/>
          <w:rtl w:val="0"/>
        </w:rPr>
        <w:t xml:space="preserve">poligoni amministrativi</w:t>
      </w:r>
      <w:r w:rsidDel="00000000" w:rsidR="00000000" w:rsidRPr="00000000">
        <w:rPr>
          <w:rtl w:val="0"/>
        </w:rPr>
        <w:t xml:space="preserve"> (es. Comune, Provincia) che definiscono la Dim_Location condivisa.</w:t>
      </w:r>
    </w:p>
    <w:p w:rsidR="00000000" w:rsidDel="00000000" w:rsidP="00000000" w:rsidRDefault="00000000" w:rsidRPr="00000000" w14:paraId="00000018">
      <w:pPr>
        <w:numPr>
          <w:ilvl w:val="0"/>
          <w:numId w:val="2"/>
        </w:numPr>
        <w:spacing w:after="0" w:afterAutospacing="0" w:before="0" w:beforeAutospacing="0" w:lineRule="auto"/>
        <w:ind w:left="720" w:hanging="360"/>
        <w:jc w:val="both"/>
        <w:rPr/>
      </w:pPr>
      <w:r w:rsidDel="00000000" w:rsidR="00000000" w:rsidRPr="00000000">
        <w:rPr>
          <w:b w:val="1"/>
          <w:bCs w:val="1"/>
          <w:rtl w:val="0"/>
        </w:rPr>
        <w:t xml:space="preserve">Normalizzazione Semantica:</w:t>
      </w:r>
      <w:r w:rsidDel="00000000" w:rsidR="00000000" w:rsidRPr="00000000">
        <w:rPr>
          <w:rtl w:val="0"/>
        </w:rPr>
        <w:t xml:space="preserve"> È progettata una fase di pre-trasformazione per risolvere le incongruenze di formato:</w:t>
      </w:r>
    </w:p>
    <w:p w:rsidR="00000000" w:rsidDel="00000000" w:rsidP="00000000" w:rsidRDefault="00000000" w:rsidRPr="00000000" w14:paraId="00000019">
      <w:pPr>
        <w:numPr>
          <w:ilvl w:val="1"/>
          <w:numId w:val="1"/>
        </w:numPr>
        <w:spacing w:after="0" w:afterAutospacing="0" w:before="0" w:beforeAutospacing="0" w:lineRule="auto"/>
        <w:ind w:left="1440" w:hanging="360"/>
        <w:jc w:val="both"/>
        <w:rPr/>
      </w:pPr>
      <w:r w:rsidDel="00000000" w:rsidR="00000000" w:rsidRPr="00000000">
        <w:rPr>
          <w:b w:val="1"/>
          <w:bCs w:val="1"/>
          <w:rtl w:val="0"/>
        </w:rPr>
        <w:t xml:space="preserve">Unità di Misura:</w:t>
      </w:r>
      <w:r w:rsidDel="00000000" w:rsidR="00000000" w:rsidRPr="00000000">
        <w:rPr>
          <w:rtl w:val="0"/>
        </w:rPr>
        <w:t xml:space="preserve"> Conversione forzata in un set di unità standardizzato (es. tutte le concentrazioni di particolato in µg/m³).</w:t>
      </w:r>
    </w:p>
    <w:p w:rsidR="00000000" w:rsidDel="00000000" w:rsidP="00000000" w:rsidRDefault="00000000" w:rsidRPr="00000000" w14:paraId="0000001A">
      <w:pPr>
        <w:numPr>
          <w:ilvl w:val="1"/>
          <w:numId w:val="1"/>
        </w:numPr>
        <w:spacing w:after="240" w:before="0" w:beforeAutospacing="0" w:lineRule="auto"/>
        <w:ind w:left="1440" w:hanging="360"/>
        <w:jc w:val="both"/>
        <w:rPr/>
      </w:pPr>
      <w:r w:rsidDel="00000000" w:rsidR="00000000" w:rsidRPr="00000000">
        <w:rPr>
          <w:b w:val="1"/>
          <w:bCs w:val="1"/>
          <w:rtl w:val="0"/>
        </w:rPr>
        <w:t xml:space="preserve">Codifiche:</w:t>
      </w:r>
      <w:r w:rsidDel="00000000" w:rsidR="00000000" w:rsidRPr="00000000">
        <w:rPr>
          <w:rtl w:val="0"/>
        </w:rPr>
        <w:t xml:space="preserve"> Mappatura dei codici di inquinanti originali (es. codice ARPA) al codice interno standardizzato del DWH (Pollutant_BK).</w:t>
      </w:r>
    </w:p>
    <w:p w:rsidR="00000000" w:rsidDel="00000000" w:rsidP="00000000" w:rsidRDefault="00000000" w:rsidRPr="00000000" w14:paraId="0000001B">
      <w:pPr>
        <w:pStyle w:val="Heading2"/>
        <w:spacing w:after="80" w:lineRule="auto"/>
        <w:jc w:val="both"/>
        <w:rPr/>
      </w:pPr>
      <w:bookmarkStart w:colFirst="0" w:colLast="0" w:name="_clwfx21dhw6o" w:id="7"/>
      <w:bookmarkEnd w:id="7"/>
      <w:r w:rsidDel="00000000" w:rsidR="00000000" w:rsidRPr="00000000">
        <w:rPr>
          <w:rtl w:val="0"/>
        </w:rPr>
        <w:t xml:space="preserve">Rilevanza del singolo dati per le patologie oggetto di Studio</w:t>
      </w:r>
    </w:p>
    <w:p w:rsidR="00000000" w:rsidDel="00000000" w:rsidP="00000000" w:rsidRDefault="00000000" w:rsidRPr="00000000" w14:paraId="0000001C">
      <w:pPr>
        <w:numPr>
          <w:ilvl w:val="0"/>
          <w:numId w:val="3"/>
        </w:numPr>
        <w:spacing w:after="0" w:afterAutospacing="0" w:lineRule="auto"/>
        <w:ind w:left="720" w:hanging="360"/>
        <w:jc w:val="both"/>
      </w:pPr>
      <w:r w:rsidDel="00000000" w:rsidR="00000000" w:rsidRPr="00000000">
        <w:rPr>
          <w:b w:val="1"/>
          <w:bCs w:val="1"/>
          <w:rtl w:val="0"/>
        </w:rPr>
        <w:t xml:space="preserve">Dati Atmosferici (Aria):</w:t>
      </w:r>
      <w:r w:rsidDel="00000000" w:rsidR="00000000" w:rsidRPr="00000000">
        <w:rPr>
          <w:rtl w:val="0"/>
        </w:rPr>
        <w:t xml:space="preserve"> Si focalizza su </w:t>
      </w:r>
      <w:r w:rsidDel="00000000" w:rsidR="00000000" w:rsidRPr="00000000">
        <w:rPr>
          <w:b w:val="1"/>
          <w:bCs w:val="1"/>
          <w:rtl w:val="0"/>
        </w:rPr>
        <w:t xml:space="preserve">PM10, O3, NO2</w:t>
      </w:r>
      <w:r w:rsidDel="00000000" w:rsidR="00000000" w:rsidRPr="00000000">
        <w:rPr>
          <w:rtl w:val="0"/>
        </w:rPr>
        <w:t xml:space="preserve"> e altri inquinanti, acquisiti via API (ove disponibili) da reti di monitoraggio. Questi dati sono predittori noti per l'acutizzazione di patologie respiratorie (es. Influenza).</w:t>
      </w:r>
    </w:p>
    <w:p w:rsidR="00000000" w:rsidDel="00000000" w:rsidP="00000000" w:rsidRDefault="00000000" w:rsidRPr="00000000" w14:paraId="0000001D">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Dati Idrici:</w:t>
      </w:r>
      <w:r w:rsidDel="00000000" w:rsidR="00000000" w:rsidRPr="00000000">
        <w:rPr>
          <w:rtl w:val="0"/>
        </w:rPr>
        <w:t xml:space="preserve"> Si acquisiscono i parametri rilevanti per le patologie a trasmissione idrica, in particolare i valori di </w:t>
      </w:r>
      <w:r w:rsidDel="00000000" w:rsidR="00000000" w:rsidRPr="00000000">
        <w:rPr>
          <w:b w:val="1"/>
          <w:bCs w:val="1"/>
          <w:rtl w:val="0"/>
        </w:rPr>
        <w:t xml:space="preserve">E. coli, pH, e la Temperatura dell'acqua</w:t>
      </w:r>
      <w:r w:rsidDel="00000000" w:rsidR="00000000" w:rsidRPr="00000000">
        <w:rPr>
          <w:rtl w:val="0"/>
        </w:rPr>
        <w:t xml:space="preserve">. Quest'ultima è un fattore critico per la proliferazione della Legionella.</w:t>
      </w:r>
    </w:p>
    <w:p w:rsidR="00000000" w:rsidDel="00000000" w:rsidP="00000000" w:rsidRDefault="00000000" w:rsidRPr="00000000" w14:paraId="0000001E">
      <w:pPr>
        <w:numPr>
          <w:ilvl w:val="0"/>
          <w:numId w:val="3"/>
        </w:numPr>
        <w:spacing w:after="240" w:before="0" w:beforeAutospacing="0" w:lineRule="auto"/>
        <w:ind w:left="720" w:hanging="360"/>
        <w:jc w:val="both"/>
      </w:pPr>
      <w:r w:rsidDel="00000000" w:rsidR="00000000" w:rsidRPr="00000000">
        <w:rPr>
          <w:b w:val="1"/>
          <w:bCs w:val="1"/>
          <w:rtl w:val="0"/>
        </w:rPr>
        <w:t xml:space="preserve">Dati Climatici:</w:t>
      </w:r>
      <w:r w:rsidDel="00000000" w:rsidR="00000000" w:rsidRPr="00000000">
        <w:rPr>
          <w:rtl w:val="0"/>
        </w:rPr>
        <w:t xml:space="preserve"> Dati meteorologici (Temperatura, Precipitazioni, Umidità) sono fondamentali come </w:t>
      </w:r>
      <w:r w:rsidDel="00000000" w:rsidR="00000000" w:rsidRPr="00000000">
        <w:rPr>
          <w:b w:val="1"/>
          <w:bCs w:val="1"/>
          <w:rtl w:val="0"/>
        </w:rPr>
        <w:t xml:space="preserve">variabili modulanti</w:t>
      </w:r>
      <w:r w:rsidDel="00000000" w:rsidR="00000000" w:rsidRPr="00000000">
        <w:rPr>
          <w:rtl w:val="0"/>
        </w:rPr>
        <w:t xml:space="preserve"> e vengono acquisiti in serie storiche per modellare l'influenza del clima sui cicli di vita dei patogeni.</w:t>
      </w:r>
    </w:p>
    <w:p w:rsidR="00000000" w:rsidDel="00000000" w:rsidP="00000000" w:rsidRDefault="00000000" w:rsidRPr="00000000" w14:paraId="0000001F">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