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Tecniche di data Analytics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L'efficacia del sistema HealthTrace risiede nella sua capacità di trasformare dati grezzi in conoscenza operativa attraverso l'applicazione di avanzate tecniche di Data Analytics. In questa sezione vengono analizzati i complessi algoritmi di classificazione, regressione e predizione che costituiscono il motore analitico della piattaforma.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L'architettura analitica è stata progettata per affrontare la multidimensionalità del dato sanitario, integrando variabili cliniche con matrici ambientali e temporali. L'obiettivo è duplice: da un lato, fornire una descrizione accurata dello stato attuale della salute pubblica; dall'altro, generare modelli previsionali capaci di anticipare l'insorgenza di focolai infettivi, garantendo un supporto decisionale tempestivo basato su evidenze matematiche e statistiche rigorose.</w:t>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yco9tticsarr" w:id="0"/>
      <w:bookmarkEnd w:id="0"/>
      <w:r w:rsidDel="00000000" w:rsidR="00000000" w:rsidRPr="00000000">
        <w:rPr>
          <w:b w:val="1"/>
          <w:bCs w:val="1"/>
          <w:sz w:val="34"/>
          <w:szCs w:val="34"/>
          <w:rtl w:val="0"/>
        </w:rPr>
        <w:t xml:space="preserve">Generalized Additive Models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Per l'analisi delle correlazioni complesse tra i dati sanitari e le matrici ambientali, il sistema HealthTrace adotta i </w:t>
      </w:r>
      <w:r w:rsidDel="00000000" w:rsidR="00000000" w:rsidRPr="00000000">
        <w:rPr>
          <w:b w:val="1"/>
          <w:bCs w:val="1"/>
          <w:rtl w:val="0"/>
        </w:rPr>
        <w:t xml:space="preserve">Generalized Additive Models (GAM)</w:t>
      </w:r>
      <w:r w:rsidDel="00000000" w:rsidR="00000000" w:rsidRPr="00000000">
        <w:rPr>
          <w:rtl w:val="0"/>
        </w:rPr>
        <w:t xml:space="preserve">. Tali modelli rappresentano un'estensione dei modelli lineari generalizzati (GLM), permettendo di catturare dipendenze non lineari altamente flessibili senza dover definire a priori la forma funzionale della relazione.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Il framework matematico del modello GAM implementato nel progetto può essere espresso mediante la seguente equazione:</w:t>
      </w:r>
    </w:p>
    <w:p w:rsidR="00000000" w:rsidDel="00000000" w:rsidP="00000000" w:rsidRDefault="00000000" w:rsidRPr="00000000" w14:paraId="00000007">
      <w:pPr>
        <w:spacing w:after="240" w:before="240" w:lineRule="auto"/>
        <w:jc w:val="both"/>
        <w:rPr/>
      </w:pPr>
      <w:r w:rsidDel="00000000" w:rsidR="00000000" w:rsidRPr="00000000">
        <w:rPr/>
        <w:drawing>
          <wp:inline distB="114300" distT="114300" distL="114300" distR="114300">
            <wp:extent cx="1511300" cy="4826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113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Dove la struttura del modello si scompone nei seguenti operatori e parametri:</w:t>
      </w:r>
    </w:p>
    <w:p w:rsidR="00000000" w:rsidDel="00000000" w:rsidP="00000000" w:rsidRDefault="00000000" w:rsidRPr="00000000" w14:paraId="00000009">
      <w:pPr>
        <w:numPr>
          <w:ilvl w:val="0"/>
          <w:numId w:val="2"/>
        </w:numPr>
        <w:spacing w:after="0" w:afterAutospacing="0" w:lineRule="auto"/>
        <w:ind w:left="720" w:hanging="360"/>
        <w:jc w:val="both"/>
      </w:pPr>
      <w:r w:rsidDel="00000000" w:rsidR="00000000" w:rsidRPr="00000000">
        <w:rPr>
          <w:b w:val="1"/>
          <w:bCs w:val="1"/>
          <w:rtl w:val="0"/>
        </w:rPr>
        <w:t xml:space="preserve">g (Link Function):</w:t>
      </w:r>
      <w:r w:rsidDel="00000000" w:rsidR="00000000" w:rsidRPr="00000000">
        <w:rPr>
          <w:rtl w:val="0"/>
        </w:rPr>
        <w:t xml:space="preserve"> Rappresenta la funzione di legame che connette la media della variabile risposta al predittore lineare. Nel caso di dati epidemiologici (conteggi), si utilizza tipicamente una funzione </w:t>
      </w:r>
      <w:r w:rsidDel="00000000" w:rsidR="00000000" w:rsidRPr="00000000">
        <w:rPr>
          <w:i w:val="1"/>
          <w:iCs w:val="1"/>
          <w:rtl w:val="0"/>
        </w:rPr>
        <w:t xml:space="preserve">log-link</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lineRule="auto"/>
        <w:ind w:left="720" w:hanging="360"/>
        <w:jc w:val="both"/>
      </w:pPr>
      <w:r w:rsidDel="00000000" w:rsidR="00000000" w:rsidRPr="00000000">
        <w:rPr/>
        <w:drawing>
          <wp:inline distB="114300" distT="114300" distL="114300" distR="114300">
            <wp:extent cx="279400" cy="177800"/>
            <wp:effectExtent b="0" l="0" r="0" t="0"/>
            <wp:docPr id="46"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79400" cy="177800"/>
                    </a:xfrm>
                    <a:prstGeom prst="rect"/>
                    <a:ln/>
                  </pic:spPr>
                </pic:pic>
              </a:graphicData>
            </a:graphic>
          </wp:inline>
        </w:drawing>
      </w:r>
      <w:r w:rsidDel="00000000" w:rsidR="00000000" w:rsidRPr="00000000">
        <w:rPr>
          <w:b w:val="1"/>
          <w:bCs w:val="1"/>
          <w:rtl w:val="0"/>
        </w:rPr>
        <w:t xml:space="preserve"> (Expected Value):</w:t>
      </w:r>
      <w:r w:rsidDel="00000000" w:rsidR="00000000" w:rsidRPr="00000000">
        <w:rPr>
          <w:rtl w:val="0"/>
        </w:rPr>
        <w:t xml:space="preserve"> Il valore atteso o media della variabile risposta y (ad esempio, il numero di nuove segnalazioni di una specifica patologia).</w:t>
      </w:r>
    </w:p>
    <w:p w:rsidR="00000000" w:rsidDel="00000000" w:rsidP="00000000" w:rsidRDefault="00000000" w:rsidRPr="00000000" w14:paraId="0000000B">
      <w:pPr>
        <w:numPr>
          <w:ilvl w:val="0"/>
          <w:numId w:val="2"/>
        </w:numPr>
        <w:spacing w:after="0" w:afterAutospacing="0" w:lineRule="auto"/>
        <w:ind w:left="720" w:hanging="360"/>
        <w:jc w:val="both"/>
      </w:pPr>
      <w:r w:rsidDel="00000000" w:rsidR="00000000" w:rsidRPr="00000000">
        <w:rPr/>
        <w:drawing>
          <wp:inline distB="114300" distT="114300" distL="114300" distR="114300">
            <wp:extent cx="139700" cy="177800"/>
            <wp:effectExtent b="0" l="0" r="0" t="0"/>
            <wp:docPr id="3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 (Intercept):</w:t>
      </w:r>
      <w:r w:rsidDel="00000000" w:rsidR="00000000" w:rsidRPr="00000000">
        <w:rPr>
          <w:rtl w:val="0"/>
        </w:rPr>
        <w:t xml:space="preserve"> Rappresenta l'intercetta del modello, ovvero il valore di base del predittore quando tutti gli effetti non lineari sono nulli.</w:t>
      </w:r>
    </w:p>
    <w:p w:rsidR="00000000" w:rsidDel="00000000" w:rsidP="00000000" w:rsidRDefault="00000000" w:rsidRPr="00000000" w14:paraId="0000000C">
      <w:pPr>
        <w:numPr>
          <w:ilvl w:val="0"/>
          <w:numId w:val="2"/>
        </w:numPr>
        <w:spacing w:after="240" w:lineRule="auto"/>
        <w:ind w:left="720" w:hanging="360"/>
        <w:jc w:val="both"/>
      </w:pPr>
      <w:r w:rsidDel="00000000" w:rsidR="00000000" w:rsidRPr="00000000">
        <w:rPr/>
        <w:drawing>
          <wp:inline distB="114300" distT="114300" distL="114300" distR="114300">
            <wp:extent cx="330200" cy="177800"/>
            <wp:effectExtent b="0" l="0" r="0" t="0"/>
            <wp:docPr id="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0200" cy="177800"/>
                    </a:xfrm>
                    <a:prstGeom prst="rect"/>
                    <a:ln/>
                  </pic:spPr>
                </pic:pic>
              </a:graphicData>
            </a:graphic>
          </wp:inline>
        </w:drawing>
      </w:r>
      <w:r w:rsidDel="00000000" w:rsidR="00000000" w:rsidRPr="00000000">
        <w:rPr>
          <w:b w:val="1"/>
          <w:bCs w:val="1"/>
          <w:rtl w:val="0"/>
        </w:rPr>
        <w:t xml:space="preserve"> (Smooth Functions):</w:t>
      </w:r>
      <w:r w:rsidDel="00000000" w:rsidR="00000000" w:rsidRPr="00000000">
        <w:rPr>
          <w:rtl w:val="0"/>
        </w:rPr>
        <w:t xml:space="preserve"> Costituiscono il nucleo del modello. Sono funzioni "lisce" (solitamente </w:t>
      </w:r>
      <w:r w:rsidDel="00000000" w:rsidR="00000000" w:rsidRPr="00000000">
        <w:rPr>
          <w:i w:val="1"/>
          <w:iCs w:val="1"/>
          <w:rtl w:val="0"/>
        </w:rPr>
        <w:t xml:space="preserve">penalized regression splines</w:t>
      </w:r>
      <w:r w:rsidDel="00000000" w:rsidR="00000000" w:rsidRPr="00000000">
        <w:rPr>
          <w:rtl w:val="0"/>
        </w:rPr>
        <w:t xml:space="preserve">) che modellano l'effetto non lineare di ogni singola variabile indipendente $x_i$ (es. concentrazione di PM10, temperatura media, umidità relativa).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Il vantaggio strategico di questo approccio risiede nella sua natura additiva: il contributo di ogni variabile ambientale alla previsione del rischio sanitario viene calcolato indipendentemente, permettendo una spiegabilità (interpretability) del modello superiore rispetto alle reti neurali "black-box". Il modello permette di isolare, ad esempio, l'effetto specifico della temperatura sul numero di casi di Legionellosi, mantenendo costanti gli altri parametri ambientali, e di visualizzare tale relazione attraverso curve di risposta che evidenziano soglie critiche di rischio.</w:t>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o8glsza67qqr" w:id="1"/>
      <w:bookmarkEnd w:id="1"/>
      <w:r w:rsidDel="00000000" w:rsidR="00000000" w:rsidRPr="00000000">
        <w:rPr>
          <w:b w:val="1"/>
          <w:bCs w:val="1"/>
          <w:sz w:val="34"/>
          <w:szCs w:val="34"/>
          <w:rtl w:val="0"/>
        </w:rPr>
        <w:t xml:space="preserve">Modellazione Predittiva Temporale: ARIMAX</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Per la previsione a breve e medio termine dell'andamento delle patologie infettive, il sistema implementa il modello </w:t>
      </w:r>
      <w:r w:rsidDel="00000000" w:rsidR="00000000" w:rsidRPr="00000000">
        <w:rPr>
          <w:b w:val="1"/>
          <w:bCs w:val="1"/>
          <w:rtl w:val="0"/>
        </w:rPr>
        <w:t xml:space="preserve">ARIMAX (AutoRegressive Integrated Moving Average with Exogenous Variables)</w:t>
      </w:r>
      <w:r w:rsidDel="00000000" w:rsidR="00000000" w:rsidRPr="00000000">
        <w:rPr>
          <w:rtl w:val="0"/>
        </w:rPr>
        <w:t xml:space="preserve">. Questa metodologia è stata selezionata per la sua capacità di combinare la struttura interna di una serie storica (inerzia temporale) con l'influenza di fattori esterni dinamici, quali le fluttuazioni dei parametri ambientali e climatici.</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Il comportamento della variabile target y al tempo t è modellato secondo la seguente equazione alle differenze:</w:t>
      </w:r>
    </w:p>
    <w:p w:rsidR="00000000" w:rsidDel="00000000" w:rsidP="00000000" w:rsidRDefault="00000000" w:rsidRPr="00000000" w14:paraId="00000011">
      <w:pPr>
        <w:spacing w:after="240" w:before="240" w:lineRule="auto"/>
        <w:jc w:val="both"/>
        <w:rPr/>
      </w:pPr>
      <w:r w:rsidDel="00000000" w:rsidR="00000000" w:rsidRPr="00000000">
        <w:rPr/>
        <w:drawing>
          <wp:inline distB="114300" distT="114300" distL="114300" distR="114300">
            <wp:extent cx="2921000" cy="520700"/>
            <wp:effectExtent b="0" l="0" r="0" t="0"/>
            <wp:docPr id="60"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29210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I componenti del modello sono definiti come segue:</w:t>
      </w:r>
    </w:p>
    <w:p w:rsidR="00000000" w:rsidDel="00000000" w:rsidP="00000000" w:rsidRDefault="00000000" w:rsidRPr="00000000" w14:paraId="00000014">
      <w:pPr>
        <w:numPr>
          <w:ilvl w:val="0"/>
          <w:numId w:val="5"/>
        </w:numPr>
        <w:spacing w:after="0" w:afterAutospacing="0" w:lineRule="auto"/>
        <w:ind w:left="720" w:hanging="360"/>
        <w:jc w:val="both"/>
      </w:pPr>
      <w:r w:rsidDel="00000000" w:rsidR="00000000" w:rsidRPr="00000000">
        <w:rPr/>
        <w:drawing>
          <wp:inline distB="114300" distT="114300" distL="114300" distR="114300">
            <wp:extent cx="139700" cy="177800"/>
            <wp:effectExtent b="0" l="0" r="0" t="0"/>
            <wp:docPr id="2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 (Current Value):</w:t>
      </w:r>
      <w:r w:rsidDel="00000000" w:rsidR="00000000" w:rsidRPr="00000000">
        <w:rPr>
          <w:rtl w:val="0"/>
        </w:rPr>
        <w:t xml:space="preserve"> Il valore della serie storica osservato al tempo t (es. numero di casi segnalati in un determinato giorno).</w:t>
      </w:r>
    </w:p>
    <w:p w:rsidR="00000000" w:rsidDel="00000000" w:rsidP="00000000" w:rsidRDefault="00000000" w:rsidRPr="00000000" w14:paraId="00000015">
      <w:pPr>
        <w:numPr>
          <w:ilvl w:val="0"/>
          <w:numId w:val="5"/>
        </w:numPr>
        <w:spacing w:after="0" w:afterAutospacing="0" w:lineRule="auto"/>
        <w:ind w:left="720" w:hanging="360"/>
        <w:jc w:val="both"/>
      </w:pPr>
      <w:r w:rsidDel="00000000" w:rsidR="00000000" w:rsidRPr="00000000">
        <w:rPr/>
        <w:drawing>
          <wp:inline distB="114300" distT="114300" distL="114300" distR="114300">
            <wp:extent cx="88900" cy="177800"/>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88900" cy="177800"/>
                    </a:xfrm>
                    <a:prstGeom prst="rect"/>
                    <a:ln/>
                  </pic:spPr>
                </pic:pic>
              </a:graphicData>
            </a:graphic>
          </wp:inline>
        </w:drawing>
      </w:r>
      <w:r w:rsidDel="00000000" w:rsidR="00000000" w:rsidRPr="00000000">
        <w:rPr>
          <w:b w:val="1"/>
          <w:bCs w:val="1"/>
          <w:rtl w:val="0"/>
        </w:rPr>
        <w:t xml:space="preserve"> (Drift/Constant):</w:t>
      </w:r>
      <w:r w:rsidDel="00000000" w:rsidR="00000000" w:rsidRPr="00000000">
        <w:rPr>
          <w:rtl w:val="0"/>
        </w:rPr>
        <w:t xml:space="preserve"> Termine costante o di deriva che rappresenta l'intercetta del modello.</w:t>
      </w:r>
    </w:p>
    <w:p w:rsidR="00000000" w:rsidDel="00000000" w:rsidP="00000000" w:rsidRDefault="00000000" w:rsidRPr="00000000" w14:paraId="00000016">
      <w:pPr>
        <w:numPr>
          <w:ilvl w:val="0"/>
          <w:numId w:val="5"/>
        </w:numPr>
        <w:spacing w:after="0" w:afterAutospacing="0" w:lineRule="auto"/>
        <w:ind w:left="720" w:hanging="360"/>
        <w:jc w:val="both"/>
      </w:pPr>
      <w:r w:rsidDel="00000000" w:rsidR="00000000" w:rsidRPr="00000000">
        <w:rPr/>
        <w:drawing>
          <wp:inline distB="114300" distT="114300" distL="114300" distR="114300">
            <wp:extent cx="139700" cy="177800"/>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 (Autoregressive Coefficients):</w:t>
      </w:r>
      <w:r w:rsidDel="00000000" w:rsidR="00000000" w:rsidRPr="00000000">
        <w:rPr>
          <w:rtl w:val="0"/>
        </w:rPr>
        <w:t xml:space="preserve"> Parametri che quantificano l'influenza dei valori passati della serie stessa (</w:t>
      </w:r>
      <w:r w:rsidDel="00000000" w:rsidR="00000000" w:rsidRPr="00000000">
        <w:rPr/>
        <w:drawing>
          <wp:inline distB="114300" distT="114300" distL="114300" distR="114300">
            <wp:extent cx="254000" cy="177800"/>
            <wp:effectExtent b="0" l="0" r="0" t="0"/>
            <wp:docPr id="2"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254000" cy="177800"/>
                    </a:xfrm>
                    <a:prstGeom prst="rect"/>
                    <a:ln/>
                  </pic:spPr>
                </pic:pic>
              </a:graphicData>
            </a:graphic>
          </wp:inline>
        </w:drawing>
      </w:r>
      <w:r w:rsidDel="00000000" w:rsidR="00000000" w:rsidRPr="00000000">
        <w:rPr>
          <w:rtl w:val="0"/>
        </w:rPr>
        <w:t xml:space="preserve">); indicano quanto la situazione odierna dipenda dallo storico recente (ordine </w:t>
      </w:r>
      <w:r w:rsidDel="00000000" w:rsidR="00000000" w:rsidRPr="00000000">
        <w:rPr>
          <w:i w:val="1"/>
          <w:iCs w:val="1"/>
          <w:rtl w:val="0"/>
        </w:rPr>
        <w:t xml:space="preserve">p</w:t>
      </w:r>
      <w:r w:rsidDel="00000000" w:rsidR="00000000" w:rsidRPr="00000000">
        <w:rPr>
          <w:rtl w:val="0"/>
        </w:rPr>
        <w:t xml:space="preserve">).</w:t>
      </w:r>
    </w:p>
    <w:p w:rsidR="00000000" w:rsidDel="00000000" w:rsidP="00000000" w:rsidRDefault="00000000" w:rsidRPr="00000000" w14:paraId="00000017">
      <w:pPr>
        <w:numPr>
          <w:ilvl w:val="0"/>
          <w:numId w:val="5"/>
        </w:numPr>
        <w:spacing w:after="0" w:afterAutospacing="0" w:lineRule="auto"/>
        <w:ind w:left="720" w:hanging="360"/>
        <w:jc w:val="both"/>
      </w:pPr>
      <w:r w:rsidDel="00000000" w:rsidR="00000000" w:rsidRPr="00000000">
        <w:rPr/>
        <w:drawing>
          <wp:inline distB="114300" distT="114300" distL="114300" distR="114300">
            <wp:extent cx="127000" cy="190500"/>
            <wp:effectExtent b="0" l="0" r="0" t="0"/>
            <wp:docPr id="3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27000" cy="190500"/>
                    </a:xfrm>
                    <a:prstGeom prst="rect"/>
                    <a:ln/>
                  </pic:spPr>
                </pic:pic>
              </a:graphicData>
            </a:graphic>
          </wp:inline>
        </w:drawing>
      </w:r>
      <w:r w:rsidDel="00000000" w:rsidR="00000000" w:rsidRPr="00000000">
        <w:rPr>
          <w:b w:val="1"/>
          <w:bCs w:val="1"/>
          <w:rtl w:val="0"/>
        </w:rPr>
        <w:t xml:space="preserve"> (Moving Average Coefficients):</w:t>
      </w:r>
      <w:r w:rsidDel="00000000" w:rsidR="00000000" w:rsidRPr="00000000">
        <w:rPr>
          <w:rtl w:val="0"/>
        </w:rPr>
        <w:t xml:space="preserve"> Coefficienti legati alla media mobile degli errori di previsione passati (</w:t>
      </w:r>
      <w:r w:rsidDel="00000000" w:rsidR="00000000" w:rsidRPr="00000000">
        <w:rPr/>
        <w:drawing>
          <wp:inline distB="114300" distT="114300" distL="114300" distR="114300">
            <wp:extent cx="254000" cy="190500"/>
            <wp:effectExtent b="0" l="0" r="0" t="0"/>
            <wp:docPr id="11"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54000" cy="190500"/>
                    </a:xfrm>
                    <a:prstGeom prst="rect"/>
                    <a:ln/>
                  </pic:spPr>
                </pic:pic>
              </a:graphicData>
            </a:graphic>
          </wp:inline>
        </w:drawing>
      </w:r>
      <w:r w:rsidDel="00000000" w:rsidR="00000000" w:rsidRPr="00000000">
        <w:rPr>
          <w:rtl w:val="0"/>
        </w:rPr>
        <w:t xml:space="preserve">); servono a correggere il modello in base agli "shock" o alle deviazioni precedenti (ordine </w:t>
      </w:r>
      <w:r w:rsidDel="00000000" w:rsidR="00000000" w:rsidRPr="00000000">
        <w:rPr>
          <w:i w:val="1"/>
          <w:iCs w:val="1"/>
          <w:rtl w:val="0"/>
        </w:rPr>
        <w:t xml:space="preserve">q</w:t>
      </w:r>
      <w:r w:rsidDel="00000000" w:rsidR="00000000" w:rsidRPr="00000000">
        <w:rPr>
          <w:rtl w:val="0"/>
        </w:rPr>
        <w:t xml:space="preserve">).</w:t>
      </w:r>
    </w:p>
    <w:p w:rsidR="00000000" w:rsidDel="00000000" w:rsidP="00000000" w:rsidRDefault="00000000" w:rsidRPr="00000000" w14:paraId="00000018">
      <w:pPr>
        <w:numPr>
          <w:ilvl w:val="0"/>
          <w:numId w:val="5"/>
        </w:numPr>
        <w:spacing w:after="0" w:afterAutospacing="0" w:lineRule="auto"/>
        <w:ind w:left="720" w:hanging="360"/>
        <w:jc w:val="both"/>
      </w:pPr>
      <w:r w:rsidDel="00000000" w:rsidR="00000000" w:rsidRPr="00000000">
        <w:rPr/>
        <w:drawing>
          <wp:inline distB="114300" distT="114300" distL="114300" distR="114300">
            <wp:extent cx="139700" cy="177800"/>
            <wp:effectExtent b="0" l="0" r="0" t="0"/>
            <wp:docPr id="42"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 (Exogenous Coefficients):</w:t>
      </w:r>
      <w:r w:rsidDel="00000000" w:rsidR="00000000" w:rsidRPr="00000000">
        <w:rPr>
          <w:rtl w:val="0"/>
        </w:rPr>
        <w:t xml:space="preserve"> Parametri associati alle variabili esterne </w:t>
      </w:r>
      <w:r w:rsidDel="00000000" w:rsidR="00000000" w:rsidRPr="00000000">
        <w:rPr/>
        <w:drawing>
          <wp:inline distB="114300" distT="114300" distL="114300" distR="114300">
            <wp:extent cx="215900" cy="190500"/>
            <wp:effectExtent b="0" l="0" r="0" t="0"/>
            <wp:docPr id="26"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215900" cy="190500"/>
                    </a:xfrm>
                    <a:prstGeom prst="rect"/>
                    <a:ln/>
                  </pic:spPr>
                </pic:pic>
              </a:graphicData>
            </a:graphic>
          </wp:inline>
        </w:drawing>
      </w:r>
      <w:r w:rsidDel="00000000" w:rsidR="00000000" w:rsidRPr="00000000">
        <w:rPr>
          <w:rtl w:val="0"/>
        </w:rPr>
        <w:t xml:space="preserve"> (variabili esogene). Nel progetto HealthTrace, queste includono vettori di dati come la concentrazione di inquinanti atmosferici o indici di mobilità urbana.</w:t>
      </w:r>
    </w:p>
    <w:p w:rsidR="00000000" w:rsidDel="00000000" w:rsidP="00000000" w:rsidRDefault="00000000" w:rsidRPr="00000000" w14:paraId="00000019">
      <w:pPr>
        <w:numPr>
          <w:ilvl w:val="0"/>
          <w:numId w:val="5"/>
        </w:numPr>
        <w:spacing w:after="240" w:lineRule="auto"/>
        <w:ind w:left="720" w:hanging="360"/>
        <w:jc w:val="both"/>
      </w:pPr>
      <w:r w:rsidDel="00000000" w:rsidR="00000000" w:rsidRPr="00000000">
        <w:rPr/>
        <w:drawing>
          <wp:inline distB="114300" distT="114300" distL="114300" distR="114300">
            <wp:extent cx="127000" cy="177800"/>
            <wp:effectExtent b="0" l="0" r="0" t="0"/>
            <wp:docPr id="41"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127000" cy="177800"/>
                    </a:xfrm>
                    <a:prstGeom prst="rect"/>
                    <a:ln/>
                  </pic:spPr>
                </pic:pic>
              </a:graphicData>
            </a:graphic>
          </wp:inline>
        </w:drawing>
      </w:r>
      <w:r w:rsidDel="00000000" w:rsidR="00000000" w:rsidRPr="00000000">
        <w:rPr>
          <w:b w:val="1"/>
          <w:bCs w:val="1"/>
          <w:rtl w:val="0"/>
        </w:rPr>
        <w:t xml:space="preserve"> (White Noise):</w:t>
      </w:r>
      <w:r w:rsidDel="00000000" w:rsidR="00000000" w:rsidRPr="00000000">
        <w:rPr>
          <w:rtl w:val="0"/>
        </w:rPr>
        <w:t xml:space="preserve"> Il termine di errore casuale al tempo t, assunto come rumore bianco con media nulla e varianza costante.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L'integrazione dell'algoritmo deve prevedere una procedura di </w:t>
      </w:r>
      <w:r w:rsidDel="00000000" w:rsidR="00000000" w:rsidRPr="00000000">
        <w:rPr>
          <w:i w:val="1"/>
          <w:iCs w:val="1"/>
          <w:rtl w:val="0"/>
        </w:rPr>
        <w:t xml:space="preserve">auto-ARIMA</w:t>
      </w:r>
      <w:r w:rsidDel="00000000" w:rsidR="00000000" w:rsidRPr="00000000">
        <w:rPr>
          <w:rtl w:val="0"/>
        </w:rPr>
        <w:t xml:space="preserve"> che permette l'identificazione automatica degli ordini ottimali (p, d, q) minimizzando i criteri di informazione statistica (AIC/BIC). A differenza dei modelli GAM, l'ARIMAX eccelle nella gestione della stazionarietà e della stagionalità, risultando lo strumento ideale per la pool di "Business Analysis", specificamente per la generazione di alert predittivi basati sull'integrazione di serie storiche sanitarie e dati esogeni ambientali.</w:t>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t75qjjx5ua4o" w:id="2"/>
      <w:bookmarkEnd w:id="2"/>
      <w:r w:rsidDel="00000000" w:rsidR="00000000" w:rsidRPr="00000000">
        <w:rPr>
          <w:b w:val="1"/>
          <w:bCs w:val="1"/>
          <w:sz w:val="34"/>
          <w:szCs w:val="34"/>
          <w:rtl w:val="0"/>
        </w:rPr>
        <w:t xml:space="preserve">Distributed Lag Non-linear Models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Per l'analisi avanzata dell'impatto dei fattori ambientali che non manifestano effetti immediati, ma distribuiti su un arco temporale successivo all'esposizione, il sistema adotta i </w:t>
      </w:r>
      <w:r w:rsidDel="00000000" w:rsidR="00000000" w:rsidRPr="00000000">
        <w:rPr>
          <w:b w:val="1"/>
          <w:bCs w:val="1"/>
          <w:rtl w:val="0"/>
        </w:rPr>
        <w:t xml:space="preserve">Distributed Lag Non-linear Models (DLNM)</w:t>
      </w:r>
      <w:r w:rsidDel="00000000" w:rsidR="00000000" w:rsidRPr="00000000">
        <w:rPr>
          <w:rtl w:val="0"/>
        </w:rPr>
        <w:t xml:space="preserve">. Tale framework è indispensabile per modellare il periodo di incubazione e la latenza tipica delle patologie infettive (es. l'insorgenza di casi di Legionellosi a seguito di specifiche variazioni climatiche occorse nei giorni precedenti).</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Il modello DLNM estende la struttura dei modelli additivi introducendo il concetto di "cross-basis", espresso dalla seguente equazione:</w:t>
      </w:r>
    </w:p>
    <w:p w:rsidR="00000000" w:rsidDel="00000000" w:rsidP="00000000" w:rsidRDefault="00000000" w:rsidRPr="00000000" w14:paraId="0000001E">
      <w:pPr>
        <w:spacing w:after="240" w:before="240" w:lineRule="auto"/>
        <w:jc w:val="both"/>
        <w:rPr/>
      </w:pPr>
      <w:r w:rsidDel="00000000" w:rsidR="00000000" w:rsidRPr="00000000">
        <w:rPr/>
        <w:drawing>
          <wp:inline distB="114300" distT="114300" distL="114300" distR="114300">
            <wp:extent cx="1625600" cy="292100"/>
            <wp:effectExtent b="0" l="0" r="0" t="0"/>
            <wp:docPr id="33"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625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I parametri e gli operatori matematici sono così definiti:</w:t>
      </w:r>
    </w:p>
    <w:p w:rsidR="00000000" w:rsidDel="00000000" w:rsidP="00000000" w:rsidRDefault="00000000" w:rsidRPr="00000000" w14:paraId="00000020">
      <w:pPr>
        <w:numPr>
          <w:ilvl w:val="0"/>
          <w:numId w:val="3"/>
        </w:numPr>
        <w:spacing w:after="0" w:afterAutospacing="0" w:lineRule="auto"/>
        <w:ind w:left="720" w:hanging="360"/>
        <w:jc w:val="both"/>
      </w:pPr>
      <w:r w:rsidDel="00000000" w:rsidR="00000000" w:rsidRPr="00000000">
        <w:rPr/>
        <w:drawing>
          <wp:inline distB="114300" distT="114300" distL="114300" distR="114300">
            <wp:extent cx="101600" cy="177800"/>
            <wp:effectExtent b="0" l="0" r="0" t="0"/>
            <wp:docPr id="65"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(Link Function):</w:t>
      </w:r>
      <w:r w:rsidDel="00000000" w:rsidR="00000000" w:rsidRPr="00000000">
        <w:rPr>
          <w:rtl w:val="0"/>
        </w:rPr>
        <w:t xml:space="preserve"> Funzione di legame (tipicamente logaritmica per dati di conteggio o quasi-Poisson) che relaziona la media della variabile risposta al predittore.</w:t>
      </w:r>
    </w:p>
    <w:p w:rsidR="00000000" w:rsidDel="00000000" w:rsidP="00000000" w:rsidRDefault="00000000" w:rsidRPr="00000000" w14:paraId="00000021">
      <w:pPr>
        <w:numPr>
          <w:ilvl w:val="0"/>
          <w:numId w:val="3"/>
        </w:numPr>
        <w:spacing w:after="0" w:afterAutospacing="0" w:lineRule="auto"/>
        <w:ind w:left="720" w:hanging="360"/>
        <w:jc w:val="both"/>
      </w:pPr>
      <w:r w:rsidDel="00000000" w:rsidR="00000000" w:rsidRPr="00000000">
        <w:rPr/>
        <w:drawing>
          <wp:inline distB="114300" distT="114300" distL="114300" distR="114300">
            <wp:extent cx="266700" cy="177800"/>
            <wp:effectExtent b="0" l="0" r="0" t="0"/>
            <wp:docPr id="13"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266700" cy="177800"/>
                    </a:xfrm>
                    <a:prstGeom prst="rect"/>
                    <a:ln/>
                  </pic:spPr>
                </pic:pic>
              </a:graphicData>
            </a:graphic>
          </wp:inline>
        </w:drawing>
      </w:r>
      <w:r w:rsidDel="00000000" w:rsidR="00000000" w:rsidRPr="00000000">
        <w:rPr>
          <w:b w:val="1"/>
          <w:bCs w:val="1"/>
          <w:rtl w:val="0"/>
        </w:rPr>
        <w:t xml:space="preserve"> (Expected Value):</w:t>
      </w:r>
      <w:r w:rsidDel="00000000" w:rsidR="00000000" w:rsidRPr="00000000">
        <w:rPr>
          <w:rtl w:val="0"/>
        </w:rPr>
        <w:t xml:space="preserve"> Il valore atteso della variabile target </w:t>
      </w:r>
      <w:r w:rsidDel="00000000" w:rsidR="00000000" w:rsidRPr="00000000">
        <w:rPr/>
        <w:drawing>
          <wp:inline distB="114300" distT="114300" distL="114300" distR="114300">
            <wp:extent cx="63500" cy="177800"/>
            <wp:effectExtent b="0" l="0" r="0" t="0"/>
            <wp:docPr id="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63500" cy="177800"/>
                    </a:xfrm>
                    <a:prstGeom prst="rect"/>
                    <a:ln/>
                  </pic:spPr>
                </pic:pic>
              </a:graphicData>
            </a:graphic>
          </wp:inline>
        </w:drawing>
      </w:r>
      <w:r w:rsidDel="00000000" w:rsidR="00000000" w:rsidRPr="00000000">
        <w:rPr>
          <w:rtl w:val="0"/>
        </w:rPr>
        <w:t xml:space="preserve"> (incidenza della malattia) al tempo di osservazione.</w:t>
      </w:r>
    </w:p>
    <w:p w:rsidR="00000000" w:rsidDel="00000000" w:rsidP="00000000" w:rsidRDefault="00000000" w:rsidRPr="00000000" w14:paraId="00000022">
      <w:pPr>
        <w:numPr>
          <w:ilvl w:val="0"/>
          <w:numId w:val="3"/>
        </w:numPr>
        <w:spacing w:after="0" w:afterAutospacing="0" w:lineRule="auto"/>
        <w:ind w:left="720" w:hanging="360"/>
        <w:jc w:val="both"/>
      </w:pPr>
      <w:r w:rsidDel="00000000" w:rsidR="00000000" w:rsidRPr="00000000">
        <w:rPr/>
        <w:drawing>
          <wp:inline distB="114300" distT="114300" distL="114300" distR="114300">
            <wp:extent cx="101600" cy="177800"/>
            <wp:effectExtent b="0" l="0" r="0" t="0"/>
            <wp:docPr id="66"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(Intercept):</w:t>
      </w:r>
      <w:r w:rsidDel="00000000" w:rsidR="00000000" w:rsidRPr="00000000">
        <w:rPr>
          <w:rtl w:val="0"/>
        </w:rPr>
        <w:t xml:space="preserve"> Termine di intercetta che rappresenta il livello di base del rischio in assenza di esposizioni specifiche.</w:t>
      </w:r>
    </w:p>
    <w:p w:rsidR="00000000" w:rsidDel="00000000" w:rsidP="00000000" w:rsidRDefault="00000000" w:rsidRPr="00000000" w14:paraId="00000023">
      <w:pPr>
        <w:numPr>
          <w:ilvl w:val="0"/>
          <w:numId w:val="3"/>
        </w:numPr>
        <w:spacing w:after="0" w:afterAutospacing="0" w:lineRule="auto"/>
        <w:ind w:left="720" w:hanging="360"/>
        <w:jc w:val="both"/>
      </w:pPr>
      <w:r w:rsidDel="00000000" w:rsidR="00000000" w:rsidRPr="00000000">
        <w:rPr/>
        <w:drawing>
          <wp:inline distB="114300" distT="114300" distL="114300" distR="114300">
            <wp:extent cx="508000" cy="177800"/>
            <wp:effectExtent b="0" l="0" r="0" t="0"/>
            <wp:docPr id="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08000" cy="177800"/>
                    </a:xfrm>
                    <a:prstGeom prst="rect"/>
                    <a:ln/>
                  </pic:spPr>
                </pic:pic>
              </a:graphicData>
            </a:graphic>
          </wp:inline>
        </w:drawing>
      </w:r>
      <w:r w:rsidDel="00000000" w:rsidR="00000000" w:rsidRPr="00000000">
        <w:rPr>
          <w:b w:val="1"/>
          <w:bCs w:val="1"/>
          <w:rtl w:val="0"/>
        </w:rPr>
        <w:t xml:space="preserve"> (Cross-basis Function):</w:t>
      </w:r>
      <w:r w:rsidDel="00000000" w:rsidR="00000000" w:rsidRPr="00000000">
        <w:rPr>
          <w:rtl w:val="0"/>
        </w:rPr>
        <w:t xml:space="preserve"> Rappresenta il nucleo bidimensionale del modello. Questa funzione applica simultaneamente due trasformazioni:</w:t>
      </w:r>
    </w:p>
    <w:p w:rsidR="00000000" w:rsidDel="00000000" w:rsidP="00000000" w:rsidRDefault="00000000" w:rsidRPr="00000000" w14:paraId="00000024">
      <w:pPr>
        <w:numPr>
          <w:ilvl w:val="1"/>
          <w:numId w:val="3"/>
        </w:numPr>
        <w:spacing w:after="0" w:afterAutospacing="0" w:lineRule="auto"/>
        <w:ind w:left="1440" w:hanging="360"/>
        <w:jc w:val="both"/>
      </w:pPr>
      <w:r w:rsidDel="00000000" w:rsidR="00000000" w:rsidRPr="00000000">
        <w:rPr>
          <w:rtl w:val="0"/>
        </w:rPr>
        <w:t xml:space="preserve">Una funzione per la relazione esposizione-risposta (forma dell'effetto della variabile </w:t>
      </w:r>
      <w:r w:rsidDel="00000000" w:rsidR="00000000" w:rsidRPr="00000000">
        <w:rPr/>
        <w:drawing>
          <wp:inline distB="114300" distT="114300" distL="114300" distR="114300">
            <wp:extent cx="76200" cy="177800"/>
            <wp:effectExtent b="0" l="0" r="0" t="0"/>
            <wp:docPr id="64" name="image53.png"/>
            <a:graphic>
              <a:graphicData uri="http://schemas.openxmlformats.org/drawingml/2006/picture">
                <pic:pic>
                  <pic:nvPicPr>
                    <pic:cNvPr id="0" name="image53.png"/>
                    <pic:cNvPicPr preferRelativeResize="0"/>
                  </pic:nvPicPr>
                  <pic:blipFill>
                    <a:blip r:embed="rId26"/>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5">
      <w:pPr>
        <w:numPr>
          <w:ilvl w:val="1"/>
          <w:numId w:val="3"/>
        </w:numPr>
        <w:spacing w:after="0" w:afterAutospacing="0" w:lineRule="auto"/>
        <w:ind w:left="1440" w:hanging="360"/>
        <w:jc w:val="both"/>
      </w:pPr>
      <w:r w:rsidDel="00000000" w:rsidR="00000000" w:rsidRPr="00000000">
        <w:rPr>
          <w:rtl w:val="0"/>
        </w:rPr>
        <w:t xml:space="preserve">Una funzione per la relazione lag-risposta (distribuzione dell'effetto lungo il tempo di ritardo </w:t>
      </w:r>
      <w:r w:rsidDel="00000000" w:rsidR="00000000" w:rsidRPr="00000000">
        <w:rPr/>
        <w:drawing>
          <wp:inline distB="114300" distT="114300" distL="114300" distR="114300">
            <wp:extent cx="38100" cy="177800"/>
            <wp:effectExtent b="0" l="0" r="0" t="0"/>
            <wp:docPr id="57"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381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6">
      <w:pPr>
        <w:numPr>
          <w:ilvl w:val="0"/>
          <w:numId w:val="3"/>
        </w:numPr>
        <w:spacing w:after="0" w:afterAutospacing="0" w:lineRule="auto"/>
        <w:ind w:left="720" w:hanging="360"/>
        <w:jc w:val="both"/>
      </w:pPr>
      <w:r w:rsidDel="00000000" w:rsidR="00000000" w:rsidRPr="00000000">
        <w:rPr/>
        <w:drawing>
          <wp:inline distB="114300" distT="114300" distL="114300" distR="114300">
            <wp:extent cx="38100" cy="177800"/>
            <wp:effectExtent b="0" l="0" r="0" t="0"/>
            <wp:docPr id="24"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8100" cy="177800"/>
                    </a:xfrm>
                    <a:prstGeom prst="rect"/>
                    <a:ln/>
                  </pic:spPr>
                </pic:pic>
              </a:graphicData>
            </a:graphic>
          </wp:inline>
        </w:drawing>
      </w:r>
      <w:r w:rsidDel="00000000" w:rsidR="00000000" w:rsidRPr="00000000">
        <w:rPr>
          <w:b w:val="1"/>
          <w:bCs w:val="1"/>
          <w:rtl w:val="0"/>
        </w:rPr>
        <w:t xml:space="preserve"> (Lag):</w:t>
      </w:r>
      <w:r w:rsidDel="00000000" w:rsidR="00000000" w:rsidRPr="00000000">
        <w:rPr>
          <w:rtl w:val="0"/>
        </w:rPr>
        <w:t xml:space="preserve"> Il parametro del ritardo temporale. Indica l'intervallo di tempo (espresso in giorni o settimane) tra l'esposizione al fattore ambientale </w:t>
      </w:r>
      <w:r w:rsidDel="00000000" w:rsidR="00000000" w:rsidRPr="00000000">
        <w:rPr/>
        <w:drawing>
          <wp:inline distB="114300" distT="114300" distL="114300" distR="114300">
            <wp:extent cx="76200" cy="177800"/>
            <wp:effectExtent b="0" l="0" r="0" t="0"/>
            <wp:docPr id="1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 e l'osservazione dell'effetto sulla salute pubblica.</w:t>
      </w:r>
    </w:p>
    <w:p w:rsidR="00000000" w:rsidDel="00000000" w:rsidP="00000000" w:rsidRDefault="00000000" w:rsidRPr="00000000" w14:paraId="00000027">
      <w:pPr>
        <w:numPr>
          <w:ilvl w:val="0"/>
          <w:numId w:val="3"/>
        </w:numPr>
        <w:spacing w:after="240" w:lineRule="auto"/>
        <w:ind w:left="720" w:hanging="360"/>
        <w:jc w:val="both"/>
      </w:pPr>
      <w:r w:rsidDel="00000000" w:rsidR="00000000" w:rsidRPr="00000000">
        <w:rPr/>
        <w:drawing>
          <wp:inline distB="114300" distT="114300" distL="114300" distR="114300">
            <wp:extent cx="101600" cy="177800"/>
            <wp:effectExtent b="0" l="0" r="0" t="0"/>
            <wp:docPr id="36"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Vettore dei coefficienti associati alle funzioni di base (solitamente spline o polinomi) utilizzate per definire la superficie della cross-basis.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Il vantaggio analitico del DLNM risiede nella sua capacità di generare una "superficie di rischio" tridimensionale. Questo permette agli epidemiologi di HealthTrace di identificare non solo quale concentrazione di un inquinante o quale temperatura sia critica, ma anche </w:t>
      </w:r>
      <w:r w:rsidDel="00000000" w:rsidR="00000000" w:rsidRPr="00000000">
        <w:rPr>
          <w:b w:val="1"/>
          <w:bCs w:val="1"/>
          <w:rtl w:val="0"/>
        </w:rPr>
        <w:t xml:space="preserve">dopo quanto tempo</w:t>
      </w:r>
      <w:r w:rsidDel="00000000" w:rsidR="00000000" w:rsidRPr="00000000">
        <w:rPr>
          <w:rtl w:val="0"/>
        </w:rPr>
        <w:t xml:space="preserve"> tale criticità si tradurrà in un picco di segnalazioni nel sistema. Questa granularità è fondamentale per calibrare i sistemi di Early Warning previsti dal progetto.</w:t>
      </w:r>
    </w:p>
    <w:p w:rsidR="00000000" w:rsidDel="00000000" w:rsidP="00000000" w:rsidRDefault="00000000" w:rsidRPr="00000000" w14:paraId="00000029">
      <w:pPr>
        <w:pStyle w:val="Heading2"/>
        <w:keepNext w:val="0"/>
        <w:keepLines w:val="0"/>
        <w:spacing w:after="80" w:lineRule="auto"/>
        <w:jc w:val="both"/>
        <w:rPr>
          <w:b w:val="1"/>
          <w:bCs w:val="1"/>
          <w:sz w:val="34"/>
          <w:szCs w:val="34"/>
        </w:rPr>
      </w:pPr>
      <w:bookmarkStart w:colFirst="0" w:colLast="0" w:name="_gza0rton526y" w:id="3"/>
      <w:bookmarkEnd w:id="3"/>
      <w:r w:rsidDel="00000000" w:rsidR="00000000" w:rsidRPr="00000000">
        <w:rPr>
          <w:b w:val="1"/>
          <w:bCs w:val="1"/>
          <w:sz w:val="34"/>
          <w:szCs w:val="34"/>
          <w:rtl w:val="0"/>
        </w:rPr>
        <w:t xml:space="preserve">Random Forest e XGBoost</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Per le fasi di analisi predittiva avanzata si suggerisce di impiegare algoritmi di apprendimento supervisionato di tipo ensemble. Questi modelli combinano molteplici stimatori deboli per generare una previsione robusta, riducendo la varianza e migliorando la precisione su dataset eterogenei e multidimensionali.</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fh5ggbfd2f1k" w:id="4"/>
      <w:bookmarkEnd w:id="4"/>
      <w:r w:rsidDel="00000000" w:rsidR="00000000" w:rsidRPr="00000000">
        <w:rPr>
          <w:b w:val="1"/>
          <w:bCs w:val="1"/>
          <w:color w:val="000000"/>
          <w:sz w:val="26"/>
          <w:szCs w:val="26"/>
          <w:rtl w:val="0"/>
        </w:rPr>
        <w:t xml:space="preserve">Random Forest (Bagging)</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Il modello Random Forest viene utilizzato per la sua resilienza all'overfitting e la capacità di gestire dati mancanti. Esso opera costruendo una moltitudine di alberi decisionali indipendenti durante la fase di addestramento.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Il modello utilizzato ha la seguente espressione analitica:</w:t>
      </w:r>
    </w:p>
    <w:p w:rsidR="00000000" w:rsidDel="00000000" w:rsidP="00000000" w:rsidRDefault="00000000" w:rsidRPr="00000000" w14:paraId="0000002E">
      <w:pPr>
        <w:spacing w:after="240" w:before="240" w:lineRule="auto"/>
        <w:jc w:val="both"/>
        <w:rPr/>
      </w:pPr>
      <w:r w:rsidDel="00000000" w:rsidR="00000000" w:rsidRPr="00000000">
        <w:rPr/>
        <w:drawing>
          <wp:inline distB="114300" distT="114300" distL="114300" distR="114300">
            <wp:extent cx="939800" cy="482600"/>
            <wp:effectExtent b="0" l="0" r="0" t="0"/>
            <wp:docPr id="3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9398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La previsione finale </w:t>
      </w:r>
      <w:r w:rsidDel="00000000" w:rsidR="00000000" w:rsidRPr="00000000">
        <w:rPr/>
        <w:drawing>
          <wp:inline distB="114300" distT="114300" distL="114300" distR="114300">
            <wp:extent cx="88900" cy="177800"/>
            <wp:effectExtent b="0" l="0" r="0" t="0"/>
            <wp:docPr id="44"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 per un dato input </w:t>
      </w:r>
      <w:r w:rsidDel="00000000" w:rsidR="00000000" w:rsidRPr="00000000">
        <w:rPr/>
        <w:drawing>
          <wp:inline distB="114300" distT="114300" distL="114300" distR="114300">
            <wp:extent cx="101600" cy="177800"/>
            <wp:effectExtent b="0" l="0" r="0" t="0"/>
            <wp:docPr id="53"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101600" cy="177800"/>
                    </a:xfrm>
                    <a:prstGeom prst="rect"/>
                    <a:ln/>
                  </pic:spPr>
                </pic:pic>
              </a:graphicData>
            </a:graphic>
          </wp:inline>
        </w:drawing>
      </w:r>
      <w:r w:rsidDel="00000000" w:rsidR="00000000" w:rsidRPr="00000000">
        <w:rPr>
          <w:rtl w:val="0"/>
        </w:rPr>
        <w:t xml:space="preserve">è ottenuta mediante l'aggregazione (media) dei risultati di ogni singolo albero della foresta:</w:t>
      </w:r>
    </w:p>
    <w:p w:rsidR="00000000" w:rsidDel="00000000" w:rsidP="00000000" w:rsidRDefault="00000000" w:rsidRPr="00000000" w14:paraId="00000030">
      <w:pPr>
        <w:numPr>
          <w:ilvl w:val="0"/>
          <w:numId w:val="6"/>
        </w:numPr>
        <w:spacing w:after="0" w:afterAutospacing="0" w:lineRule="auto"/>
        <w:ind w:left="720" w:hanging="360"/>
        <w:jc w:val="both"/>
      </w:pPr>
      <w:r w:rsidDel="00000000" w:rsidR="00000000" w:rsidRPr="00000000">
        <w:rPr/>
        <w:drawing>
          <wp:inline distB="114300" distT="114300" distL="114300" distR="114300">
            <wp:extent cx="88900" cy="177800"/>
            <wp:effectExtent b="0" l="0" r="0" t="0"/>
            <wp:docPr id="29"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88900" cy="177800"/>
                    </a:xfrm>
                    <a:prstGeom prst="rect"/>
                    <a:ln/>
                  </pic:spPr>
                </pic:pic>
              </a:graphicData>
            </a:graphic>
          </wp:inline>
        </w:drawing>
      </w:r>
      <w:r w:rsidDel="00000000" w:rsidR="00000000" w:rsidRPr="00000000">
        <w:rPr>
          <w:b w:val="1"/>
          <w:bCs w:val="1"/>
          <w:rtl w:val="0"/>
        </w:rPr>
        <w:t xml:space="preserve"> (Final Prediction):</w:t>
      </w:r>
      <w:r w:rsidDel="00000000" w:rsidR="00000000" w:rsidRPr="00000000">
        <w:rPr>
          <w:rtl w:val="0"/>
        </w:rPr>
        <w:t xml:space="preserve"> Valore predetto finale, calcolato come media aritmetica (per la regressione) o voto di maggioranza (per la classificazione) dei singoli stimatori.</w:t>
      </w:r>
    </w:p>
    <w:p w:rsidR="00000000" w:rsidDel="00000000" w:rsidP="00000000" w:rsidRDefault="00000000" w:rsidRPr="00000000" w14:paraId="00000031">
      <w:pPr>
        <w:numPr>
          <w:ilvl w:val="0"/>
          <w:numId w:val="6"/>
        </w:numPr>
        <w:spacing w:after="0" w:afterAutospacing="0" w:lineRule="auto"/>
        <w:ind w:left="720" w:hanging="360"/>
        <w:jc w:val="both"/>
      </w:pPr>
      <w:r w:rsidDel="00000000" w:rsidR="00000000" w:rsidRPr="00000000">
        <w:rPr/>
        <w:drawing>
          <wp:inline distB="114300" distT="114300" distL="114300" distR="114300">
            <wp:extent cx="101600" cy="177800"/>
            <wp:effectExtent b="0" l="0" r="0" t="0"/>
            <wp:docPr id="1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(Number of Trees):</w:t>
      </w:r>
      <w:r w:rsidDel="00000000" w:rsidR="00000000" w:rsidRPr="00000000">
        <w:rPr>
          <w:rtl w:val="0"/>
        </w:rPr>
        <w:t xml:space="preserve"> Numero totale di alberi decisionali che compongono la foresta.</w:t>
      </w:r>
    </w:p>
    <w:p w:rsidR="00000000" w:rsidDel="00000000" w:rsidP="00000000" w:rsidRDefault="00000000" w:rsidRPr="00000000" w14:paraId="00000032">
      <w:pPr>
        <w:numPr>
          <w:ilvl w:val="0"/>
          <w:numId w:val="6"/>
        </w:numPr>
        <w:spacing w:after="240" w:lineRule="auto"/>
        <w:ind w:left="720" w:hanging="360"/>
        <w:jc w:val="both"/>
      </w:pPr>
      <w:r w:rsidDel="00000000" w:rsidR="00000000" w:rsidRPr="00000000">
        <w:rPr/>
        <w:drawing>
          <wp:inline distB="114300" distT="114300" distL="114300" distR="114300">
            <wp:extent cx="330200" cy="177800"/>
            <wp:effectExtent b="0" l="0" r="0" t="0"/>
            <wp:docPr id="38" name="image67.png"/>
            <a:graphic>
              <a:graphicData uri="http://schemas.openxmlformats.org/drawingml/2006/picture">
                <pic:pic>
                  <pic:nvPicPr>
                    <pic:cNvPr id="0" name="image67.png"/>
                    <pic:cNvPicPr preferRelativeResize="0"/>
                  </pic:nvPicPr>
                  <pic:blipFill>
                    <a:blip r:embed="rId33"/>
                    <a:srcRect b="0" l="0" r="0" t="0"/>
                    <a:stretch>
                      <a:fillRect/>
                    </a:stretch>
                  </pic:blipFill>
                  <pic:spPr>
                    <a:xfrm>
                      <a:off x="0" y="0"/>
                      <a:ext cx="330200" cy="177800"/>
                    </a:xfrm>
                    <a:prstGeom prst="rect"/>
                    <a:ln/>
                  </pic:spPr>
                </pic:pic>
              </a:graphicData>
            </a:graphic>
          </wp:inline>
        </w:drawing>
      </w:r>
      <w:r w:rsidDel="00000000" w:rsidR="00000000" w:rsidRPr="00000000">
        <w:rPr>
          <w:b w:val="1"/>
          <w:bCs w:val="1"/>
          <w:rtl w:val="0"/>
        </w:rPr>
        <w:t xml:space="preserve"> (Individual Tree Prediction):</w:t>
      </w:r>
      <w:r w:rsidDel="00000000" w:rsidR="00000000" w:rsidRPr="00000000">
        <w:rPr>
          <w:rtl w:val="0"/>
        </w:rPr>
        <w:t xml:space="preserve"> Previsione generata dal k-esimo albero decisionale basata sul sottoinsieme di dati e variabili assegnato.</w:t>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yrtwmutz9su" w:id="5"/>
      <w:bookmarkEnd w:id="5"/>
      <w:r w:rsidDel="00000000" w:rsidR="00000000" w:rsidRPr="00000000">
        <w:rPr>
          <w:b w:val="1"/>
          <w:bCs w:val="1"/>
          <w:sz w:val="34"/>
          <w:szCs w:val="34"/>
          <w:rtl w:val="0"/>
        </w:rPr>
        <w:t xml:space="preserve">XGBoost (Extreme Gradient Boosting)</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 differenza del Random Forest, </w:t>
      </w:r>
      <w:r w:rsidDel="00000000" w:rsidR="00000000" w:rsidRPr="00000000">
        <w:rPr>
          <w:b w:val="1"/>
          <w:bCs w:val="1"/>
          <w:rtl w:val="0"/>
        </w:rPr>
        <w:t xml:space="preserve">XGBoost</w:t>
      </w:r>
      <w:r w:rsidDel="00000000" w:rsidR="00000000" w:rsidRPr="00000000">
        <w:rPr>
          <w:rtl w:val="0"/>
        </w:rPr>
        <w:t xml:space="preserve"> utilizza una tecnica di </w:t>
      </w:r>
      <w:r w:rsidDel="00000000" w:rsidR="00000000" w:rsidRPr="00000000">
        <w:rPr>
          <w:i w:val="1"/>
          <w:iCs w:val="1"/>
          <w:rtl w:val="0"/>
        </w:rPr>
        <w:t xml:space="preserve">Boosting</w:t>
      </w:r>
      <w:r w:rsidDel="00000000" w:rsidR="00000000" w:rsidRPr="00000000">
        <w:rPr>
          <w:rtl w:val="0"/>
        </w:rPr>
        <w:t xml:space="preserve">, dove ogni nuovo albero viene addestrato per correggere gli errori residui dei precedenti. È lo strumento d'elezione per massimizzare le performance predittive del sistema.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Il modello utilizzato ha la seguente espressione analitica:</w:t>
      </w:r>
    </w:p>
    <w:p w:rsidR="00000000" w:rsidDel="00000000" w:rsidP="00000000" w:rsidRDefault="00000000" w:rsidRPr="00000000" w14:paraId="00000036">
      <w:pPr>
        <w:spacing w:after="240" w:before="240" w:lineRule="auto"/>
        <w:jc w:val="both"/>
        <w:rPr/>
      </w:pPr>
      <w:r w:rsidDel="00000000" w:rsidR="00000000" w:rsidRPr="00000000">
        <w:rPr/>
        <w:drawing>
          <wp:inline distB="114300" distT="114300" distL="114300" distR="114300">
            <wp:extent cx="1765300" cy="482600"/>
            <wp:effectExtent b="0" l="0" r="0" t="0"/>
            <wp:docPr id="2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7653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L'algoritmo minimizza una funzione obiettivo </w:t>
      </w:r>
      <w:r w:rsidDel="00000000" w:rsidR="00000000" w:rsidRPr="00000000">
        <w:rPr/>
        <w:drawing>
          <wp:inline distB="114300" distT="114300" distL="114300" distR="114300">
            <wp:extent cx="215900" cy="177800"/>
            <wp:effectExtent b="0" l="0" r="0" t="0"/>
            <wp:docPr id="52"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215900" cy="177800"/>
                    </a:xfrm>
                    <a:prstGeom prst="rect"/>
                    <a:ln/>
                  </pic:spPr>
                </pic:pic>
              </a:graphicData>
            </a:graphic>
          </wp:inline>
        </w:drawing>
      </w:r>
      <w:r w:rsidDel="00000000" w:rsidR="00000000" w:rsidRPr="00000000">
        <w:rPr>
          <w:rtl w:val="0"/>
        </w:rPr>
        <w:t xml:space="preserve"> composta da un termine di errore e uno di controllo della complessità:</w:t>
      </w:r>
    </w:p>
    <w:p w:rsidR="00000000" w:rsidDel="00000000" w:rsidP="00000000" w:rsidRDefault="00000000" w:rsidRPr="00000000" w14:paraId="00000039">
      <w:pPr>
        <w:numPr>
          <w:ilvl w:val="0"/>
          <w:numId w:val="7"/>
        </w:numPr>
        <w:spacing w:after="0" w:afterAutospacing="0" w:lineRule="auto"/>
        <w:ind w:left="720" w:hanging="360"/>
        <w:jc w:val="both"/>
      </w:pPr>
      <w:r w:rsidDel="00000000" w:rsidR="00000000" w:rsidRPr="00000000">
        <w:rPr/>
        <w:drawing>
          <wp:inline distB="114300" distT="114300" distL="114300" distR="114300">
            <wp:extent cx="444500" cy="177800"/>
            <wp:effectExtent b="0" l="0" r="0" t="0"/>
            <wp:docPr id="1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44500" cy="177800"/>
                    </a:xfrm>
                    <a:prstGeom prst="rect"/>
                    <a:ln/>
                  </pic:spPr>
                </pic:pic>
              </a:graphicData>
            </a:graphic>
          </wp:inline>
        </w:drawing>
      </w:r>
      <w:r w:rsidDel="00000000" w:rsidR="00000000" w:rsidRPr="00000000">
        <w:rPr>
          <w:b w:val="1"/>
          <w:bCs w:val="1"/>
          <w:rtl w:val="0"/>
        </w:rPr>
        <w:t xml:space="preserve"> (Loss Function):</w:t>
      </w:r>
      <w:r w:rsidDel="00000000" w:rsidR="00000000" w:rsidRPr="00000000">
        <w:rPr>
          <w:rtl w:val="0"/>
        </w:rPr>
        <w:t xml:space="preserve"> Misura la discrepanza tra il valore reale </w:t>
      </w:r>
      <w:r w:rsidDel="00000000" w:rsidR="00000000" w:rsidRPr="00000000">
        <w:rPr/>
        <w:drawing>
          <wp:inline distB="114300" distT="114300" distL="114300" distR="114300">
            <wp:extent cx="127000" cy="177800"/>
            <wp:effectExtent b="0" l="0" r="0" t="0"/>
            <wp:docPr id="56"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127000" cy="177800"/>
                    </a:xfrm>
                    <a:prstGeom prst="rect"/>
                    <a:ln/>
                  </pic:spPr>
                </pic:pic>
              </a:graphicData>
            </a:graphic>
          </wp:inline>
        </w:drawing>
      </w:r>
      <w:r w:rsidDel="00000000" w:rsidR="00000000" w:rsidRPr="00000000">
        <w:rPr>
          <w:rtl w:val="0"/>
        </w:rPr>
        <w:t xml:space="preserve"> e il valore predetto </w:t>
      </w:r>
      <w:r w:rsidDel="00000000" w:rsidR="00000000" w:rsidRPr="00000000">
        <w:rPr/>
        <w:drawing>
          <wp:inline distB="114300" distT="114300" distL="114300" distR="114300">
            <wp:extent cx="101600" cy="177800"/>
            <wp:effectExtent b="0" l="0" r="0" t="0"/>
            <wp:docPr id="4"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101600" cy="177800"/>
                    </a:xfrm>
                    <a:prstGeom prst="rect"/>
                    <a:ln/>
                  </pic:spPr>
                </pic:pic>
              </a:graphicData>
            </a:graphic>
          </wp:inline>
        </w:drawing>
      </w:r>
      <w:r w:rsidDel="00000000" w:rsidR="00000000" w:rsidRPr="00000000">
        <w:rPr>
          <w:rtl w:val="0"/>
        </w:rPr>
        <w:t xml:space="preserve">. Tipicamente si utilizza l'errore quadratico medio per la regressione o la log-loss per la classificazione.</w:t>
      </w:r>
    </w:p>
    <w:p w:rsidR="00000000" w:rsidDel="00000000" w:rsidP="00000000" w:rsidRDefault="00000000" w:rsidRPr="00000000" w14:paraId="0000003A">
      <w:pPr>
        <w:numPr>
          <w:ilvl w:val="0"/>
          <w:numId w:val="7"/>
        </w:numPr>
        <w:spacing w:after="240" w:lineRule="auto"/>
        <w:ind w:left="720" w:hanging="360"/>
        <w:jc w:val="both"/>
      </w:pPr>
      <w:r w:rsidDel="00000000" w:rsidR="00000000" w:rsidRPr="00000000">
        <w:rPr/>
        <w:drawing>
          <wp:inline distB="114300" distT="114300" distL="114300" distR="114300">
            <wp:extent cx="330200" cy="177800"/>
            <wp:effectExtent b="0" l="0" r="0" t="0"/>
            <wp:docPr id="40"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330200" cy="177800"/>
                    </a:xfrm>
                    <a:prstGeom prst="rect"/>
                    <a:ln/>
                  </pic:spPr>
                </pic:pic>
              </a:graphicData>
            </a:graphic>
          </wp:inline>
        </w:drawing>
      </w:r>
      <w:r w:rsidDel="00000000" w:rsidR="00000000" w:rsidRPr="00000000">
        <w:rPr>
          <w:b w:val="1"/>
          <w:bCs w:val="1"/>
          <w:rtl w:val="0"/>
        </w:rPr>
        <w:t xml:space="preserve"> (Regularization Term):</w:t>
      </w:r>
      <w:r w:rsidDel="00000000" w:rsidR="00000000" w:rsidRPr="00000000">
        <w:rPr>
          <w:rtl w:val="0"/>
        </w:rPr>
        <w:t xml:space="preserve"> Fattore di penalizzazione che controlla la complessità dell'albero </w:t>
      </w:r>
      <w:r w:rsidDel="00000000" w:rsidR="00000000" w:rsidRPr="00000000">
        <w:rPr/>
        <w:drawing>
          <wp:inline distB="114300" distT="114300" distL="114300" distR="114300">
            <wp:extent cx="127000" cy="177800"/>
            <wp:effectExtent b="0" l="0" r="0" t="0"/>
            <wp:docPr id="67" name="image68.png"/>
            <a:graphic>
              <a:graphicData uri="http://schemas.openxmlformats.org/drawingml/2006/picture">
                <pic:pic>
                  <pic:nvPicPr>
                    <pic:cNvPr id="0" name="image68.png"/>
                    <pic:cNvPicPr preferRelativeResize="0"/>
                  </pic:nvPicPr>
                  <pic:blipFill>
                    <a:blip r:embed="rId40"/>
                    <a:srcRect b="0" l="0" r="0" t="0"/>
                    <a:stretch>
                      <a:fillRect/>
                    </a:stretch>
                  </pic:blipFill>
                  <pic:spPr>
                    <a:xfrm>
                      <a:off x="0" y="0"/>
                      <a:ext cx="127000" cy="177800"/>
                    </a:xfrm>
                    <a:prstGeom prst="rect"/>
                    <a:ln/>
                  </pic:spPr>
                </pic:pic>
              </a:graphicData>
            </a:graphic>
          </wp:inline>
        </w:drawing>
      </w:r>
      <w:r w:rsidDel="00000000" w:rsidR="00000000" w:rsidRPr="00000000">
        <w:rPr>
          <w:rtl w:val="0"/>
        </w:rPr>
        <w:t xml:space="preserve"> (es. profondità, numero di foglie). Questo termine è critico per prevenire l'overfitting, garantendo che il modello generalizzi correttamente su nuovi dati epidemiologici.</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Questi modelli permettono di generare la Feature Importance identificando quali variabili ambientali (es. umidità relativa o direzione del vento) abbiano il peso maggiore nella propagazione di un cluster infettivo, fornendo agli epidemiologi una gerarchia chiara dei fattori di rischio.</w:t>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gt2t14k9wccv" w:id="6"/>
      <w:bookmarkEnd w:id="6"/>
      <w:r w:rsidDel="00000000" w:rsidR="00000000" w:rsidRPr="00000000">
        <w:rPr>
          <w:b w:val="1"/>
          <w:bCs w:val="1"/>
          <w:sz w:val="34"/>
          <w:szCs w:val="34"/>
          <w:rtl w:val="0"/>
        </w:rPr>
        <w:t xml:space="preserve">Global Moran’s I</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Per l'identificazione di pattern geografici non casuali nelle segnalazioni sanitarie, il sistema dovrebbe integrare tecniche di statistica spaziale avanzata. L'indicatore principale utilizzato è il </w:t>
      </w:r>
      <w:r w:rsidDel="00000000" w:rsidR="00000000" w:rsidRPr="00000000">
        <w:rPr>
          <w:b w:val="1"/>
          <w:bCs w:val="1"/>
          <w:rtl w:val="0"/>
        </w:rPr>
        <w:t xml:space="preserve">Global Moran’s I</w:t>
      </w:r>
      <w:r w:rsidDel="00000000" w:rsidR="00000000" w:rsidRPr="00000000">
        <w:rPr>
          <w:rtl w:val="0"/>
        </w:rPr>
        <w:t xml:space="preserve">, un coefficiente che permette di quantificare l'autocorrelazione spaziale, ovvero il grado in cui la presenza di una patologia in un'area geografica (comune o provincia) sia correlata alla presenza della stessa nei territori limitrofi.</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L'indice di Moran viene calcolato mediante il rapporto tra la covarianza spaziale e la varianza totale dei dati, normalizzato per la configurazione dei pesi:</w:t>
      </w:r>
    </w:p>
    <w:p w:rsidR="00000000" w:rsidDel="00000000" w:rsidP="00000000" w:rsidRDefault="00000000" w:rsidRPr="00000000" w14:paraId="0000003F">
      <w:pPr>
        <w:spacing w:after="240" w:before="240" w:lineRule="auto"/>
        <w:jc w:val="both"/>
        <w:rPr/>
      </w:pPr>
      <w:r w:rsidDel="00000000" w:rsidR="00000000" w:rsidRPr="00000000">
        <w:rPr/>
        <w:drawing>
          <wp:inline distB="114300" distT="114300" distL="114300" distR="114300">
            <wp:extent cx="1473200" cy="406400"/>
            <wp:effectExtent b="0" l="0" r="0" t="0"/>
            <wp:docPr id="5"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1473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I parametri matematici della funzione sono così definiti:</w:t>
      </w:r>
    </w:p>
    <w:p w:rsidR="00000000" w:rsidDel="00000000" w:rsidP="00000000" w:rsidRDefault="00000000" w:rsidRPr="00000000" w14:paraId="00000041">
      <w:pPr>
        <w:numPr>
          <w:ilvl w:val="0"/>
          <w:numId w:val="9"/>
        </w:numPr>
        <w:spacing w:after="0" w:afterAutospacing="0" w:lineRule="auto"/>
        <w:ind w:left="720" w:hanging="360"/>
        <w:jc w:val="both"/>
      </w:pPr>
      <w:r w:rsidDel="00000000" w:rsidR="00000000" w:rsidRPr="00000000">
        <w:rPr/>
        <w:drawing>
          <wp:inline distB="114300" distT="114300" distL="114300" distR="114300">
            <wp:extent cx="88900" cy="177800"/>
            <wp:effectExtent b="0" l="0" r="0" t="0"/>
            <wp:docPr id="23"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88900" cy="177800"/>
                    </a:xfrm>
                    <a:prstGeom prst="rect"/>
                    <a:ln/>
                  </pic:spPr>
                </pic:pic>
              </a:graphicData>
            </a:graphic>
          </wp:inline>
        </w:drawing>
      </w:r>
      <w:r w:rsidDel="00000000" w:rsidR="00000000" w:rsidRPr="00000000">
        <w:rPr>
          <w:b w:val="1"/>
          <w:bCs w:val="1"/>
          <w:rtl w:val="0"/>
        </w:rPr>
        <w:t xml:space="preserve"> (Sample Size):</w:t>
      </w:r>
      <w:r w:rsidDel="00000000" w:rsidR="00000000" w:rsidRPr="00000000">
        <w:rPr>
          <w:rtl w:val="0"/>
        </w:rPr>
        <w:t xml:space="preserve"> Numero totale delle unità spaziali prese in esame (es. il numero di comuni all'interno di una regione).</w:t>
      </w:r>
    </w:p>
    <w:p w:rsidR="00000000" w:rsidDel="00000000" w:rsidP="00000000" w:rsidRDefault="00000000" w:rsidRPr="00000000" w14:paraId="00000042">
      <w:pPr>
        <w:numPr>
          <w:ilvl w:val="0"/>
          <w:numId w:val="9"/>
        </w:numPr>
        <w:spacing w:after="0" w:afterAutospacing="0" w:lineRule="auto"/>
        <w:ind w:left="720" w:hanging="360"/>
        <w:jc w:val="both"/>
      </w:pPr>
      <w:r w:rsidDel="00000000" w:rsidR="00000000" w:rsidRPr="00000000">
        <w:rPr/>
        <w:drawing>
          <wp:inline distB="114300" distT="114300" distL="114300" distR="114300">
            <wp:extent cx="190500" cy="190500"/>
            <wp:effectExtent b="0" l="0" r="0" t="0"/>
            <wp:docPr id="10"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190500" cy="190500"/>
                    </a:xfrm>
                    <a:prstGeom prst="rect"/>
                    <a:ln/>
                  </pic:spPr>
                </pic:pic>
              </a:graphicData>
            </a:graphic>
          </wp:inline>
        </w:drawing>
      </w:r>
      <w:r w:rsidDel="00000000" w:rsidR="00000000" w:rsidRPr="00000000">
        <w:rPr>
          <w:b w:val="1"/>
          <w:bCs w:val="1"/>
          <w:rtl w:val="0"/>
        </w:rPr>
        <w:t xml:space="preserve"> (Spatial Weights):</w:t>
      </w:r>
      <w:r w:rsidDel="00000000" w:rsidR="00000000" w:rsidRPr="00000000">
        <w:rPr>
          <w:rtl w:val="0"/>
        </w:rPr>
        <w:t xml:space="preserve"> Elementi della matrice dei pesi spaziali che definiscono la struttura di prossimità tra l'unità i e l'unità j. Solitamente si adotta un criterio di contiguità (Queen) o basato sulla distanza chilometrica.</w:t>
      </w:r>
    </w:p>
    <w:p w:rsidR="00000000" w:rsidDel="00000000" w:rsidP="00000000" w:rsidRDefault="00000000" w:rsidRPr="00000000" w14:paraId="00000043">
      <w:pPr>
        <w:numPr>
          <w:ilvl w:val="0"/>
          <w:numId w:val="9"/>
        </w:numPr>
        <w:spacing w:after="0" w:afterAutospacing="0" w:lineRule="auto"/>
        <w:ind w:left="720" w:hanging="360"/>
        <w:jc w:val="both"/>
      </w:pPr>
      <w:r w:rsidDel="00000000" w:rsidR="00000000" w:rsidRPr="00000000">
        <w:rPr/>
        <w:drawing>
          <wp:inline distB="114300" distT="114300" distL="114300" distR="114300">
            <wp:extent cx="101600" cy="177800"/>
            <wp:effectExtent b="0" l="0" r="0" t="0"/>
            <wp:docPr id="58"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(Deviation):</w:t>
      </w:r>
      <w:r w:rsidDel="00000000" w:rsidR="00000000" w:rsidRPr="00000000">
        <w:rPr>
          <w:rtl w:val="0"/>
        </w:rPr>
        <w:t xml:space="preserve"> Rappresenta la deviazione del valore osservato nell'unità </w:t>
      </w:r>
      <w:r w:rsidDel="00000000" w:rsidR="00000000" w:rsidRPr="00000000">
        <w:rPr>
          <w:i w:val="1"/>
          <w:iCs w:val="1"/>
          <w:rtl w:val="0"/>
        </w:rPr>
        <w:t xml:space="preserve">i</w:t>
      </w:r>
      <w:r w:rsidDel="00000000" w:rsidR="00000000" w:rsidRPr="00000000">
        <w:rPr>
          <w:rtl w:val="0"/>
        </w:rPr>
        <w:t xml:space="preserve"> rispetto alla media globale della serie (</w:t>
      </w:r>
      <w:r w:rsidDel="00000000" w:rsidR="00000000" w:rsidRPr="00000000">
        <w:rPr/>
        <w:drawing>
          <wp:inline distB="114300" distT="114300" distL="114300" distR="114300">
            <wp:extent cx="660400" cy="177800"/>
            <wp:effectExtent b="0" l="0" r="0" t="0"/>
            <wp:docPr id="43"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6604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44">
      <w:pPr>
        <w:numPr>
          <w:ilvl w:val="0"/>
          <w:numId w:val="9"/>
        </w:numPr>
        <w:spacing w:after="240" w:lineRule="auto"/>
        <w:ind w:left="720" w:hanging="360"/>
        <w:jc w:val="both"/>
      </w:pPr>
      <w:r w:rsidDel="00000000" w:rsidR="00000000" w:rsidRPr="00000000">
        <w:rPr/>
        <w:drawing>
          <wp:inline distB="114300" distT="114300" distL="114300" distR="114300">
            <wp:extent cx="139700" cy="177800"/>
            <wp:effectExtent b="0" l="0" r="0" t="0"/>
            <wp:docPr id="61"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 (Aggregated Weights):</w:t>
      </w:r>
      <w:r w:rsidDel="00000000" w:rsidR="00000000" w:rsidRPr="00000000">
        <w:rPr>
          <w:rtl w:val="0"/>
        </w:rPr>
        <w:t xml:space="preserve"> Somma di tutti i pesi spaziali all'interno della matrice (</w:t>
      </w:r>
      <w:r w:rsidDel="00000000" w:rsidR="00000000" w:rsidRPr="00000000">
        <w:rPr/>
        <w:drawing>
          <wp:inline distB="114300" distT="114300" distL="114300" distR="114300">
            <wp:extent cx="850900" cy="190500"/>
            <wp:effectExtent b="0" l="0" r="0" t="0"/>
            <wp:docPr id="69"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850900" cy="190500"/>
                    </a:xfrm>
                    <a:prstGeom prst="rect"/>
                    <a:ln/>
                  </pic:spPr>
                </pic:pic>
              </a:graphicData>
            </a:graphic>
          </wp:inline>
        </w:drawing>
      </w:r>
      <w:r w:rsidDel="00000000" w:rsidR="00000000" w:rsidRPr="00000000">
        <w:rPr>
          <w:rtl w:val="0"/>
        </w:rPr>
        <w:t xml:space="preserve">), utilizzata come fattore di scala.</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L'interpretazione del valore </w:t>
      </w:r>
      <w:r w:rsidDel="00000000" w:rsidR="00000000" w:rsidRPr="00000000">
        <w:rPr/>
        <w:drawing>
          <wp:inline distB="114300" distT="114300" distL="114300" distR="114300">
            <wp:extent cx="63500" cy="177800"/>
            <wp:effectExtent b="0" l="0" r="0" t="0"/>
            <wp:docPr id="18"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63500" cy="177800"/>
                    </a:xfrm>
                    <a:prstGeom prst="rect"/>
                    <a:ln/>
                  </pic:spPr>
                </pic:pic>
              </a:graphicData>
            </a:graphic>
          </wp:inline>
        </w:drawing>
      </w:r>
      <w:r w:rsidDel="00000000" w:rsidR="00000000" w:rsidRPr="00000000">
        <w:rPr>
          <w:rtl w:val="0"/>
        </w:rPr>
        <w:t xml:space="preserve"> segue questi criteri:</w:t>
      </w:r>
    </w:p>
    <w:p w:rsidR="00000000" w:rsidDel="00000000" w:rsidP="00000000" w:rsidRDefault="00000000" w:rsidRPr="00000000" w14:paraId="00000046">
      <w:pPr>
        <w:numPr>
          <w:ilvl w:val="0"/>
          <w:numId w:val="4"/>
        </w:numPr>
        <w:spacing w:after="0" w:afterAutospacing="0" w:lineRule="auto"/>
        <w:ind w:left="720" w:hanging="360"/>
        <w:jc w:val="both"/>
      </w:pPr>
      <w:r w:rsidDel="00000000" w:rsidR="00000000" w:rsidRPr="00000000">
        <w:rPr/>
        <w:drawing>
          <wp:inline distB="114300" distT="114300" distL="114300" distR="114300">
            <wp:extent cx="63500" cy="177800"/>
            <wp:effectExtent b="0" l="0" r="0" t="0"/>
            <wp:docPr id="54"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63500" cy="177800"/>
                    </a:xfrm>
                    <a:prstGeom prst="rect"/>
                    <a:ln/>
                  </pic:spPr>
                </pic:pic>
              </a:graphicData>
            </a:graphic>
          </wp:inline>
        </w:drawing>
      </w:r>
      <w:r w:rsidDel="00000000" w:rsidR="00000000" w:rsidRPr="00000000">
        <w:rPr>
          <w:rtl w:val="0"/>
        </w:rPr>
        <w:t xml:space="preserve">&gt;0</w:t>
      </w:r>
      <w:r w:rsidDel="00000000" w:rsidR="00000000" w:rsidRPr="00000000">
        <w:rPr>
          <w:b w:val="1"/>
          <w:bCs w:val="1"/>
          <w:rtl w:val="0"/>
        </w:rPr>
        <w:t xml:space="preserve"> (Autocorrelazione Positiva):</w:t>
      </w:r>
      <w:r w:rsidDel="00000000" w:rsidR="00000000" w:rsidRPr="00000000">
        <w:rPr>
          <w:rtl w:val="0"/>
        </w:rPr>
        <w:t xml:space="preserve"> Indica una tendenza al "clustering". Valori simili (alti o bassi) sono raggruppati nello spazio, segnalando un possibile focolaio o un'area di crisi.</w:t>
      </w:r>
    </w:p>
    <w:p w:rsidR="00000000" w:rsidDel="00000000" w:rsidP="00000000" w:rsidRDefault="00000000" w:rsidRPr="00000000" w14:paraId="00000047">
      <w:pPr>
        <w:numPr>
          <w:ilvl w:val="0"/>
          <w:numId w:val="4"/>
        </w:numPr>
        <w:spacing w:after="0" w:afterAutospacing="0" w:lineRule="auto"/>
        <w:ind w:left="720" w:hanging="360"/>
        <w:jc w:val="both"/>
      </w:pPr>
      <w:r w:rsidDel="00000000" w:rsidR="00000000" w:rsidRPr="00000000">
        <w:rPr/>
        <w:drawing>
          <wp:inline distB="114300" distT="114300" distL="114300" distR="114300">
            <wp:extent cx="63500" cy="177800"/>
            <wp:effectExtent b="0" l="0" r="0" t="0"/>
            <wp:docPr id="50"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63500" cy="177800"/>
                    </a:xfrm>
                    <a:prstGeom prst="rect"/>
                    <a:ln/>
                  </pic:spPr>
                </pic:pic>
              </a:graphicData>
            </a:graphic>
          </wp:inline>
        </w:drawing>
      </w:r>
      <w:r w:rsidDel="00000000" w:rsidR="00000000" w:rsidRPr="00000000">
        <w:rPr>
          <w:rtl w:val="0"/>
        </w:rPr>
        <w:t xml:space="preserve">&lt;0</w:t>
      </w:r>
      <w:r w:rsidDel="00000000" w:rsidR="00000000" w:rsidRPr="00000000">
        <w:rPr>
          <w:b w:val="1"/>
          <w:bCs w:val="1"/>
          <w:rtl w:val="0"/>
        </w:rPr>
        <w:t xml:space="preserve"> (Autocorrelazione Negativa):</w:t>
      </w:r>
      <w:r w:rsidDel="00000000" w:rsidR="00000000" w:rsidRPr="00000000">
        <w:rPr>
          <w:rtl w:val="0"/>
        </w:rPr>
        <w:t xml:space="preserve"> Indica una distribuzione a scacchiera, dove valori alti sono circondati da valori bassi.</w:t>
      </w:r>
    </w:p>
    <w:p w:rsidR="00000000" w:rsidDel="00000000" w:rsidP="00000000" w:rsidRDefault="00000000" w:rsidRPr="00000000" w14:paraId="00000048">
      <w:pPr>
        <w:numPr>
          <w:ilvl w:val="0"/>
          <w:numId w:val="4"/>
        </w:numPr>
        <w:spacing w:after="240" w:lineRule="auto"/>
        <w:ind w:left="720" w:hanging="360"/>
        <w:jc w:val="both"/>
      </w:pPr>
      <w:r w:rsidDel="00000000" w:rsidR="00000000" w:rsidRPr="00000000">
        <w:rPr/>
        <w:drawing>
          <wp:inline distB="114300" distT="114300" distL="114300" distR="114300">
            <wp:extent cx="368300" cy="177800"/>
            <wp:effectExtent b="0" l="0" r="0" t="0"/>
            <wp:docPr id="62"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368300" cy="177800"/>
                    </a:xfrm>
                    <a:prstGeom prst="rect"/>
                    <a:ln/>
                  </pic:spPr>
                </pic:pic>
              </a:graphicData>
            </a:graphic>
          </wp:inline>
        </w:drawing>
      </w:r>
      <w:r w:rsidDel="00000000" w:rsidR="00000000" w:rsidRPr="00000000">
        <w:rPr>
          <w:b w:val="1"/>
          <w:bCs w:val="1"/>
          <w:rtl w:val="0"/>
        </w:rPr>
        <w:t xml:space="preserve">(Assenza di Autocorrelazione):</w:t>
      </w:r>
      <w:r w:rsidDel="00000000" w:rsidR="00000000" w:rsidRPr="00000000">
        <w:rPr>
          <w:rtl w:val="0"/>
        </w:rPr>
        <w:t xml:space="preserve"> I dati sono distribuiti in modo casuale (Randomness).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Questa metrica fornisce agli epidemiologi il supporto matematico per dichiarare ufficialmente lo stato di emergenza in una determinata area basandosi sulla significatività statistica del cluster individuato.</w:t>
      </w:r>
    </w:p>
    <w:p w:rsidR="00000000" w:rsidDel="00000000" w:rsidP="00000000" w:rsidRDefault="00000000" w:rsidRPr="00000000" w14:paraId="0000004A">
      <w:pPr>
        <w:pStyle w:val="Heading2"/>
        <w:keepNext w:val="0"/>
        <w:keepLines w:val="0"/>
        <w:spacing w:after="80" w:lineRule="auto"/>
        <w:jc w:val="both"/>
        <w:rPr>
          <w:b w:val="1"/>
          <w:bCs w:val="1"/>
          <w:sz w:val="34"/>
          <w:szCs w:val="34"/>
        </w:rPr>
      </w:pPr>
      <w:bookmarkStart w:colFirst="0" w:colLast="0" w:name="_u9741wavc2d4" w:id="7"/>
      <w:bookmarkEnd w:id="7"/>
      <w:r w:rsidDel="00000000" w:rsidR="00000000" w:rsidRPr="00000000">
        <w:rPr>
          <w:b w:val="1"/>
          <w:bCs w:val="1"/>
          <w:sz w:val="34"/>
          <w:szCs w:val="34"/>
          <w:rtl w:val="0"/>
        </w:rPr>
        <w:t xml:space="preserve">Modellazione Epidemiologica Case-Crossover</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Per isolare l'impatto dei fattori di rischio ambientali minimizzando le variabili di confondimento individuali (come età, sesso, stili di vita o comorbidità), il sistema deve implementare il </w:t>
      </w:r>
      <w:r w:rsidDel="00000000" w:rsidR="00000000" w:rsidRPr="00000000">
        <w:rPr>
          <w:b w:val="1"/>
          <w:bCs w:val="1"/>
          <w:rtl w:val="0"/>
        </w:rPr>
        <w:t xml:space="preserve">Case-Crossover</w:t>
      </w:r>
      <w:r w:rsidDel="00000000" w:rsidR="00000000" w:rsidRPr="00000000">
        <w:rPr>
          <w:rtl w:val="0"/>
        </w:rPr>
        <w:t xml:space="preserve">. In questo approccio, ogni paziente funge da "controllo di se stesso": si confronta l'esposizione del soggetto nel periodo immediatamente precedente l'insorgenza della malattia (periodo di "caso") con l'esposizione dello stesso soggetto in periodi in cui l'evento non si è verificato (periodi di "controllo").</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Il modello viene stimato attraverso una regressione logistica condizionale (Conditional Logistic Regression), la cui probabilità di occorrenza è espressa dalla formula:</w:t>
      </w:r>
    </w:p>
    <w:p w:rsidR="00000000" w:rsidDel="00000000" w:rsidP="00000000" w:rsidRDefault="00000000" w:rsidRPr="00000000" w14:paraId="0000004D">
      <w:pPr>
        <w:spacing w:after="240" w:before="240" w:lineRule="auto"/>
        <w:jc w:val="both"/>
        <w:rPr/>
      </w:pPr>
      <w:r w:rsidDel="00000000" w:rsidR="00000000" w:rsidRPr="00000000">
        <w:rPr/>
        <w:drawing>
          <wp:inline distB="114300" distT="114300" distL="114300" distR="114300">
            <wp:extent cx="1358900" cy="406400"/>
            <wp:effectExtent b="0" l="0" r="0" t="0"/>
            <wp:docPr id="49"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13589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I parametri e i simboli matematici sono così definiti:</w:t>
      </w:r>
    </w:p>
    <w:p w:rsidR="00000000" w:rsidDel="00000000" w:rsidP="00000000" w:rsidRDefault="00000000" w:rsidRPr="00000000" w14:paraId="00000050">
      <w:pPr>
        <w:numPr>
          <w:ilvl w:val="0"/>
          <w:numId w:val="10"/>
        </w:numPr>
        <w:spacing w:after="0" w:afterAutospacing="0" w:lineRule="auto"/>
        <w:ind w:left="720" w:hanging="360"/>
        <w:jc w:val="both"/>
      </w:pPr>
      <w:r w:rsidDel="00000000" w:rsidR="00000000" w:rsidRPr="00000000">
        <w:rPr/>
        <w:drawing>
          <wp:inline distB="114300" distT="114300" distL="114300" distR="114300">
            <wp:extent cx="469900" cy="177800"/>
            <wp:effectExtent b="0" l="0" r="0" t="0"/>
            <wp:docPr id="15"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469900" cy="177800"/>
                    </a:xfrm>
                    <a:prstGeom prst="rect"/>
                    <a:ln/>
                  </pic:spPr>
                </pic:pic>
              </a:graphicData>
            </a:graphic>
          </wp:inline>
        </w:drawing>
      </w:r>
      <w:r w:rsidDel="00000000" w:rsidR="00000000" w:rsidRPr="00000000">
        <w:rPr>
          <w:b w:val="1"/>
          <w:bCs w:val="1"/>
          <w:rtl w:val="0"/>
        </w:rPr>
        <w:t xml:space="preserve"> (Probability):</w:t>
      </w:r>
      <w:r w:rsidDel="00000000" w:rsidR="00000000" w:rsidRPr="00000000">
        <w:rPr>
          <w:rtl w:val="0"/>
        </w:rPr>
        <w:t xml:space="preserve"> Rappresenta la probabilità condizionata che l'evento (la segnalazione della malattia) si verifichi nel periodo di esposizione "target" rispetto ai periodi di riferimento scelti nello stesso strato temporale.</w:t>
      </w:r>
    </w:p>
    <w:p w:rsidR="00000000" w:rsidDel="00000000" w:rsidP="00000000" w:rsidRDefault="00000000" w:rsidRPr="00000000" w14:paraId="00000051">
      <w:pPr>
        <w:numPr>
          <w:ilvl w:val="0"/>
          <w:numId w:val="10"/>
        </w:numPr>
        <w:spacing w:after="0" w:afterAutospacing="0" w:lineRule="auto"/>
        <w:ind w:left="720" w:hanging="360"/>
        <w:jc w:val="both"/>
      </w:pPr>
      <w:r w:rsidDel="00000000" w:rsidR="00000000" w:rsidRPr="00000000">
        <w:rPr/>
        <w:drawing>
          <wp:inline distB="114300" distT="114300" distL="114300" distR="114300">
            <wp:extent cx="533400" cy="177800"/>
            <wp:effectExtent b="0" l="0" r="0" t="0"/>
            <wp:docPr id="59"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33400" cy="177800"/>
                    </a:xfrm>
                    <a:prstGeom prst="rect"/>
                    <a:ln/>
                  </pic:spPr>
                </pic:pic>
              </a:graphicData>
            </a:graphic>
          </wp:inline>
        </w:drawing>
      </w:r>
      <w:r w:rsidDel="00000000" w:rsidR="00000000" w:rsidRPr="00000000">
        <w:rPr>
          <w:b w:val="1"/>
          <w:bCs w:val="1"/>
          <w:rtl w:val="0"/>
        </w:rPr>
        <w:t xml:space="preserve"> (Case Exposure Effect):</w:t>
      </w:r>
      <w:r w:rsidDel="00000000" w:rsidR="00000000" w:rsidRPr="00000000">
        <w:rPr>
          <w:rtl w:val="0"/>
        </w:rPr>
        <w:t xml:space="preserve"> Funzione esponenziale che quantifica l'effetto del coefficiente </w:t>
      </w:r>
      <w:r w:rsidDel="00000000" w:rsidR="00000000" w:rsidRPr="00000000">
        <w:rPr/>
        <w:drawing>
          <wp:inline distB="114300" distT="114300" distL="114300" distR="114300">
            <wp:extent cx="101600" cy="177800"/>
            <wp:effectExtent b="0" l="0" r="0" t="0"/>
            <wp:docPr id="47"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101600" cy="177800"/>
                    </a:xfrm>
                    <a:prstGeom prst="rect"/>
                    <a:ln/>
                  </pic:spPr>
                </pic:pic>
              </a:graphicData>
            </a:graphic>
          </wp:inline>
        </w:drawing>
      </w:r>
      <w:r w:rsidDel="00000000" w:rsidR="00000000" w:rsidRPr="00000000">
        <w:rPr>
          <w:rtl w:val="0"/>
        </w:rPr>
        <w:t xml:space="preserve"> (log-hazard ratio) associato all'esposizione </w:t>
      </w:r>
      <w:r w:rsidDel="00000000" w:rsidR="00000000" w:rsidRPr="00000000">
        <w:rPr/>
        <w:drawing>
          <wp:inline distB="114300" distT="114300" distL="114300" distR="114300">
            <wp:extent cx="76200" cy="177800"/>
            <wp:effectExtent b="0" l="0" r="0" t="0"/>
            <wp:docPr id="2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 misurata nel momento del "caso" (i).</w:t>
      </w:r>
    </w:p>
    <w:p w:rsidR="00000000" w:rsidDel="00000000" w:rsidP="00000000" w:rsidRDefault="00000000" w:rsidRPr="00000000" w14:paraId="00000052">
      <w:pPr>
        <w:numPr>
          <w:ilvl w:val="0"/>
          <w:numId w:val="10"/>
        </w:numPr>
        <w:spacing w:after="0" w:afterAutospacing="0" w:lineRule="auto"/>
        <w:ind w:left="720" w:hanging="360"/>
        <w:jc w:val="both"/>
      </w:pPr>
      <w:r w:rsidDel="00000000" w:rsidR="00000000" w:rsidRPr="00000000">
        <w:rPr/>
        <w:drawing>
          <wp:inline distB="114300" distT="114300" distL="114300" distR="114300">
            <wp:extent cx="711200" cy="215900"/>
            <wp:effectExtent b="0" l="0" r="0" t="0"/>
            <wp:docPr id="31"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711200" cy="2159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Somma degli effetti dell'esposizione calcolata su tutti i periodi j facenti parte dello stesso strato (che include sia il periodo di caso che i molteplici periodi di controllo).</w:t>
      </w:r>
    </w:p>
    <w:p w:rsidR="00000000" w:rsidDel="00000000" w:rsidP="00000000" w:rsidRDefault="00000000" w:rsidRPr="00000000" w14:paraId="00000053">
      <w:pPr>
        <w:numPr>
          <w:ilvl w:val="0"/>
          <w:numId w:val="10"/>
        </w:numPr>
        <w:spacing w:after="240" w:lineRule="auto"/>
        <w:ind w:left="720" w:hanging="360"/>
        <w:jc w:val="both"/>
      </w:pPr>
      <w:r w:rsidDel="00000000" w:rsidR="00000000" w:rsidRPr="00000000">
        <w:rPr/>
        <w:drawing>
          <wp:inline distB="114300" distT="114300" distL="114300" distR="114300">
            <wp:extent cx="101600" cy="177800"/>
            <wp:effectExtent b="0" l="0" r="0" t="0"/>
            <wp:docPr id="48"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(Regression Coefficient):</w:t>
      </w:r>
      <w:r w:rsidDel="00000000" w:rsidR="00000000" w:rsidRPr="00000000">
        <w:rPr>
          <w:rtl w:val="0"/>
        </w:rPr>
        <w:t xml:space="preserve"> Il parametro stimato che indica l'incremento del rischio relativo per ogni unità di aumento dell'esposizione ambientale.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Il valore aggiunto di questo modello nel progetto risiede nella sua capacità di fornire prove statistiche robuste sulla causalità tra eventi ambientali estremi e picchi di segnalazione. Poiché il confronto è intra-soggetto, il modello elimina automaticamente tutti i fattori di distorsione costanti nel tempo, permettendo di rispondere con precisione alla domanda: "Perché il paziente ha manifestato i sintomi oggi e non una settimana fa, data la variazione dei parametri ambientali?".</w:t>
      </w:r>
    </w:p>
    <w:p w:rsidR="00000000" w:rsidDel="00000000" w:rsidP="00000000" w:rsidRDefault="00000000" w:rsidRPr="00000000" w14:paraId="00000055">
      <w:pPr>
        <w:pStyle w:val="Heading2"/>
        <w:keepNext w:val="0"/>
        <w:keepLines w:val="0"/>
        <w:spacing w:after="80" w:lineRule="auto"/>
        <w:jc w:val="both"/>
        <w:rPr>
          <w:b w:val="1"/>
          <w:bCs w:val="1"/>
          <w:sz w:val="34"/>
          <w:szCs w:val="34"/>
        </w:rPr>
      </w:pPr>
      <w:bookmarkStart w:colFirst="0" w:colLast="0" w:name="_nv3nf5suxjb3" w:id="8"/>
      <w:bookmarkEnd w:id="8"/>
      <w:r w:rsidDel="00000000" w:rsidR="00000000" w:rsidRPr="00000000">
        <w:rPr>
          <w:b w:val="1"/>
          <w:bCs w:val="1"/>
          <w:sz w:val="34"/>
          <w:szCs w:val="34"/>
          <w:rtl w:val="0"/>
        </w:rPr>
        <w:t xml:space="preserve">LSTM (Long Short-Term Memory)</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Per superare i limiti delle reti neurali ricorrenti (RNN) tradizionali, soggette al problema del gradiente svanente, il sistema implementa le unità </w:t>
      </w:r>
      <w:r w:rsidDel="00000000" w:rsidR="00000000" w:rsidRPr="00000000">
        <w:rPr>
          <w:b w:val="1"/>
          <w:bCs w:val="1"/>
          <w:rtl w:val="0"/>
        </w:rPr>
        <w:t xml:space="preserve">LSTM</w:t>
      </w:r>
      <w:r w:rsidDel="00000000" w:rsidR="00000000" w:rsidRPr="00000000">
        <w:rPr>
          <w:rtl w:val="0"/>
        </w:rPr>
        <w:t xml:space="preserve">. Queste celle di memoria sono progettate per preservare l'informazione rilevante lungo sequenze temporali estese, permettendo di correlare eventi ambientali passati con tendenze future in modo dinamico.</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Il funzionamento di una cella LSTM è regolato da una serie di "gate" (cancelli) che controllano il flusso di informazioni. Le equazioni fondamentali che governano lo stato della cella al tempo </w:t>
      </w:r>
      <w:r w:rsidDel="00000000" w:rsidR="00000000" w:rsidRPr="00000000">
        <w:rPr>
          <w:i w:val="1"/>
          <w:iCs w:val="1"/>
          <w:rtl w:val="0"/>
        </w:rPr>
        <w:t xml:space="preserve">t</w:t>
      </w:r>
      <w:r w:rsidDel="00000000" w:rsidR="00000000" w:rsidRPr="00000000">
        <w:rPr>
          <w:rtl w:val="0"/>
        </w:rPr>
        <w:t xml:space="preserve"> sono:</w:t>
      </w:r>
    </w:p>
    <w:p w:rsidR="00000000" w:rsidDel="00000000" w:rsidP="00000000" w:rsidRDefault="00000000" w:rsidRPr="00000000" w14:paraId="00000058">
      <w:pPr>
        <w:numPr>
          <w:ilvl w:val="0"/>
          <w:numId w:val="1"/>
        </w:numPr>
        <w:spacing w:after="0" w:afterAutospacing="0" w:lineRule="auto"/>
        <w:ind w:left="720" w:hanging="360"/>
        <w:jc w:val="both"/>
      </w:pPr>
      <w:r w:rsidDel="00000000" w:rsidR="00000000" w:rsidRPr="00000000">
        <w:rPr>
          <w:b w:val="1"/>
          <w:bCs w:val="1"/>
          <w:rtl w:val="0"/>
        </w:rPr>
        <w:t xml:space="preserve">Forget Gate (</w:t>
      </w:r>
      <w:r w:rsidDel="00000000" w:rsidR="00000000" w:rsidRPr="00000000">
        <w:rPr>
          <w:b w:val="1"/>
          <w:bCs w:val="1"/>
        </w:rPr>
        <w:drawing>
          <wp:inline distB="114300" distT="114300" distL="114300" distR="114300">
            <wp:extent cx="101600" cy="177800"/>
            <wp:effectExtent b="0" l="0" r="0" t="0"/>
            <wp:docPr id="16"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Decide quali informazioni della memoria passata eliminare. </w:t>
      </w:r>
      <w:r w:rsidDel="00000000" w:rsidR="00000000" w:rsidRPr="00000000">
        <w:rPr/>
        <w:drawing>
          <wp:inline distB="114300" distT="114300" distL="114300" distR="114300">
            <wp:extent cx="1625600" cy="215900"/>
            <wp:effectExtent b="0" l="0" r="0" t="0"/>
            <wp:docPr id="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1625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
        </w:numPr>
        <w:spacing w:after="0" w:afterAutospacing="0" w:lineRule="auto"/>
        <w:ind w:left="720" w:hanging="360"/>
        <w:jc w:val="both"/>
      </w:pPr>
      <w:r w:rsidDel="00000000" w:rsidR="00000000" w:rsidRPr="00000000">
        <w:rPr>
          <w:b w:val="1"/>
          <w:bCs w:val="1"/>
          <w:rtl w:val="0"/>
        </w:rPr>
        <w:t xml:space="preserve">Input Gate (</w:t>
      </w:r>
      <w:r w:rsidDel="00000000" w:rsidR="00000000" w:rsidRPr="00000000">
        <w:rPr>
          <w:b w:val="1"/>
          <w:bCs w:val="1"/>
        </w:rPr>
        <w:drawing>
          <wp:inline distB="114300" distT="114300" distL="114300" distR="114300">
            <wp:extent cx="101600" cy="177800"/>
            <wp:effectExtent b="0" l="0" r="0" t="0"/>
            <wp:docPr id="55"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Decide quali nuove informazioni memorizzare nello stato della cella. </w:t>
      </w:r>
      <w:r w:rsidDel="00000000" w:rsidR="00000000" w:rsidRPr="00000000">
        <w:rPr/>
        <w:drawing>
          <wp:inline distB="114300" distT="114300" distL="114300" distR="114300">
            <wp:extent cx="1562100" cy="177800"/>
            <wp:effectExtent b="0" l="0" r="0" t="0"/>
            <wp:docPr id="37"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15621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
        </w:numPr>
        <w:spacing w:after="240" w:lineRule="auto"/>
        <w:ind w:left="720" w:hanging="360"/>
        <w:jc w:val="both"/>
      </w:pPr>
      <w:r w:rsidDel="00000000" w:rsidR="00000000" w:rsidRPr="00000000">
        <w:rPr>
          <w:b w:val="1"/>
          <w:bCs w:val="1"/>
          <w:rtl w:val="0"/>
        </w:rPr>
        <w:t xml:space="preserve">Cell State Update (</w:t>
      </w:r>
      <w:r w:rsidDel="00000000" w:rsidR="00000000" w:rsidRPr="00000000">
        <w:rPr>
          <w:b w:val="1"/>
          <w:bCs w:val="1"/>
        </w:rPr>
        <w:drawing>
          <wp:inline distB="114300" distT="114300" distL="114300" distR="114300">
            <wp:extent cx="139700" cy="177800"/>
            <wp:effectExtent b="0" l="0" r="0" t="0"/>
            <wp:docPr id="45"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Aggiorna la memoria a lungo termine combinando il vecchio stato e i nuovi candidati. </w:t>
      </w:r>
      <w:r w:rsidDel="00000000" w:rsidR="00000000" w:rsidRPr="00000000">
        <w:rPr/>
        <w:drawing>
          <wp:inline distB="114300" distT="114300" distL="114300" distR="114300">
            <wp:extent cx="2692400" cy="177800"/>
            <wp:effectExtent b="0" l="0" r="0" t="0"/>
            <wp:docPr id="32"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26924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t xml:space="preserve">I simboli e gli operatori sono così definiti:</w:t>
      </w:r>
    </w:p>
    <w:p w:rsidR="00000000" w:rsidDel="00000000" w:rsidP="00000000" w:rsidRDefault="00000000" w:rsidRPr="00000000" w14:paraId="0000005C">
      <w:pPr>
        <w:numPr>
          <w:ilvl w:val="0"/>
          <w:numId w:val="8"/>
        </w:numPr>
        <w:spacing w:after="0" w:afterAutospacing="0" w:lineRule="auto"/>
        <w:ind w:left="720" w:hanging="360"/>
        <w:jc w:val="both"/>
      </w:pPr>
      <w:r w:rsidDel="00000000" w:rsidR="00000000" w:rsidRPr="00000000">
        <w:rPr/>
        <w:drawing>
          <wp:inline distB="114300" distT="114300" distL="114300" distR="114300">
            <wp:extent cx="101600" cy="177800"/>
            <wp:effectExtent b="0" l="0" r="0" t="0"/>
            <wp:docPr id="63"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01600" cy="177800"/>
            <wp:effectExtent b="0" l="0" r="0" t="0"/>
            <wp:docPr id="51" name="image58.png"/>
            <a:graphic>
              <a:graphicData uri="http://schemas.openxmlformats.org/drawingml/2006/picture">
                <pic:pic>
                  <pic:nvPicPr>
                    <pic:cNvPr id="0" name="image58.png"/>
                    <pic:cNvPicPr preferRelativeResize="0"/>
                  </pic:nvPicPr>
                  <pic:blipFill>
                    <a:blip r:embed="rId56"/>
                    <a:srcRect b="0" l="0" r="0" t="0"/>
                    <a:stretch>
                      <a:fillRect/>
                    </a:stretch>
                  </pic:blipFill>
                  <pic:spPr>
                    <a:xfrm>
                      <a:off x="0" y="0"/>
                      <a:ext cx="101600" cy="177800"/>
                    </a:xfrm>
                    <a:prstGeom prst="rect"/>
                    <a:ln/>
                  </pic:spPr>
                </pic:pic>
              </a:graphicData>
            </a:graphic>
          </wp:inline>
        </w:drawing>
      </w:r>
      <w:r w:rsidDel="00000000" w:rsidR="00000000" w:rsidRPr="00000000">
        <w:rPr>
          <w:b w:val="1"/>
          <w:bCs w:val="1"/>
          <w:rtl w:val="0"/>
        </w:rPr>
        <w:t xml:space="preserve"> (Gates):</w:t>
      </w:r>
      <w:r w:rsidDel="00000000" w:rsidR="00000000" w:rsidRPr="00000000">
        <w:rPr>
          <w:rtl w:val="0"/>
        </w:rPr>
        <w:t xml:space="preserve"> Vettori di attivazione che agiscono come filtri; la funzione sigmoide </w:t>
      </w:r>
      <w:r w:rsidDel="00000000" w:rsidR="00000000" w:rsidRPr="00000000">
        <w:rPr/>
        <w:drawing>
          <wp:inline distB="114300" distT="114300" distL="114300" distR="114300">
            <wp:extent cx="88900" cy="177800"/>
            <wp:effectExtent b="0" l="0" r="0" t="0"/>
            <wp:docPr id="39"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 restituisce valori tra 0 (informazione da scartare) e 1 (informazione da conservare).</w:t>
      </w:r>
    </w:p>
    <w:p w:rsidR="00000000" w:rsidDel="00000000" w:rsidP="00000000" w:rsidRDefault="00000000" w:rsidRPr="00000000" w14:paraId="0000005D">
      <w:pPr>
        <w:numPr>
          <w:ilvl w:val="0"/>
          <w:numId w:val="8"/>
        </w:numPr>
        <w:spacing w:after="0" w:afterAutospacing="0" w:lineRule="auto"/>
        <w:ind w:left="720" w:hanging="360"/>
        <w:jc w:val="both"/>
      </w:pPr>
      <w:r w:rsidDel="00000000" w:rsidR="00000000" w:rsidRPr="00000000">
        <w:rPr/>
        <w:drawing>
          <wp:inline distB="114300" distT="114300" distL="114300" distR="114300">
            <wp:extent cx="139700" cy="177800"/>
            <wp:effectExtent b="0" l="0" r="0" t="0"/>
            <wp:docPr id="8"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139700" cy="177800"/>
                    </a:xfrm>
                    <a:prstGeom prst="rect"/>
                    <a:ln/>
                  </pic:spPr>
                </pic:pic>
              </a:graphicData>
            </a:graphic>
          </wp:inline>
        </w:drawing>
      </w:r>
      <w:r w:rsidDel="00000000" w:rsidR="00000000" w:rsidRPr="00000000">
        <w:rPr>
          <w:b w:val="1"/>
          <w:bCs w:val="1"/>
          <w:rtl w:val="0"/>
        </w:rPr>
        <w:t xml:space="preserve"> (Cell State):</w:t>
      </w:r>
      <w:r w:rsidDel="00000000" w:rsidR="00000000" w:rsidRPr="00000000">
        <w:rPr>
          <w:rtl w:val="0"/>
        </w:rPr>
        <w:t xml:space="preserve"> Rappresenta la "memoria" della cella, che scorre lungo tutta la catena temporale subendo solo piccole interazioni lineari.</w:t>
      </w:r>
    </w:p>
    <w:p w:rsidR="00000000" w:rsidDel="00000000" w:rsidP="00000000" w:rsidRDefault="00000000" w:rsidRPr="00000000" w14:paraId="0000005E">
      <w:pPr>
        <w:numPr>
          <w:ilvl w:val="0"/>
          <w:numId w:val="8"/>
        </w:numPr>
        <w:spacing w:after="0" w:afterAutospacing="0" w:lineRule="auto"/>
        <w:ind w:left="720" w:hanging="360"/>
        <w:jc w:val="both"/>
      </w:pPr>
      <w:r w:rsidDel="00000000" w:rsidR="00000000" w:rsidRPr="00000000">
        <w:rPr/>
        <w:drawing>
          <wp:inline distB="114300" distT="114300" distL="114300" distR="114300">
            <wp:extent cx="266700" cy="177800"/>
            <wp:effectExtent b="0" l="0" r="0" t="0"/>
            <wp:docPr id="28"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266700" cy="177800"/>
                    </a:xfrm>
                    <a:prstGeom prst="rect"/>
                    <a:ln/>
                  </pic:spPr>
                </pic:pic>
              </a:graphicData>
            </a:graphic>
          </wp:inline>
        </w:drawing>
      </w:r>
      <w:r w:rsidDel="00000000" w:rsidR="00000000" w:rsidRPr="00000000">
        <w:rPr>
          <w:b w:val="1"/>
          <w:bCs w:val="1"/>
          <w:rtl w:val="0"/>
        </w:rPr>
        <w:t xml:space="preserve"> (Hidden State):</w:t>
      </w:r>
      <w:r w:rsidDel="00000000" w:rsidR="00000000" w:rsidRPr="00000000">
        <w:rPr>
          <w:rtl w:val="0"/>
        </w:rPr>
        <w:t xml:space="preserve"> L'output della cella al passo temporale precedente, utilizzato come contesto per la previsione attuale.</w:t>
      </w:r>
    </w:p>
    <w:p w:rsidR="00000000" w:rsidDel="00000000" w:rsidP="00000000" w:rsidRDefault="00000000" w:rsidRPr="00000000" w14:paraId="0000005F">
      <w:pPr>
        <w:numPr>
          <w:ilvl w:val="0"/>
          <w:numId w:val="8"/>
        </w:numPr>
        <w:spacing w:after="0" w:afterAutospacing="0" w:lineRule="auto"/>
        <w:ind w:left="720" w:hanging="360"/>
        <w:jc w:val="both"/>
      </w:pPr>
      <w:r w:rsidDel="00000000" w:rsidR="00000000" w:rsidRPr="00000000">
        <w:rPr/>
        <w:drawing>
          <wp:inline distB="114300" distT="114300" distL="114300" distR="114300">
            <wp:extent cx="266700" cy="177800"/>
            <wp:effectExtent b="0" l="0" r="0" t="0"/>
            <wp:docPr id="6"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266700" cy="177800"/>
                    </a:xfrm>
                    <a:prstGeom prst="rect"/>
                    <a:ln/>
                  </pic:spPr>
                </pic:pic>
              </a:graphicData>
            </a:graphic>
          </wp:inline>
        </w:drawing>
      </w:r>
      <w:r w:rsidDel="00000000" w:rsidR="00000000" w:rsidRPr="00000000">
        <w:rPr>
          <w:b w:val="1"/>
          <w:bCs w:val="1"/>
          <w:rtl w:val="0"/>
        </w:rPr>
        <w:t xml:space="preserve"> (Weights and Biases):</w:t>
      </w:r>
      <w:r w:rsidDel="00000000" w:rsidR="00000000" w:rsidRPr="00000000">
        <w:rPr>
          <w:rtl w:val="0"/>
        </w:rPr>
        <w:t xml:space="preserve"> Matrici di pesi e vettori di distorsione che la rete apprende durante la fase di training su dataset storici.</w:t>
      </w:r>
    </w:p>
    <w:p w:rsidR="00000000" w:rsidDel="00000000" w:rsidP="00000000" w:rsidRDefault="00000000" w:rsidRPr="00000000" w14:paraId="00000060">
      <w:pPr>
        <w:numPr>
          <w:ilvl w:val="0"/>
          <w:numId w:val="8"/>
        </w:numPr>
        <w:spacing w:after="240" w:lineRule="auto"/>
        <w:ind w:left="720" w:hanging="360"/>
        <w:jc w:val="both"/>
      </w:pPr>
      <w:r w:rsidDel="00000000" w:rsidR="00000000" w:rsidRPr="00000000">
        <w:rPr/>
        <w:drawing>
          <wp:inline distB="114300" distT="114300" distL="114300" distR="114300">
            <wp:extent cx="63500" cy="177800"/>
            <wp:effectExtent b="0" l="0" r="0" t="0"/>
            <wp:docPr id="68" name="image69.png"/>
            <a:graphic>
              <a:graphicData uri="http://schemas.openxmlformats.org/drawingml/2006/picture">
                <pic:pic>
                  <pic:nvPicPr>
                    <pic:cNvPr id="0" name="image69.png"/>
                    <pic:cNvPicPr preferRelativeResize="0"/>
                  </pic:nvPicPr>
                  <pic:blipFill>
                    <a:blip r:embed="rId63"/>
                    <a:srcRect b="0" l="0" r="0" t="0"/>
                    <a:stretch>
                      <a:fillRect/>
                    </a:stretch>
                  </pic:blipFill>
                  <pic:spPr>
                    <a:xfrm>
                      <a:off x="0" y="0"/>
                      <a:ext cx="63500" cy="177800"/>
                    </a:xfrm>
                    <a:prstGeom prst="rect"/>
                    <a:ln/>
                  </pic:spPr>
                </pic:pic>
              </a:graphicData>
            </a:graphic>
          </wp:inline>
        </w:drawing>
      </w:r>
      <w:r w:rsidDel="00000000" w:rsidR="00000000" w:rsidRPr="00000000">
        <w:rPr>
          <w:b w:val="1"/>
          <w:bCs w:val="1"/>
          <w:rtl w:val="0"/>
        </w:rPr>
        <w:t xml:space="preserve"> (Hadamard Product):</w:t>
      </w:r>
      <w:r w:rsidDel="00000000" w:rsidR="00000000" w:rsidRPr="00000000">
        <w:rPr>
          <w:rtl w:val="0"/>
        </w:rPr>
        <w:t xml:space="preserve"> Operatore di moltiplicazione elemento per elemento.</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L'utilizzo delle LSTM nel progetto HealthTrace è mirato alla creazione di modelli di Early Warning. Grazie alla loro capacità di "ricordare" pattern stagionali e anomalie ambientali passate, queste reti possono prevedere con giorni di anticipo l'insorgenza di anomalie nei dati sanitari, permettendo alle autorità competenti di intervenire prima che un focolaio si trasformi in emergenza conclamata.</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8.png"/><Relationship Id="rId42" Type="http://schemas.openxmlformats.org/officeDocument/2006/relationships/image" Target="media/image7.png"/><Relationship Id="rId41" Type="http://schemas.openxmlformats.org/officeDocument/2006/relationships/image" Target="media/image1.png"/><Relationship Id="rId44" Type="http://schemas.openxmlformats.org/officeDocument/2006/relationships/image" Target="media/image66.png"/><Relationship Id="rId43" Type="http://schemas.openxmlformats.org/officeDocument/2006/relationships/image" Target="media/image21.png"/><Relationship Id="rId46" Type="http://schemas.openxmlformats.org/officeDocument/2006/relationships/image" Target="media/image63.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3.png"/><Relationship Id="rId47" Type="http://schemas.openxmlformats.org/officeDocument/2006/relationships/image" Target="media/image56.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8.png"/><Relationship Id="rId8" Type="http://schemas.openxmlformats.org/officeDocument/2006/relationships/image" Target="media/image15.png"/><Relationship Id="rId31" Type="http://schemas.openxmlformats.org/officeDocument/2006/relationships/image" Target="media/image52.png"/><Relationship Id="rId30" Type="http://schemas.openxmlformats.org/officeDocument/2006/relationships/image" Target="media/image46.png"/><Relationship Id="rId33" Type="http://schemas.openxmlformats.org/officeDocument/2006/relationships/image" Target="media/image67.png"/><Relationship Id="rId32" Type="http://schemas.openxmlformats.org/officeDocument/2006/relationships/image" Target="media/image5.png"/><Relationship Id="rId35" Type="http://schemas.openxmlformats.org/officeDocument/2006/relationships/image" Target="media/image54.png"/><Relationship Id="rId34" Type="http://schemas.openxmlformats.org/officeDocument/2006/relationships/image" Target="media/image10.png"/><Relationship Id="rId37" Type="http://schemas.openxmlformats.org/officeDocument/2006/relationships/image" Target="media/image64.png"/><Relationship Id="rId36" Type="http://schemas.openxmlformats.org/officeDocument/2006/relationships/image" Target="media/image12.png"/><Relationship Id="rId39" Type="http://schemas.openxmlformats.org/officeDocument/2006/relationships/image" Target="media/image55.png"/><Relationship Id="rId38" Type="http://schemas.openxmlformats.org/officeDocument/2006/relationships/image" Target="media/image35.png"/><Relationship Id="rId62" Type="http://schemas.openxmlformats.org/officeDocument/2006/relationships/image" Target="media/image11.png"/><Relationship Id="rId61" Type="http://schemas.openxmlformats.org/officeDocument/2006/relationships/image" Target="media/image32.png"/><Relationship Id="rId20" Type="http://schemas.openxmlformats.org/officeDocument/2006/relationships/image" Target="media/image26.png"/><Relationship Id="rId63" Type="http://schemas.openxmlformats.org/officeDocument/2006/relationships/image" Target="media/image69.png"/><Relationship Id="rId22" Type="http://schemas.openxmlformats.org/officeDocument/2006/relationships/image" Target="media/image65.png"/><Relationship Id="rId21" Type="http://schemas.openxmlformats.org/officeDocument/2006/relationships/image" Target="media/image50.png"/><Relationship Id="rId24" Type="http://schemas.openxmlformats.org/officeDocument/2006/relationships/image" Target="media/image60.png"/><Relationship Id="rId23" Type="http://schemas.openxmlformats.org/officeDocument/2006/relationships/image" Target="media/image27.png"/><Relationship Id="rId60" Type="http://schemas.openxmlformats.org/officeDocument/2006/relationships/image" Target="media/image62.png"/><Relationship Id="rId26" Type="http://schemas.openxmlformats.org/officeDocument/2006/relationships/image" Target="media/image53.png"/><Relationship Id="rId25" Type="http://schemas.openxmlformats.org/officeDocument/2006/relationships/image" Target="media/image36.png"/><Relationship Id="rId28" Type="http://schemas.openxmlformats.org/officeDocument/2006/relationships/image" Target="media/image29.png"/><Relationship Id="rId27" Type="http://schemas.openxmlformats.org/officeDocument/2006/relationships/image" Target="media/image45.png"/><Relationship Id="rId29" Type="http://schemas.openxmlformats.org/officeDocument/2006/relationships/image" Target="media/image24.png"/><Relationship Id="rId51" Type="http://schemas.openxmlformats.org/officeDocument/2006/relationships/image" Target="media/image18.png"/><Relationship Id="rId50" Type="http://schemas.openxmlformats.org/officeDocument/2006/relationships/image" Target="media/image43.png"/><Relationship Id="rId53" Type="http://schemas.openxmlformats.org/officeDocument/2006/relationships/image" Target="media/image25.png"/><Relationship Id="rId52" Type="http://schemas.openxmlformats.org/officeDocument/2006/relationships/image" Target="media/image47.png"/><Relationship Id="rId11" Type="http://schemas.openxmlformats.org/officeDocument/2006/relationships/image" Target="media/image17.png"/><Relationship Id="rId55" Type="http://schemas.openxmlformats.org/officeDocument/2006/relationships/image" Target="media/image4.png"/><Relationship Id="rId10" Type="http://schemas.openxmlformats.org/officeDocument/2006/relationships/image" Target="media/image61.png"/><Relationship Id="rId54" Type="http://schemas.openxmlformats.org/officeDocument/2006/relationships/image" Target="media/image20.png"/><Relationship Id="rId13" Type="http://schemas.openxmlformats.org/officeDocument/2006/relationships/image" Target="media/image9.png"/><Relationship Id="rId57" Type="http://schemas.openxmlformats.org/officeDocument/2006/relationships/image" Target="media/image19.png"/><Relationship Id="rId12" Type="http://schemas.openxmlformats.org/officeDocument/2006/relationships/image" Target="media/image14.png"/><Relationship Id="rId56" Type="http://schemas.openxmlformats.org/officeDocument/2006/relationships/image" Target="media/image57.png"/><Relationship Id="rId15" Type="http://schemas.openxmlformats.org/officeDocument/2006/relationships/image" Target="media/image22.png"/><Relationship Id="rId59" Type="http://schemas.openxmlformats.org/officeDocument/2006/relationships/image" Target="media/image16.png"/><Relationship Id="rId14" Type="http://schemas.openxmlformats.org/officeDocument/2006/relationships/image" Target="media/image59.png"/><Relationship Id="rId58" Type="http://schemas.openxmlformats.org/officeDocument/2006/relationships/image" Target="media/image33.png"/><Relationship Id="rId17" Type="http://schemas.openxmlformats.org/officeDocument/2006/relationships/image" Target="media/image41.png"/><Relationship Id="rId16" Type="http://schemas.openxmlformats.org/officeDocument/2006/relationships/image" Target="media/image28.png"/><Relationship Id="rId19" Type="http://schemas.openxmlformats.org/officeDocument/2006/relationships/image" Target="media/image48.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