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HealthTrace — Call Cheat Sheet (1 Page)</w:t>
      </w:r>
    </w:p>
    <w:p>
      <w:r>
        <w:t>Use this script during the alignment call with the environmental data provider.</w:t>
      </w:r>
    </w:p>
    <w:p>
      <w:pPr>
        <w:pStyle w:val="Heading2"/>
      </w:pPr>
      <w:r>
        <w:t>1) 30-second opening</w:t>
      </w:r>
    </w:p>
    <w:p>
      <w:r>
        <w:t>“We run two coordinated pipelines: a batch analytical flow for DWH/Superset/ML, and a low-latency realtime flow for alerts. Kafka is used as the transport and decoupling layer. Our join key is ISTAT comune code.”</w:t>
      </w:r>
    </w:p>
    <w:p>
      <w:pPr>
        <w:pStyle w:val="Heading2"/>
      </w:pPr>
      <w:r>
        <w:t>2) Analytical Flow (Batch)</w:t>
      </w:r>
    </w:p>
    <w:p>
      <w:pPr>
        <w:pStyle w:val="ListBullet"/>
      </w:pPr>
      <w:r>
        <w:t>Source APIs (_stat endpoints) -&gt; ETL normalization -&gt; Kafka ingestion topics -&gt; IngestionConsumer -&gt; DWH table environmental_daily_aggregated.</w:t>
      </w:r>
    </w:p>
    <w:p>
      <w:pPr>
        <w:pStyle w:val="ListBullet"/>
      </w:pPr>
      <w:r>
        <w:t>Partition key: istat_code (6-digit comune code).</w:t>
      </w:r>
    </w:p>
    <w:p>
      <w:pPr>
        <w:pStyle w:val="ListBullet"/>
      </w:pPr>
      <w:r>
        <w:t>Data rules: UTC timestamps, filter_on_range=true, validated=true for ARPAC, remove -9999 artifacts, unit normalization.</w:t>
      </w:r>
    </w:p>
    <w:p>
      <w:pPr>
        <w:pStyle w:val="ListBullet"/>
      </w:pPr>
      <w:r>
        <w:t>Aggregation: IDW per comune/day/source before DWH write.</w:t>
      </w:r>
    </w:p>
    <w:p>
      <w:pPr>
        <w:pStyle w:val="Heading2"/>
      </w:pPr>
      <w:r>
        <w:t>3) Realtime Flow (Alerts)</w:t>
      </w:r>
    </w:p>
    <w:p>
      <w:pPr>
        <w:pStyle w:val="ListBullet"/>
      </w:pPr>
      <w:r>
        <w:t>Provider publishes realtime events to Kafka topics (air and meteo separated).</w:t>
      </w:r>
    </w:p>
    <w:p>
      <w:pPr>
        <w:pStyle w:val="ListBullet"/>
      </w:pPr>
      <w:r>
        <w:t>RealtimeAlertConsumer checks thresholds and publishes alert events to analytics_trigger.</w:t>
      </w:r>
    </w:p>
    <w:p>
      <w:pPr>
        <w:pStyle w:val="ListBullet"/>
      </w:pPr>
      <w:r>
        <w:t>Realtime is independent from heavy analytical queries; optional persistence to DWH for audit/history.</w:t>
      </w:r>
    </w:p>
    <w:p>
      <w:pPr>
        <w:pStyle w:val="Heading2"/>
      </w:pPr>
      <w:r>
        <w:t>4) Topic Contract to confirm live</w:t>
      </w:r>
    </w:p>
    <w:p>
      <w:pPr>
        <w:pStyle w:val="ListBullet"/>
      </w:pPr>
      <w:r>
        <w:t>environmental-ingestion-air — Batch ARPAC measurements — key: istat_code</w:t>
      </w:r>
    </w:p>
    <w:p>
      <w:pPr>
        <w:pStyle w:val="ListBullet"/>
      </w:pPr>
      <w:r>
        <w:t>environmental-ingestion-meteo — Batch MeteoHub measurements — key: istat_code</w:t>
      </w:r>
    </w:p>
    <w:p>
      <w:pPr>
        <w:pStyle w:val="ListBullet"/>
      </w:pPr>
      <w:r>
        <w:t>environmental-realtime-air — Realtime ARPAC events — key: istat_code</w:t>
      </w:r>
    </w:p>
    <w:p>
      <w:pPr>
        <w:pStyle w:val="ListBullet"/>
      </w:pPr>
      <w:r>
        <w:t>environmental-realtime-meteo — Realtime MeteoHub events — key: istat_code</w:t>
      </w:r>
    </w:p>
    <w:p>
      <w:pPr>
        <w:pStyle w:val="ListBullet"/>
      </w:pPr>
      <w:r>
        <w:t>analytics_trigger — Generated alert events downstream — key: istat_code</w:t>
      </w:r>
    </w:p>
    <w:p>
      <w:pPr>
        <w:pStyle w:val="ListBullet"/>
      </w:pPr>
      <w:r>
        <w:t>health-data — Disease case events (internal) — key: comune_inizio_sintomi_codice_istat</w:t>
      </w:r>
    </w:p>
    <w:p>
      <w:pPr>
        <w:pStyle w:val="Heading2"/>
      </w:pPr>
      <w:r>
        <w:t>5) Minimum payload requirements</w:t>
      </w:r>
    </w:p>
    <w:p>
      <w:pPr>
        <w:pStyle w:val="ListBullet"/>
      </w:pPr>
      <w:r>
        <w:t>istat_code, station_id, source, latitude, longitude, timestamp/period in UTC.</w:t>
      </w:r>
    </w:p>
    <w:p>
      <w:pPr>
        <w:pStyle w:val="ListBullet"/>
      </w:pPr>
      <w:r>
        <w:t>For ingestion: parameters[] with min/mean/max/unit, plus period_start/period_end.</w:t>
      </w:r>
    </w:p>
    <w:p>
      <w:pPr>
        <w:pStyle w:val="ListBullet"/>
      </w:pPr>
      <w:r>
        <w:t>For realtime: parameter + value + unit suitable for threshold checks.</w:t>
      </w:r>
    </w:p>
    <w:p>
      <w:pPr>
        <w:pStyle w:val="ListBullet"/>
      </w:pPr>
      <w:r>
        <w:t>No invalid values; if invalid exists, explicit flag or removal agreed.</w:t>
      </w:r>
    </w:p>
    <w:p>
      <w:pPr>
        <w:pStyle w:val="Heading2"/>
      </w:pPr>
      <w:r>
        <w:t>6) Critical questions to close in call</w:t>
      </w:r>
    </w:p>
    <w:p>
      <w:pPr>
        <w:pStyle w:val="ListBullet"/>
      </w:pPr>
      <w:r>
        <w:t>What are final bootstrap servers and credentials for Kafka integration?</w:t>
      </w:r>
    </w:p>
    <w:p>
      <w:pPr>
        <w:pStyle w:val="ListBullet"/>
      </w:pPr>
      <w:r>
        <w:t>Do they push directly to our topics, or do we consume from theirs?</w:t>
      </w:r>
    </w:p>
    <w:p>
      <w:pPr>
        <w:pStyle w:val="ListBullet"/>
      </w:pPr>
      <w:r>
        <w:t>Retention/replay policy for ingestion topics (how many days)?</w:t>
      </w:r>
    </w:p>
    <w:p>
      <w:pPr>
        <w:pStyle w:val="ListBullet"/>
      </w:pPr>
      <w:r>
        <w:t>Realtime SLA (max acceptable latency from event to alert)?</w:t>
      </w:r>
    </w:p>
    <w:p>
      <w:pPr>
        <w:pStyle w:val="ListBullet"/>
      </w:pPr>
      <w:r>
        <w:t>Historical backfill: date range and transport mode (API vs file dump)?</w:t>
      </w:r>
    </w:p>
    <w:p>
      <w:pPr>
        <w:pStyle w:val="Heading2"/>
      </w:pPr>
      <w:r>
        <w:t>7) Close sentence (use at end)</w:t>
      </w:r>
    </w:p>
    <w:p>
      <w:r>
        <w:t>“If we lock topic names, payload schema, keying strategy, and backfill plan today, we can start integration immediately with low risk and full traceability.”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