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ind w:hanging="0" w:left="0"/>
            <w:rPr/>
          </w:pPr>
          <w:r>
            <w:rPr/>
            <w:t>Sommario</w:t>
          </w:r>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1844795">
            <w:r>
              <w:rPr>
                <w:webHidden/>
                <w:rStyle w:val="IndexLink"/>
                <w:vanish w:val="false"/>
              </w:rPr>
              <w:t>1</w:t>
            </w:r>
            <w:r>
              <w:rPr>
                <w:rStyle w:val="IndexLink"/>
                <w:rFonts w:eastAsia="" w:cs="" w:cstheme="minorBidi" w:eastAsiaTheme="minorEastAsia"/>
                <w:kern w:val="2"/>
                <w:sz w:val="24"/>
                <w:szCs w:val="24"/>
                <w14:ligatures w14:val="standardContextual"/>
              </w:rPr>
              <w:tab/>
            </w:r>
            <w:r>
              <w:rPr>
                <w:rStyle w:val="IndexLink"/>
              </w:rPr>
              <w:t>Dati ambientali e atmosferici</w:t>
            </w:r>
            <w:r>
              <w:rPr>
                <w:webHidden/>
              </w:rPr>
              <w:fldChar w:fldCharType="begin"/>
            </w:r>
            <w:r>
              <w:rPr>
                <w:webHidden/>
              </w:rPr>
              <w:instrText xml:space="preserve">PAGEREF _Toc211844795 \h</w:instrText>
            </w:r>
            <w:r>
              <w:rPr>
                <w:webHidden/>
              </w:rPr>
              <w:fldChar w:fldCharType="separate"/>
            </w:r>
            <w:r>
              <w:rPr>
                <w:rStyle w:val="IndexLink"/>
                <w:vanish w:val="false"/>
              </w:rPr>
              <w:tab/>
              <w:t>2</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796">
            <w:r>
              <w:rPr>
                <w:webHidden/>
                <w:rStyle w:val="IndexLink"/>
                <w:vanish w:val="false"/>
              </w:rPr>
              <w:t>1.1</w:t>
            </w:r>
            <w:r>
              <w:rPr>
                <w:rStyle w:val="IndexLink"/>
                <w:rFonts w:eastAsia="" w:cs="" w:cstheme="minorBidi" w:eastAsiaTheme="minorEastAsia"/>
                <w:kern w:val="2"/>
                <w:sz w:val="24"/>
                <w:szCs w:val="24"/>
                <w14:ligatures w14:val="standardContextual"/>
              </w:rPr>
              <w:tab/>
            </w:r>
            <w:r>
              <w:rPr>
                <w:rStyle w:val="IndexLink"/>
              </w:rPr>
              <w:t>Regioni di Interesse</w:t>
            </w:r>
            <w:r>
              <w:rPr>
                <w:webHidden/>
              </w:rPr>
              <w:fldChar w:fldCharType="begin"/>
            </w:r>
            <w:r>
              <w:rPr>
                <w:webHidden/>
              </w:rPr>
              <w:instrText xml:space="preserve">PAGEREF _Toc211844796 \h</w:instrText>
            </w:r>
            <w:r>
              <w:rPr>
                <w:webHidden/>
              </w:rPr>
              <w:fldChar w:fldCharType="separate"/>
            </w:r>
            <w:r>
              <w:rPr>
                <w:rStyle w:val="IndexLink"/>
                <w:vanish w:val="false"/>
              </w:rPr>
              <w:tab/>
              <w:t>2</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797">
            <w:r>
              <w:rPr>
                <w:webHidden/>
                <w:rStyle w:val="IndexLink"/>
                <w:vanish w:val="false"/>
              </w:rPr>
              <w:t>1.2</w:t>
            </w:r>
            <w:r>
              <w:rPr>
                <w:rStyle w:val="IndexLink"/>
                <w:rFonts w:eastAsia="" w:cs="" w:cstheme="minorBidi" w:eastAsiaTheme="minorEastAsia"/>
                <w:kern w:val="2"/>
                <w:sz w:val="24"/>
                <w:szCs w:val="24"/>
                <w14:ligatures w14:val="standardContextual"/>
              </w:rPr>
              <w:tab/>
            </w:r>
            <w:r>
              <w:rPr>
                <w:rStyle w:val="IndexLink"/>
              </w:rPr>
              <w:t>Fonti e Sorgenti dati</w:t>
            </w:r>
            <w:r>
              <w:rPr>
                <w:webHidden/>
              </w:rPr>
              <w:fldChar w:fldCharType="begin"/>
            </w:r>
            <w:r>
              <w:rPr>
                <w:webHidden/>
              </w:rPr>
              <w:instrText xml:space="preserve">PAGEREF _Toc211844797 \h</w:instrText>
            </w:r>
            <w:r>
              <w:rPr>
                <w:webHidden/>
              </w:rPr>
              <w:fldChar w:fldCharType="separate"/>
            </w:r>
            <w:r>
              <w:rPr>
                <w:rStyle w:val="IndexLink"/>
                <w:vanish w:val="false"/>
              </w:rPr>
              <w:tab/>
              <w:t>2</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798">
            <w:r>
              <w:rPr>
                <w:webHidden/>
                <w:rStyle w:val="IndexLink"/>
                <w:vanish w:val="false"/>
              </w:rPr>
              <w:t>1.2.1</w:t>
            </w:r>
            <w:r>
              <w:rPr>
                <w:rStyle w:val="IndexLink"/>
                <w:rFonts w:eastAsia="" w:cs="" w:cstheme="minorBidi" w:eastAsiaTheme="minorEastAsia"/>
                <w:kern w:val="2"/>
                <w:sz w:val="24"/>
                <w:szCs w:val="24"/>
                <w14:ligatures w14:val="standardContextual"/>
              </w:rPr>
              <w:tab/>
            </w:r>
            <w:r>
              <w:rPr>
                <w:rStyle w:val="IndexLink"/>
              </w:rPr>
              <w:t>Data Source Model</w:t>
            </w:r>
            <w:r>
              <w:rPr>
                <w:webHidden/>
              </w:rPr>
              <w:fldChar w:fldCharType="begin"/>
            </w:r>
            <w:r>
              <w:rPr>
                <w:webHidden/>
              </w:rPr>
              <w:instrText xml:space="preserve">PAGEREF _Toc211844798 \h</w:instrText>
            </w:r>
            <w:r>
              <w:rPr>
                <w:webHidden/>
              </w:rPr>
              <w:fldChar w:fldCharType="separate"/>
            </w:r>
            <w:r>
              <w:rPr>
                <w:rStyle w:val="IndexLink"/>
                <w:vanish w:val="false"/>
              </w:rPr>
              <w:tab/>
              <w:t>5</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799">
            <w:r>
              <w:rPr>
                <w:webHidden/>
                <w:rStyle w:val="IndexLink"/>
                <w:vanish w:val="false"/>
              </w:rPr>
              <w:t>1.3</w:t>
            </w:r>
            <w:r>
              <w:rPr>
                <w:rStyle w:val="IndexLink"/>
                <w:rFonts w:eastAsia="" w:cs="" w:cstheme="minorBidi" w:eastAsiaTheme="minorEastAsia"/>
                <w:kern w:val="2"/>
                <w:sz w:val="24"/>
                <w:szCs w:val="24"/>
                <w14:ligatures w14:val="standardContextual"/>
              </w:rPr>
              <w:tab/>
            </w:r>
            <w:r>
              <w:rPr>
                <w:rStyle w:val="IndexLink"/>
              </w:rPr>
              <w:t>Limiti di legge</w:t>
            </w:r>
            <w:r>
              <w:rPr>
                <w:webHidden/>
              </w:rPr>
              <w:fldChar w:fldCharType="begin"/>
            </w:r>
            <w:r>
              <w:rPr>
                <w:webHidden/>
              </w:rPr>
              <w:instrText xml:space="preserve">PAGEREF _Toc211844799 \h</w:instrText>
            </w:r>
            <w:r>
              <w:rPr>
                <w:webHidden/>
              </w:rPr>
              <w:fldChar w:fldCharType="separate"/>
            </w:r>
            <w:r>
              <w:rPr>
                <w:rStyle w:val="IndexLink"/>
                <w:vanish w:val="false"/>
              </w:rPr>
              <w:tab/>
              <w:t>9</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0">
            <w:r>
              <w:rPr>
                <w:webHidden/>
                <w:rStyle w:val="IndexLink"/>
                <w:vanish w:val="false"/>
              </w:rPr>
              <w:t>2</w:t>
            </w:r>
            <w:r>
              <w:rPr>
                <w:rStyle w:val="IndexLink"/>
                <w:rFonts w:eastAsia="" w:cs="" w:cstheme="minorBidi" w:eastAsiaTheme="minorEastAsia"/>
                <w:kern w:val="2"/>
                <w:sz w:val="24"/>
                <w:szCs w:val="24"/>
                <w14:ligatures w14:val="standardContextual"/>
              </w:rPr>
              <w:tab/>
            </w:r>
            <w:r>
              <w:rPr>
                <w:rStyle w:val="IndexLink"/>
              </w:rPr>
              <w:t>Possibili correlazioni</w:t>
            </w:r>
            <w:r>
              <w:rPr>
                <w:webHidden/>
              </w:rPr>
              <w:fldChar w:fldCharType="begin"/>
            </w:r>
            <w:r>
              <w:rPr>
                <w:webHidden/>
              </w:rPr>
              <w:instrText xml:space="preserve">PAGEREF _Toc211844800 \h</w:instrText>
            </w:r>
            <w:r>
              <w:rPr>
                <w:webHidden/>
              </w:rPr>
              <w:fldChar w:fldCharType="separate"/>
            </w:r>
            <w:r>
              <w:rPr>
                <w:rStyle w:val="IndexLink"/>
                <w:vanish w:val="false"/>
              </w:rPr>
              <w:tab/>
              <w:t>11</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1">
            <w:r>
              <w:rPr>
                <w:webHidden/>
                <w:rStyle w:val="IndexLink"/>
                <w:vanish w:val="false"/>
              </w:rPr>
              <w:t>2.1</w:t>
            </w:r>
            <w:r>
              <w:rPr>
                <w:rStyle w:val="IndexLink"/>
                <w:rFonts w:eastAsia="" w:cs="" w:cstheme="minorBidi" w:eastAsiaTheme="minorEastAsia"/>
                <w:kern w:val="2"/>
                <w:sz w:val="24"/>
                <w:szCs w:val="24"/>
                <w14:ligatures w14:val="standardContextual"/>
              </w:rPr>
              <w:tab/>
            </w:r>
            <w:r>
              <w:rPr>
                <w:rStyle w:val="IndexLink"/>
              </w:rPr>
              <w:t>Stato dell’Arte</w:t>
            </w:r>
            <w:r>
              <w:rPr>
                <w:webHidden/>
              </w:rPr>
              <w:fldChar w:fldCharType="begin"/>
            </w:r>
            <w:r>
              <w:rPr>
                <w:webHidden/>
              </w:rPr>
              <w:instrText xml:space="preserve">PAGEREF _Toc211844801 \h</w:instrText>
            </w:r>
            <w:r>
              <w:rPr>
                <w:webHidden/>
              </w:rPr>
              <w:fldChar w:fldCharType="separate"/>
            </w:r>
            <w:r>
              <w:rPr>
                <w:rStyle w:val="IndexLink"/>
                <w:vanish w:val="false"/>
              </w:rPr>
              <w:tab/>
              <w:t>12</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2">
            <w:r>
              <w:rPr>
                <w:webHidden/>
                <w:rStyle w:val="IndexLink"/>
                <w:vanish w:val="false"/>
              </w:rPr>
              <w:t>2.2</w:t>
            </w:r>
            <w:r>
              <w:rPr>
                <w:rStyle w:val="IndexLink"/>
                <w:rFonts w:eastAsia="" w:cs="" w:cstheme="minorBidi" w:eastAsiaTheme="minorEastAsia"/>
                <w:kern w:val="2"/>
                <w:sz w:val="24"/>
                <w:szCs w:val="24"/>
                <w14:ligatures w14:val="standardContextual"/>
              </w:rPr>
              <w:tab/>
            </w:r>
            <w:r>
              <w:rPr>
                <w:rStyle w:val="IndexLink"/>
              </w:rPr>
              <w:t>Patologie di Interesse</w:t>
            </w:r>
            <w:r>
              <w:rPr>
                <w:webHidden/>
              </w:rPr>
              <w:fldChar w:fldCharType="begin"/>
            </w:r>
            <w:r>
              <w:rPr>
                <w:webHidden/>
              </w:rPr>
              <w:instrText xml:space="preserve">PAGEREF _Toc211844802 \h</w:instrText>
            </w:r>
            <w:r>
              <w:rPr>
                <w:webHidden/>
              </w:rPr>
              <w:fldChar w:fldCharType="separate"/>
            </w:r>
            <w:r>
              <w:rPr>
                <w:rStyle w:val="IndexLink"/>
                <w:vanish w:val="false"/>
              </w:rPr>
              <w:tab/>
              <w:t>19</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3">
            <w:r>
              <w:rPr>
                <w:webHidden/>
                <w:rStyle w:val="IndexLink"/>
                <w:vanish w:val="false"/>
              </w:rPr>
              <w:t>2.2.1</w:t>
            </w:r>
            <w:r>
              <w:rPr>
                <w:rStyle w:val="IndexLink"/>
                <w:rFonts w:eastAsia="" w:cs="" w:cstheme="minorBidi" w:eastAsiaTheme="minorEastAsia"/>
                <w:kern w:val="2"/>
                <w:sz w:val="24"/>
                <w:szCs w:val="24"/>
                <w14:ligatures w14:val="standardContextual"/>
              </w:rPr>
              <w:tab/>
            </w:r>
            <w:r>
              <w:rPr>
                <w:rStyle w:val="IndexLink"/>
              </w:rPr>
              <w:t>Influenza Stagionale (Malattia Respiratoria)</w:t>
            </w:r>
            <w:r>
              <w:rPr>
                <w:webHidden/>
              </w:rPr>
              <w:fldChar w:fldCharType="begin"/>
            </w:r>
            <w:r>
              <w:rPr>
                <w:webHidden/>
              </w:rPr>
              <w:instrText xml:space="preserve">PAGEREF _Toc211844803 \h</w:instrText>
            </w:r>
            <w:r>
              <w:rPr>
                <w:webHidden/>
              </w:rPr>
              <w:fldChar w:fldCharType="separate"/>
            </w:r>
            <w:r>
              <w:rPr>
                <w:rStyle w:val="IndexLink"/>
                <w:vanish w:val="false"/>
              </w:rPr>
              <w:tab/>
              <w:t>19</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4">
            <w:r>
              <w:rPr>
                <w:webHidden/>
                <w:rStyle w:val="IndexLink"/>
                <w:vanish w:val="false"/>
              </w:rPr>
              <w:t>2.2.2</w:t>
            </w:r>
            <w:r>
              <w:rPr>
                <w:rStyle w:val="IndexLink"/>
                <w:rFonts w:eastAsia="" w:cs="" w:cstheme="minorBidi" w:eastAsiaTheme="minorEastAsia"/>
                <w:kern w:val="2"/>
                <w:sz w:val="24"/>
                <w:szCs w:val="24"/>
                <w14:ligatures w14:val="standardContextual"/>
              </w:rPr>
              <w:tab/>
            </w:r>
            <w:r>
              <w:rPr>
                <w:rStyle w:val="IndexLink"/>
              </w:rPr>
              <w:t>Legionellosi (Malattia Respiratoria da Aerosol Idrico)</w:t>
            </w:r>
            <w:r>
              <w:rPr>
                <w:webHidden/>
              </w:rPr>
              <w:fldChar w:fldCharType="begin"/>
            </w:r>
            <w:r>
              <w:rPr>
                <w:webHidden/>
              </w:rPr>
              <w:instrText xml:space="preserve">PAGEREF _Toc211844804 \h</w:instrText>
            </w:r>
            <w:r>
              <w:rPr>
                <w:webHidden/>
              </w:rPr>
              <w:fldChar w:fldCharType="separate"/>
            </w:r>
            <w:r>
              <w:rPr>
                <w:rStyle w:val="IndexLink"/>
                <w:vanish w:val="false"/>
              </w:rPr>
              <w:tab/>
              <w:t>19</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5">
            <w:r>
              <w:rPr>
                <w:webHidden/>
                <w:rStyle w:val="IndexLink"/>
                <w:vanish w:val="false"/>
              </w:rPr>
              <w:t>2.2.3</w:t>
            </w:r>
            <w:r>
              <w:rPr>
                <w:rStyle w:val="IndexLink"/>
                <w:rFonts w:eastAsia="" w:cs="" w:cstheme="minorBidi" w:eastAsiaTheme="minorEastAsia"/>
                <w:kern w:val="2"/>
                <w:sz w:val="24"/>
                <w:szCs w:val="24"/>
                <w14:ligatures w14:val="standardContextual"/>
              </w:rPr>
              <w:tab/>
            </w:r>
            <w:r>
              <w:rPr>
                <w:rStyle w:val="IndexLink"/>
              </w:rPr>
              <w:t>Epatite A (Malattia a Trasmissione Idrica e Alimentare)</w:t>
            </w:r>
            <w:r>
              <w:rPr>
                <w:webHidden/>
              </w:rPr>
              <w:fldChar w:fldCharType="begin"/>
            </w:r>
            <w:r>
              <w:rPr>
                <w:webHidden/>
              </w:rPr>
              <w:instrText xml:space="preserve">PAGEREF _Toc211844805 \h</w:instrText>
            </w:r>
            <w:r>
              <w:rPr>
                <w:webHidden/>
              </w:rPr>
              <w:fldChar w:fldCharType="separate"/>
            </w:r>
            <w:r>
              <w:rPr>
                <w:rStyle w:val="IndexLink"/>
                <w:vanish w:val="false"/>
              </w:rPr>
              <w:tab/>
              <w:t>20</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6">
            <w:r>
              <w:rPr>
                <w:webHidden/>
                <w:rStyle w:val="IndexLink"/>
                <w:vanish w:val="false"/>
              </w:rPr>
              <w:t>2.2.4</w:t>
            </w:r>
            <w:r>
              <w:rPr>
                <w:rStyle w:val="IndexLink"/>
                <w:rFonts w:eastAsia="" w:cs="" w:cstheme="minorBidi" w:eastAsiaTheme="minorEastAsia"/>
                <w:kern w:val="2"/>
                <w:sz w:val="24"/>
                <w:szCs w:val="24"/>
                <w14:ligatures w14:val="standardContextual"/>
              </w:rPr>
              <w:tab/>
            </w:r>
            <w:r>
              <w:rPr>
                <w:rStyle w:val="IndexLink"/>
              </w:rPr>
              <w:t>Tabella Riassuntiva</w:t>
            </w:r>
            <w:r>
              <w:rPr>
                <w:webHidden/>
              </w:rPr>
              <w:fldChar w:fldCharType="begin"/>
            </w:r>
            <w:r>
              <w:rPr>
                <w:webHidden/>
              </w:rPr>
              <w:instrText xml:space="preserve">PAGEREF _Toc211844806 \h</w:instrText>
            </w:r>
            <w:r>
              <w:rPr>
                <w:webHidden/>
              </w:rPr>
              <w:fldChar w:fldCharType="separate"/>
            </w:r>
            <w:r>
              <w:rPr>
                <w:rStyle w:val="IndexLink"/>
                <w:vanish w:val="false"/>
              </w:rPr>
              <w:tab/>
              <w:t>20</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7">
            <w:r>
              <w:rPr>
                <w:webHidden/>
                <w:rStyle w:val="IndexLink"/>
                <w:vanish w:val="false"/>
              </w:rPr>
              <w:t>2.3</w:t>
            </w:r>
            <w:r>
              <w:rPr>
                <w:rStyle w:val="IndexLink"/>
                <w:rFonts w:eastAsia="" w:cs="" w:cstheme="minorBidi" w:eastAsiaTheme="minorEastAsia"/>
                <w:kern w:val="2"/>
                <w:sz w:val="24"/>
                <w:szCs w:val="24"/>
                <w14:ligatures w14:val="standardContextual"/>
              </w:rPr>
              <w:tab/>
            </w:r>
            <w:r>
              <w:rPr>
                <w:rStyle w:val="IndexLink"/>
              </w:rPr>
              <w:t>Modello Spaziale</w:t>
            </w:r>
            <w:r>
              <w:rPr>
                <w:webHidden/>
              </w:rPr>
              <w:fldChar w:fldCharType="begin"/>
            </w:r>
            <w:r>
              <w:rPr>
                <w:webHidden/>
              </w:rPr>
              <w:instrText xml:space="preserve">PAGEREF _Toc211844807 \h</w:instrText>
            </w:r>
            <w:r>
              <w:rPr>
                <w:webHidden/>
              </w:rPr>
              <w:fldChar w:fldCharType="separate"/>
            </w:r>
            <w:r>
              <w:rPr>
                <w:rStyle w:val="IndexLink"/>
                <w:vanish w:val="false"/>
              </w:rPr>
              <w:tab/>
              <w:t>21</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8">
            <w:r>
              <w:rPr>
                <w:webHidden/>
                <w:rStyle w:val="IndexLink"/>
                <w:vanish w:val="false"/>
              </w:rPr>
              <w:t>3</w:t>
            </w:r>
            <w:r>
              <w:rPr>
                <w:rStyle w:val="IndexLink"/>
                <w:rFonts w:eastAsia="" w:cs="" w:cstheme="minorBidi" w:eastAsiaTheme="minorEastAsia"/>
                <w:kern w:val="2"/>
                <w:sz w:val="24"/>
                <w:szCs w:val="24"/>
                <w14:ligatures w14:val="standardContextual"/>
              </w:rPr>
              <w:tab/>
            </w:r>
            <w:r>
              <w:rPr>
                <w:rStyle w:val="IndexLink"/>
              </w:rPr>
              <w:t>API</w:t>
            </w:r>
            <w:r>
              <w:rPr>
                <w:webHidden/>
              </w:rPr>
              <w:fldChar w:fldCharType="begin"/>
            </w:r>
            <w:r>
              <w:rPr>
                <w:webHidden/>
              </w:rPr>
              <w:instrText xml:space="preserve">PAGEREF _Toc211844808 \h</w:instrText>
            </w:r>
            <w:r>
              <w:rPr>
                <w:webHidden/>
              </w:rPr>
              <w:fldChar w:fldCharType="separate"/>
            </w:r>
            <w:r>
              <w:rPr>
                <w:rStyle w:val="IndexLink"/>
                <w:vanish w:val="false"/>
              </w:rPr>
              <w:tab/>
              <w:t>22</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09">
            <w:r>
              <w:rPr>
                <w:webHidden/>
                <w:rStyle w:val="IndexLink"/>
                <w:vanish w:val="false"/>
              </w:rPr>
              <w:t>3.1</w:t>
            </w:r>
            <w:r>
              <w:rPr>
                <w:rStyle w:val="IndexLink"/>
                <w:rFonts w:eastAsia="" w:cs="" w:cstheme="minorBidi" w:eastAsiaTheme="minorEastAsia"/>
                <w:kern w:val="2"/>
                <w:sz w:val="24"/>
                <w:szCs w:val="24"/>
                <w14:ligatures w14:val="standardContextual"/>
              </w:rPr>
              <w:tab/>
            </w:r>
            <w:r>
              <w:rPr>
                <w:rStyle w:val="IndexLink"/>
              </w:rPr>
              <w:t>Analitiche di Base</w:t>
            </w:r>
            <w:r>
              <w:rPr>
                <w:webHidden/>
              </w:rPr>
              <w:fldChar w:fldCharType="begin"/>
            </w:r>
            <w:r>
              <w:rPr>
                <w:webHidden/>
              </w:rPr>
              <w:instrText xml:space="preserve">PAGEREF _Toc211844809 \h</w:instrText>
            </w:r>
            <w:r>
              <w:rPr>
                <w:webHidden/>
              </w:rPr>
              <w:fldChar w:fldCharType="separate"/>
            </w:r>
            <w:r>
              <w:rPr>
                <w:rStyle w:val="IndexLink"/>
                <w:vanish w:val="false"/>
              </w:rPr>
              <w:tab/>
              <w:t>22</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10">
            <w:r>
              <w:rPr>
                <w:webHidden/>
                <w:rStyle w:val="IndexLink"/>
                <w:vanish w:val="false"/>
              </w:rPr>
              <w:t>3.1.1</w:t>
            </w:r>
            <w:r>
              <w:rPr>
                <w:rStyle w:val="IndexLink"/>
                <w:rFonts w:eastAsia="" w:cs="" w:cstheme="minorBidi" w:eastAsiaTheme="minorEastAsia"/>
                <w:kern w:val="2"/>
                <w:sz w:val="24"/>
                <w:szCs w:val="24"/>
                <w14:ligatures w14:val="standardContextual"/>
              </w:rPr>
              <w:tab/>
            </w:r>
            <w:r>
              <w:rPr>
                <w:rStyle w:val="IndexLink"/>
              </w:rPr>
              <w:t>PM10</w:t>
            </w:r>
            <w:r>
              <w:rPr>
                <w:webHidden/>
              </w:rPr>
              <w:fldChar w:fldCharType="begin"/>
            </w:r>
            <w:r>
              <w:rPr>
                <w:webHidden/>
              </w:rPr>
              <w:instrText xml:space="preserve">PAGEREF _Toc211844810 \h</w:instrText>
            </w:r>
            <w:r>
              <w:rPr>
                <w:webHidden/>
              </w:rPr>
              <w:fldChar w:fldCharType="separate"/>
            </w:r>
            <w:r>
              <w:rPr>
                <w:rStyle w:val="IndexLink"/>
                <w:vanish w:val="false"/>
              </w:rPr>
              <w:tab/>
              <w:t>23</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11">
            <w:r>
              <w:rPr>
                <w:webHidden/>
                <w:rStyle w:val="IndexLink"/>
                <w:vanish w:val="false"/>
              </w:rPr>
              <w:t>4</w:t>
            </w:r>
            <w:r>
              <w:rPr>
                <w:rStyle w:val="IndexLink"/>
                <w:rFonts w:eastAsia="" w:cs="" w:cstheme="minorBidi" w:eastAsiaTheme="minorEastAsia"/>
                <w:kern w:val="2"/>
                <w:sz w:val="24"/>
                <w:szCs w:val="24"/>
                <w14:ligatures w14:val="standardContextual"/>
              </w:rPr>
              <w:tab/>
            </w:r>
            <w:r>
              <w:rPr>
                <w:rStyle w:val="IndexLink"/>
              </w:rPr>
              <w:t>Modelli Analitici</w:t>
            </w:r>
            <w:r>
              <w:rPr>
                <w:webHidden/>
              </w:rPr>
              <w:fldChar w:fldCharType="begin"/>
            </w:r>
            <w:r>
              <w:rPr>
                <w:webHidden/>
              </w:rPr>
              <w:instrText xml:space="preserve">PAGEREF _Toc211844811 \h</w:instrText>
            </w:r>
            <w:r>
              <w:rPr>
                <w:webHidden/>
              </w:rPr>
              <w:fldChar w:fldCharType="separate"/>
            </w:r>
            <w:r>
              <w:rPr>
                <w:rStyle w:val="IndexLink"/>
                <w:vanish w:val="false"/>
              </w:rPr>
              <w:tab/>
              <w:t>24</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12">
            <w:r>
              <w:rPr>
                <w:webHidden/>
                <w:rStyle w:val="IndexLink"/>
                <w:vanish w:val="false"/>
              </w:rPr>
              <w:t>4.1</w:t>
            </w:r>
            <w:r>
              <w:rPr>
                <w:rStyle w:val="IndexLink"/>
                <w:rFonts w:eastAsia="" w:cs="" w:cstheme="minorBidi" w:eastAsiaTheme="minorEastAsia"/>
                <w:kern w:val="2"/>
                <w:sz w:val="24"/>
                <w:szCs w:val="24"/>
                <w14:ligatures w14:val="standardContextual"/>
              </w:rPr>
              <w:tab/>
            </w:r>
            <w:r>
              <w:rPr>
                <w:rStyle w:val="IndexLink"/>
              </w:rPr>
              <w:t>Esempio di Regressione Lineare Multipla</w:t>
            </w:r>
            <w:r>
              <w:rPr>
                <w:webHidden/>
              </w:rPr>
              <w:fldChar w:fldCharType="begin"/>
            </w:r>
            <w:r>
              <w:rPr>
                <w:webHidden/>
              </w:rPr>
              <w:instrText xml:space="preserve">PAGEREF _Toc211844812 \h</w:instrText>
            </w:r>
            <w:r>
              <w:rPr>
                <w:webHidden/>
              </w:rPr>
              <w:fldChar w:fldCharType="separate"/>
            </w:r>
            <w:r>
              <w:rPr>
                <w:rStyle w:val="IndexLink"/>
                <w:vanish w:val="false"/>
              </w:rPr>
              <w:tab/>
              <w:t>25</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13">
            <w:r>
              <w:rPr>
                <w:webHidden/>
                <w:rStyle w:val="IndexLink"/>
                <w:vanish w:val="false"/>
              </w:rPr>
              <w:t>4.2</w:t>
            </w:r>
            <w:r>
              <w:rPr>
                <w:rStyle w:val="IndexLink"/>
                <w:rFonts w:eastAsia="" w:cs="" w:cstheme="minorBidi" w:eastAsiaTheme="minorEastAsia"/>
                <w:kern w:val="2"/>
                <w:sz w:val="24"/>
                <w:szCs w:val="24"/>
                <w14:ligatures w14:val="standardContextual"/>
              </w:rPr>
              <w:tab/>
            </w:r>
            <w:r>
              <w:rPr>
                <w:rStyle w:val="IndexLink"/>
              </w:rPr>
              <w:t>Diagramma a blocchi</w:t>
            </w:r>
            <w:r>
              <w:rPr>
                <w:webHidden/>
              </w:rPr>
              <w:fldChar w:fldCharType="begin"/>
            </w:r>
            <w:r>
              <w:rPr>
                <w:webHidden/>
              </w:rPr>
              <w:instrText xml:space="preserve">PAGEREF _Toc211844813 \h</w:instrText>
            </w:r>
            <w:r>
              <w:rPr>
                <w:webHidden/>
              </w:rPr>
              <w:fldChar w:fldCharType="separate"/>
            </w:r>
            <w:r>
              <w:rPr>
                <w:rStyle w:val="IndexLink"/>
                <w:vanish w:val="false"/>
              </w:rPr>
              <w:tab/>
              <w:t>26</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1844814">
            <w:r>
              <w:rPr>
                <w:webHidden/>
                <w:rStyle w:val="IndexLink"/>
                <w:vanish w:val="false"/>
              </w:rPr>
              <w:t>5</w:t>
            </w:r>
            <w:r>
              <w:rPr>
                <w:rStyle w:val="IndexLink"/>
                <w:rFonts w:eastAsia="" w:cs="" w:cstheme="minorBidi" w:eastAsiaTheme="minorEastAsia"/>
                <w:kern w:val="2"/>
                <w:sz w:val="24"/>
                <w:szCs w:val="24"/>
                <w14:ligatures w14:val="standardContextual"/>
              </w:rPr>
              <w:tab/>
            </w:r>
            <w:r>
              <w:rPr>
                <w:rStyle w:val="IndexLink"/>
              </w:rPr>
              <w:t>Bibliografia</w:t>
            </w:r>
            <w:r>
              <w:rPr>
                <w:webHidden/>
              </w:rPr>
              <w:fldChar w:fldCharType="begin"/>
            </w:r>
            <w:r>
              <w:rPr>
                <w:webHidden/>
              </w:rPr>
              <w:instrText xml:space="preserve">PAGEREF _Toc211844814 \h</w:instrText>
            </w:r>
            <w:r>
              <w:rPr>
                <w:webHidden/>
              </w:rPr>
              <w:fldChar w:fldCharType="separate"/>
            </w:r>
            <w:r>
              <w:rPr>
                <w:rStyle w:val="IndexLink"/>
                <w:vanish w:val="false"/>
              </w:rPr>
              <w:tab/>
              <w:t>28</w:t>
            </w:r>
            <w:r>
              <w:rPr>
                <w:webHidden/>
              </w:rPr>
              <w:fldChar w:fldCharType="end"/>
            </w:r>
          </w:hyperlink>
        </w:p>
        <w:p>
          <w:pPr>
            <w:pStyle w:val="Normal"/>
            <w:rPr/>
          </w:pPr>
          <w:r>
            <w:rPr/>
          </w:r>
          <w:r>
            <w:rPr/>
            <w:fldChar w:fldCharType="end"/>
          </w:r>
        </w:p>
      </w:sdtContent>
    </w:sdt>
    <w:p>
      <w:pPr>
        <w:pStyle w:val="Normal"/>
        <w:spacing w:lineRule="auto" w:line="259" w:before="0" w:after="160"/>
        <w:jc w:val="left"/>
        <w:rPr/>
      </w:pPr>
      <w:r>
        <w:rPr/>
      </w:r>
      <w:r>
        <w:br w:type="page"/>
      </w:r>
    </w:p>
    <w:p>
      <w:pPr>
        <w:pStyle w:val="Heading1"/>
        <w:spacing w:before="0" w:after="80"/>
        <w:rPr/>
      </w:pPr>
      <w:bookmarkStart w:id="0" w:name="_Toc211844795"/>
      <w:r>
        <w:rPr/>
        <w:t>Dati ambientali e atmosferici</w:t>
      </w:r>
      <w:bookmarkEnd w:id="0"/>
    </w:p>
    <w:p>
      <w:pPr>
        <w:pStyle w:val="Heading2"/>
        <w:rPr/>
      </w:pPr>
      <w:bookmarkStart w:id="1" w:name="_Toc211844796"/>
      <w:r>
        <w:rPr/>
        <w:t>Regioni di Interesse</w:t>
      </w:r>
      <w:bookmarkEnd w:id="1"/>
    </w:p>
    <w:p>
      <w:pPr>
        <w:pStyle w:val="Normal"/>
        <w:rPr/>
      </w:pPr>
      <w:r>
        <w:rPr/>
        <w:t>Le regioni di interesse maggiore per il progetto sono:</w:t>
      </w:r>
    </w:p>
    <w:p>
      <w:pPr>
        <w:pStyle w:val="ListParagraph"/>
        <w:numPr>
          <w:ilvl w:val="0"/>
          <w:numId w:val="12"/>
        </w:numPr>
        <w:rPr/>
      </w:pPr>
      <w:r>
        <w:rPr/>
        <w:t>Molise</w:t>
      </w:r>
    </w:p>
    <w:p>
      <w:pPr>
        <w:pStyle w:val="ListParagraph"/>
        <w:numPr>
          <w:ilvl w:val="0"/>
          <w:numId w:val="12"/>
        </w:numPr>
        <w:rPr/>
      </w:pPr>
      <w:r>
        <w:rPr/>
        <w:t>Campania</w:t>
      </w:r>
    </w:p>
    <w:p>
      <w:pPr>
        <w:pStyle w:val="ListParagraph"/>
        <w:numPr>
          <w:ilvl w:val="0"/>
          <w:numId w:val="12"/>
        </w:numPr>
        <w:rPr/>
      </w:pPr>
      <w:r>
        <w:rPr/>
        <w:t>Calabria</w:t>
      </w:r>
    </w:p>
    <w:p>
      <w:pPr>
        <w:pStyle w:val="Heading2"/>
        <w:rPr/>
      </w:pPr>
      <w:bookmarkStart w:id="2" w:name="_Toc211844797"/>
      <w:r>
        <w:rPr/>
        <w:t>Fonti e Sorgenti dati</w:t>
      </w:r>
      <w:bookmarkEnd w:id="2"/>
    </w:p>
    <w:p>
      <w:pPr>
        <w:pStyle w:val="Normal"/>
        <w:rPr/>
      </w:pPr>
      <w:r>
        <w:rPr/>
        <w:t>Di seguito si riportano alcuni dati ambientali e atmosferici utili al progetto anche in termini di granularità del dato.</w:t>
      </w:r>
    </w:p>
    <w:p>
      <w:pPr>
        <w:pStyle w:val="Normal"/>
        <w:rPr>
          <w:lang w:val="en-US"/>
        </w:rPr>
      </w:pPr>
      <w:r>
        <w:rPr>
          <w:lang w:val="en-US"/>
        </w:rPr>
        <w:t xml:space="preserve"> </w:t>
      </w:r>
      <w:r>
        <w:rPr>
          <w:highlight w:val="yellow"/>
          <w:lang w:val="en-US"/>
        </w:rPr>
        <w:t>@Amir Please check te highlited dataset, if are valid and so on, before to start see the comment that you can find at the end of this table, par 1.2.1.1</w:t>
      </w:r>
    </w:p>
    <w:tbl>
      <w:tblPr>
        <w:tblStyle w:val="Grigliatabella"/>
        <w:tblW w:w="96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3972"/>
        <w:gridCol w:w="2551"/>
        <w:gridCol w:w="1440"/>
      </w:tblGrid>
      <w:tr>
        <w:trPr/>
        <w:tc>
          <w:tcPr>
            <w:tcW w:w="9657" w:type="dxa"/>
            <w:gridSpan w:val="4"/>
            <w:tcBorders/>
          </w:tcPr>
          <w:p>
            <w:pPr>
              <w:pStyle w:val="Normal"/>
              <w:widowControl/>
              <w:suppressAutoHyphens w:val="true"/>
              <w:spacing w:before="120" w:after="120"/>
              <w:jc w:val="center"/>
              <w:rPr>
                <w:b/>
                <w:bCs/>
              </w:rPr>
            </w:pPr>
            <w:r>
              <w:rPr>
                <w:b/>
                <w:bCs/>
                <w:sz w:val="22"/>
                <w:szCs w:val="22"/>
                <w:lang w:val="it-IT" w:bidi="ar-SA"/>
              </w:rPr>
              <w:t>Dati Inquinanti</w:t>
            </w:r>
          </w:p>
        </w:tc>
      </w:tr>
      <w:tr>
        <w:trPr/>
        <w:tc>
          <w:tcPr>
            <w:tcW w:w="1694" w:type="dxa"/>
            <w:tcBorders/>
          </w:tcPr>
          <w:p>
            <w:pPr>
              <w:pStyle w:val="Normal"/>
              <w:widowControl/>
              <w:suppressAutoHyphens w:val="true"/>
              <w:spacing w:before="120" w:after="120"/>
              <w:rPr>
                <w:b/>
                <w:bCs/>
              </w:rPr>
            </w:pPr>
            <w:r>
              <w:rPr>
                <w:b/>
                <w:bCs/>
                <w:sz w:val="22"/>
                <w:szCs w:val="22"/>
                <w:lang w:val="it-IT" w:bidi="ar-SA"/>
              </w:rPr>
              <w:t>Tipo di Inquinante</w:t>
            </w:r>
          </w:p>
        </w:tc>
        <w:tc>
          <w:tcPr>
            <w:tcW w:w="3972" w:type="dxa"/>
            <w:tcBorders/>
          </w:tcPr>
          <w:p>
            <w:pPr>
              <w:pStyle w:val="Normal"/>
              <w:widowControl/>
              <w:suppressAutoHyphens w:val="true"/>
              <w:spacing w:before="120" w:after="120"/>
              <w:rPr>
                <w:b/>
                <w:bCs/>
              </w:rPr>
            </w:pPr>
            <w:r>
              <w:rPr>
                <w:b/>
                <w:bCs/>
                <w:sz w:val="22"/>
                <w:szCs w:val="22"/>
                <w:lang w:val="it-IT" w:bidi="ar-SA"/>
              </w:rPr>
              <w:t>Link/Dataset</w:t>
            </w:r>
          </w:p>
        </w:tc>
        <w:tc>
          <w:tcPr>
            <w:tcW w:w="2551" w:type="dxa"/>
            <w:tcBorders/>
          </w:tcPr>
          <w:p>
            <w:pPr>
              <w:pStyle w:val="Normal"/>
              <w:widowControl/>
              <w:suppressAutoHyphens w:val="true"/>
              <w:spacing w:before="120" w:after="120"/>
              <w:rPr>
                <w:b/>
                <w:bCs/>
              </w:rPr>
            </w:pPr>
            <w:r>
              <w:rPr>
                <w:b/>
                <w:bCs/>
                <w:sz w:val="22"/>
                <w:szCs w:val="22"/>
                <w:lang w:val="it-IT" w:bidi="ar-SA"/>
              </w:rPr>
              <w:t>Tipo di Granularità</w:t>
            </w:r>
          </w:p>
        </w:tc>
        <w:tc>
          <w:tcPr>
            <w:tcW w:w="1440" w:type="dxa"/>
            <w:tcBorders/>
          </w:tcPr>
          <w:p>
            <w:pPr>
              <w:pStyle w:val="Normal"/>
              <w:widowControl/>
              <w:suppressAutoHyphens w:val="true"/>
              <w:spacing w:before="120" w:after="120"/>
              <w:rPr>
                <w:b/>
                <w:bCs/>
              </w:rPr>
            </w:pPr>
            <w:r>
              <w:rPr>
                <w:b/>
                <w:bCs/>
                <w:sz w:val="22"/>
                <w:szCs w:val="22"/>
                <w:lang w:val="it-IT" w:bidi="ar-SA"/>
              </w:rPr>
              <w:t>Zona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PM10</w:t>
            </w:r>
          </w:p>
        </w:tc>
        <w:tc>
          <w:tcPr>
            <w:tcW w:w="3972" w:type="dxa"/>
            <w:tcBorders/>
          </w:tcPr>
          <w:p>
            <w:pPr>
              <w:pStyle w:val="Normal"/>
              <w:widowControl/>
              <w:suppressAutoHyphens w:val="true"/>
              <w:spacing w:before="120" w:after="120"/>
              <w:rPr>
                <w:sz w:val="22"/>
                <w:szCs w:val="22"/>
                <w:lang w:val="it-IT" w:bidi="ar-SA"/>
              </w:rPr>
            </w:pPr>
            <w:hyperlink r:id="rId2">
              <w:r>
                <w:rPr>
                  <w:rStyle w:val="Hyperlink"/>
                  <w:sz w:val="22"/>
                  <w:szCs w:val="22"/>
                  <w:lang w:val="it-IT" w:bidi="ar-SA"/>
                </w:rPr>
                <w:t>https://indicatoriambientali.isprambiente.it/it/qualita-dellaria/qualita-dell-aria-ambiente-particolato-pm10</w:t>
              </w:r>
            </w:hyperlink>
          </w:p>
          <w:p>
            <w:pPr>
              <w:pStyle w:val="Normal"/>
              <w:widowControl/>
              <w:suppressAutoHyphens w:val="true"/>
              <w:rPr>
                <w:sz w:val="22"/>
                <w:szCs w:val="22"/>
                <w:lang w:val="it-IT" w:bidi="ar-SA"/>
              </w:rPr>
            </w:pPr>
            <w:hyperlink r:id="rId3">
              <w:r>
                <w:rPr>
                  <w:rStyle w:val="Hyperlink"/>
                  <w:sz w:val="22"/>
                  <w:szCs w:val="22"/>
                  <w:lang w:val="it-IT" w:bidi="ar-SA"/>
                </w:rPr>
                <w:t>https://dati.arpacampania.it/dataset/dati-rqa-giornalieri-validati</w:t>
              </w:r>
            </w:hyperlink>
          </w:p>
          <w:p>
            <w:pPr>
              <w:pStyle w:val="Normal"/>
              <w:widowControl/>
              <w:suppressAutoHyphens w:val="true"/>
              <w:spacing w:before="120" w:after="120"/>
              <w:rPr>
                <w:shd w:fill="FFFF00" w:val="clear"/>
              </w:rPr>
            </w:pPr>
            <w:hyperlink r:id="rId4">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medio mensile</w:t>
            </w:r>
          </w:p>
          <w:p>
            <w:pPr>
              <w:pStyle w:val="Normal"/>
              <w:widowControl/>
              <w:suppressAutoHyphens w:val="true"/>
              <w:spacing w:before="120" w:after="12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rPr>
                <w:sz w:val="22"/>
                <w:szCs w:val="22"/>
                <w:lang w:val="it-IT" w:bidi="ar-SA"/>
              </w:rPr>
            </w:pPr>
            <w:r>
              <w:rPr>
                <w:sz w:val="22"/>
                <w:szCs w:val="22"/>
                <w:lang w:val="it-IT" w:bidi="ar-SA"/>
              </w:rPr>
              <w:t>Provincia</w:t>
            </w:r>
          </w:p>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PM2.5</w:t>
            </w:r>
          </w:p>
        </w:tc>
        <w:tc>
          <w:tcPr>
            <w:tcW w:w="3972" w:type="dxa"/>
            <w:tcBorders/>
          </w:tcPr>
          <w:p>
            <w:pPr>
              <w:pStyle w:val="Normal"/>
              <w:widowControl/>
              <w:suppressAutoHyphens w:val="true"/>
              <w:spacing w:before="120" w:after="120"/>
              <w:rPr>
                <w:sz w:val="22"/>
                <w:szCs w:val="22"/>
                <w:lang w:val="it-IT" w:bidi="ar-SA"/>
              </w:rPr>
            </w:pPr>
            <w:hyperlink r:id="rId5">
              <w:r>
                <w:rPr>
                  <w:rStyle w:val="Hyperlink"/>
                  <w:sz w:val="22"/>
                  <w:szCs w:val="22"/>
                  <w:lang w:val="it-IT" w:bidi="ar-SA"/>
                </w:rPr>
                <w:t>https://indicatoriambientali.isprambiente.it/it/qualita-dellaria/qualita-dellaria-ambiente-particolato-pm25</w:t>
              </w:r>
            </w:hyperlink>
          </w:p>
          <w:p>
            <w:pPr>
              <w:pStyle w:val="Normal"/>
              <w:widowControl/>
              <w:suppressAutoHyphens w:val="true"/>
              <w:rPr>
                <w:shd w:fill="FFFF00" w:val="clear"/>
              </w:rPr>
            </w:pPr>
            <w:hyperlink r:id="rId6">
              <w:r>
                <w:rPr>
                  <w:rStyle w:val="Hyperlink"/>
                  <w:sz w:val="22"/>
                  <w:szCs w:val="22"/>
                  <w:shd w:fill="FFFF00" w:val="clear"/>
                  <w:lang w:val="it-IT" w:bidi="ar-SA"/>
                </w:rPr>
                <w:t>https://dati.arpacampania.it/dataset/?groups=rqa-qualita-aria</w:t>
              </w:r>
            </w:hyperlink>
          </w:p>
          <w:p>
            <w:pPr>
              <w:pStyle w:val="Normal"/>
              <w:widowControl/>
              <w:suppressAutoHyphens w:val="true"/>
              <w:spacing w:before="120" w:after="120"/>
              <w:rPr>
                <w:sz w:val="22"/>
                <w:szCs w:val="22"/>
                <w:lang w:val="it-IT" w:bidi="ar-SA"/>
              </w:rPr>
            </w:pPr>
            <w:hyperlink r:id="rId7">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medio mensile</w:t>
            </w:r>
          </w:p>
          <w:p>
            <w:pPr>
              <w:pStyle w:val="Normal"/>
              <w:widowControl/>
              <w:suppressAutoHyphens w:val="true"/>
              <w:spacing w:before="120" w:after="12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Ozono</w:t>
            </w:r>
          </w:p>
        </w:tc>
        <w:tc>
          <w:tcPr>
            <w:tcW w:w="3972" w:type="dxa"/>
            <w:tcBorders/>
          </w:tcPr>
          <w:p>
            <w:pPr>
              <w:pStyle w:val="Normal"/>
              <w:widowControl/>
              <w:suppressAutoHyphens w:val="true"/>
              <w:spacing w:before="120" w:after="120"/>
              <w:rPr>
                <w:shd w:fill="FFFF00" w:val="clear"/>
              </w:rPr>
            </w:pPr>
            <w:hyperlink r:id="rId8">
              <w:r>
                <w:rPr>
                  <w:rStyle w:val="Hyperlink"/>
                  <w:sz w:val="22"/>
                  <w:szCs w:val="22"/>
                  <w:shd w:fill="FFFF00" w:val="clear"/>
                  <w:lang w:val="it-IT" w:bidi="ar-SA"/>
                </w:rPr>
                <w:t>https://dati.arpacampania.it/dataset/?groups=rqa-qualita-aria</w:t>
              </w:r>
            </w:hyperlink>
          </w:p>
          <w:p>
            <w:pPr>
              <w:pStyle w:val="Normal"/>
              <w:widowControl/>
              <w:suppressAutoHyphens w:val="true"/>
              <w:spacing w:before="120" w:after="120"/>
              <w:rPr>
                <w:shd w:fill="FFFF00" w:val="clear"/>
              </w:rPr>
            </w:pPr>
            <w:hyperlink r:id="rId9">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medio mensile</w:t>
            </w:r>
          </w:p>
          <w:p>
            <w:pPr>
              <w:pStyle w:val="Normal"/>
              <w:widowControl/>
              <w:suppressAutoHyphens w:val="true"/>
              <w:spacing w:before="120" w:after="12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Ossidi di Azoto (NOx)</w:t>
            </w:r>
          </w:p>
        </w:tc>
        <w:tc>
          <w:tcPr>
            <w:tcW w:w="3972" w:type="dxa"/>
            <w:tcBorders/>
          </w:tcPr>
          <w:p>
            <w:pPr>
              <w:pStyle w:val="Normal"/>
              <w:widowControl/>
              <w:suppressAutoHyphens w:val="true"/>
              <w:spacing w:before="120" w:after="120"/>
              <w:rPr>
                <w:sz w:val="22"/>
                <w:szCs w:val="22"/>
                <w:lang w:val="it-IT" w:bidi="ar-SA"/>
              </w:rPr>
            </w:pPr>
            <w:hyperlink r:id="rId10">
              <w:r>
                <w:rPr>
                  <w:rStyle w:val="Hyperlink"/>
                  <w:sz w:val="22"/>
                  <w:szCs w:val="22"/>
                  <w:lang w:val="it-IT" w:bidi="ar-SA"/>
                </w:rPr>
                <w:t>https://indicatoriambientali.isprambiente.it/it/qualita-dellaria/qualita-dellaria-ambiente-biossido-di-azoto-no2</w:t>
              </w:r>
            </w:hyperlink>
          </w:p>
          <w:p>
            <w:pPr>
              <w:pStyle w:val="Normal"/>
              <w:widowControl/>
              <w:suppressAutoHyphens w:val="true"/>
              <w:rPr>
                <w:sz w:val="22"/>
                <w:szCs w:val="22"/>
                <w:lang w:val="it-IT" w:bidi="ar-SA"/>
              </w:rPr>
            </w:pPr>
            <w:hyperlink r:id="rId11">
              <w:r>
                <w:rPr>
                  <w:rStyle w:val="Hyperlink"/>
                  <w:sz w:val="22"/>
                  <w:szCs w:val="22"/>
                  <w:shd w:fill="FFFF00" w:val="clear"/>
                  <w:lang w:val="it-IT" w:bidi="ar-SA"/>
                </w:rPr>
                <w:t>https://dati.arpacampania.it/dataset/?groups=rqa-qualita-aria</w:t>
              </w:r>
            </w:hyperlink>
          </w:p>
          <w:p>
            <w:pPr>
              <w:pStyle w:val="Normal"/>
              <w:widowControl/>
              <w:suppressAutoHyphens w:val="true"/>
              <w:spacing w:before="120" w:after="120"/>
              <w:rPr>
                <w:shd w:fill="FFFF00" w:val="clear"/>
              </w:rPr>
            </w:pPr>
            <w:hyperlink r:id="rId12">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massimo</w:t>
            </w:r>
          </w:p>
          <w:p>
            <w:pPr>
              <w:pStyle w:val="Normal"/>
              <w:widowControl/>
              <w:suppressAutoHyphens w:val="true"/>
              <w:spacing w:before="120" w:after="120"/>
              <w:rPr>
                <w:sz w:val="22"/>
                <w:szCs w:val="22"/>
                <w:lang w:val="it-IT" w:bidi="ar-SA"/>
              </w:rPr>
            </w:pPr>
            <w:r>
              <w:rPr>
                <w:sz w:val="22"/>
                <w:szCs w:val="22"/>
                <w:lang w:val="it-IT" w:bidi="ar-SA"/>
              </w:rPr>
              <w:t>Ore di superamento del limite orario</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Biossido di Zolfo (SO₂)</w:t>
            </w:r>
          </w:p>
        </w:tc>
        <w:tc>
          <w:tcPr>
            <w:tcW w:w="3972" w:type="dxa"/>
            <w:tcBorders/>
          </w:tcPr>
          <w:p>
            <w:pPr>
              <w:pStyle w:val="Normal"/>
              <w:widowControl/>
              <w:suppressAutoHyphens w:val="true"/>
              <w:spacing w:before="120" w:after="120"/>
              <w:rPr>
                <w:shd w:fill="FFFF00" w:val="clear"/>
              </w:rPr>
            </w:pPr>
            <w:hyperlink r:id="rId13">
              <w:r>
                <w:rPr>
                  <w:rStyle w:val="Hyperlink"/>
                  <w:sz w:val="22"/>
                  <w:szCs w:val="22"/>
                  <w:shd w:fill="FFFF00" w:val="clear"/>
                  <w:lang w:val="it-IT" w:bidi="ar-SA"/>
                </w:rPr>
                <w:t>https://dati.arpacampania.it/dataset/?groups=rqa-qualita-aria</w:t>
              </w:r>
            </w:hyperlink>
          </w:p>
          <w:p>
            <w:pPr>
              <w:pStyle w:val="Normal"/>
              <w:widowControl/>
              <w:suppressAutoHyphens w:val="true"/>
              <w:spacing w:before="120" w:after="120"/>
              <w:rPr>
                <w:shd w:fill="FFFF00" w:val="clear"/>
              </w:rPr>
            </w:pPr>
            <w:hyperlink r:id="rId14">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medio mensile</w:t>
            </w:r>
          </w:p>
          <w:p>
            <w:pPr>
              <w:pStyle w:val="Normal"/>
              <w:widowControl/>
              <w:suppressAutoHyphens w:val="true"/>
              <w:spacing w:before="120" w:after="12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Benzene C6H6</w:t>
            </w:r>
          </w:p>
        </w:tc>
        <w:tc>
          <w:tcPr>
            <w:tcW w:w="3972" w:type="dxa"/>
            <w:tcBorders/>
          </w:tcPr>
          <w:p>
            <w:pPr>
              <w:pStyle w:val="Normal"/>
              <w:widowControl/>
              <w:suppressAutoHyphens w:val="true"/>
              <w:spacing w:before="120" w:after="120"/>
              <w:rPr>
                <w:shd w:fill="FFFF00" w:val="clear"/>
              </w:rPr>
            </w:pPr>
            <w:hyperlink r:id="rId15">
              <w:r>
                <w:rPr>
                  <w:rStyle w:val="Hyperlink"/>
                  <w:sz w:val="22"/>
                  <w:szCs w:val="22"/>
                  <w:shd w:fill="FFFF00" w:val="clear"/>
                  <w:lang w:val="it-IT" w:bidi="ar-SA"/>
                </w:rPr>
                <w:t>https://dati.arpacampania.it/dataset/?groups=rqa-qualita-aria</w:t>
              </w:r>
            </w:hyperlink>
          </w:p>
          <w:p>
            <w:pPr>
              <w:pStyle w:val="Normal"/>
              <w:widowControl/>
              <w:suppressAutoHyphens w:val="true"/>
              <w:spacing w:before="120" w:after="120"/>
              <w:rPr>
                <w:shd w:fill="FFFF00" w:val="clear"/>
              </w:rPr>
            </w:pPr>
            <w:hyperlink r:id="rId16">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medio mensile</w:t>
            </w:r>
          </w:p>
          <w:p>
            <w:pPr>
              <w:pStyle w:val="Normal"/>
              <w:widowControl/>
              <w:suppressAutoHyphens w:val="true"/>
              <w:spacing w:before="120" w:after="12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rHeight w:val="1232" w:hRule="atLeast"/>
        </w:trPr>
        <w:tc>
          <w:tcPr>
            <w:tcW w:w="1694" w:type="dxa"/>
            <w:tcBorders/>
          </w:tcPr>
          <w:p>
            <w:pPr>
              <w:pStyle w:val="Normal"/>
              <w:widowControl/>
              <w:suppressAutoHyphens w:val="true"/>
              <w:spacing w:before="120" w:after="120"/>
              <w:rPr>
                <w:lang w:val="en-GB"/>
              </w:rPr>
            </w:pPr>
            <w:r>
              <w:rPr>
                <w:sz w:val="22"/>
                <w:szCs w:val="22"/>
                <w:lang w:val="en-GB" w:bidi="ar-SA"/>
              </w:rPr>
              <w:t>Eventuali Metalli</w:t>
            </w:r>
            <w:r>
              <w:rPr>
                <w:sz w:val="22"/>
                <w:szCs w:val="22"/>
                <w:shd w:fill="FFFF00" w:val="clear"/>
                <w:lang w:val="en-GB" w:bidi="ar-SA"/>
              </w:rPr>
              <w:t>(</w:t>
            </w:r>
            <w:r>
              <w:rPr>
                <w:rStyle w:val="Strong"/>
                <w:b w:val="false"/>
                <w:bCs w:val="false"/>
                <w:sz w:val="22"/>
                <w:szCs w:val="22"/>
                <w:shd w:fill="FFFF00" w:val="clear"/>
                <w:lang w:val="en-GB" w:bidi="ar-SA"/>
              </w:rPr>
              <w:t>Arsenic (As), Cadmium (Cd), Nickel (Ni)</w:t>
            </w:r>
            <w:r>
              <w:rPr>
                <w:sz w:val="22"/>
                <w:szCs w:val="22"/>
                <w:shd w:fill="FFFF00" w:val="clear"/>
                <w:lang w:val="en-GB" w:bidi="ar-SA"/>
              </w:rPr>
              <w:t xml:space="preserve"> and </w:t>
            </w:r>
            <w:r>
              <w:rPr>
                <w:rStyle w:val="Strong"/>
                <w:b w:val="false"/>
                <w:bCs w:val="false"/>
                <w:sz w:val="22"/>
                <w:szCs w:val="22"/>
                <w:shd w:fill="FFFF00" w:val="clear"/>
                <w:lang w:val="en-GB" w:bidi="ar-SA"/>
              </w:rPr>
              <w:t>Benzo(a)pirene</w:t>
            </w:r>
            <w:r>
              <w:rPr>
                <w:sz w:val="22"/>
                <w:szCs w:val="22"/>
                <w:shd w:fill="FFFF00" w:val="clear"/>
                <w:lang w:val="en-GB" w:bidi="ar-SA"/>
              </w:rPr>
              <w:t xml:space="preserve"> in the </w:t>
            </w:r>
            <w:r>
              <w:rPr>
                <w:rStyle w:val="Strong"/>
                <w:b w:val="false"/>
                <w:bCs w:val="false"/>
                <w:sz w:val="22"/>
                <w:szCs w:val="22"/>
                <w:shd w:fill="FFFF00" w:val="clear"/>
                <w:lang w:val="en-GB" w:bidi="ar-SA"/>
              </w:rPr>
              <w:t>PM10 fraction</w:t>
            </w:r>
            <w:r>
              <w:rPr>
                <w:sz w:val="22"/>
                <w:szCs w:val="22"/>
                <w:shd w:fill="FFFF00" w:val="clear"/>
                <w:lang w:val="en-GB" w:bidi="ar-SA"/>
              </w:rPr>
              <w:t xml:space="preserve"> of particulate matter.)</w:t>
            </w:r>
          </w:p>
        </w:tc>
        <w:tc>
          <w:tcPr>
            <w:tcW w:w="3972" w:type="dxa"/>
            <w:tcBorders/>
          </w:tcPr>
          <w:p>
            <w:pPr>
              <w:pStyle w:val="Normal"/>
              <w:widowControl/>
              <w:suppressAutoHyphens w:val="true"/>
              <w:spacing w:before="120" w:after="120"/>
              <w:rPr>
                <w:shd w:fill="FFFF00" w:val="clear"/>
                <w:lang w:val="en-GB"/>
              </w:rPr>
            </w:pPr>
            <w:hyperlink r:id="rId17">
              <w:r>
                <w:rPr>
                  <w:rStyle w:val="Hyperlink"/>
                  <w:sz w:val="22"/>
                  <w:szCs w:val="22"/>
                  <w:shd w:fill="FFFF00" w:val="clear"/>
                  <w:lang w:val="en-GB" w:bidi="ar-SA"/>
                </w:rPr>
                <w:t>https://dati.arpacampania.it/dataset/dati-monitoraggio-qualita-aria/resource/ecc3e8af-b648-4e36-9e07-42f2a634477d</w:t>
              </w:r>
            </w:hyperlink>
          </w:p>
          <w:p>
            <w:pPr>
              <w:pStyle w:val="Normal"/>
              <w:widowControl/>
              <w:suppressAutoHyphens w:val="true"/>
              <w:spacing w:before="120" w:after="120"/>
              <w:rPr>
                <w:shd w:fill="FFFF00" w:val="clear"/>
                <w:lang w:val="en-GB"/>
              </w:rPr>
            </w:pPr>
            <w:r>
              <w:rPr>
                <w:sz w:val="22"/>
                <w:shd w:fill="FFFF00" w:val="clear"/>
                <w:lang w:val="en-GB"/>
              </w:rPr>
            </w:r>
          </w:p>
        </w:tc>
        <w:tc>
          <w:tcPr>
            <w:tcW w:w="2551" w:type="dxa"/>
            <w:tcBorders/>
          </w:tcPr>
          <w:p>
            <w:pPr>
              <w:pStyle w:val="Normal"/>
              <w:widowControl/>
              <w:suppressAutoHyphens w:val="true"/>
              <w:spacing w:before="120" w:after="120"/>
              <w:rPr>
                <w:lang w:val="en-GB"/>
              </w:rPr>
            </w:pPr>
            <w:r>
              <w:rPr>
                <w:sz w:val="22"/>
                <w:lang w:val="en-GB"/>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rHeight w:val="1232" w:hRule="atLeast"/>
        </w:trPr>
        <w:tc>
          <w:tcPr>
            <w:tcW w:w="1694" w:type="dxa"/>
            <w:tcBorders>
              <w:top w:val="nil"/>
            </w:tcBorders>
          </w:tcPr>
          <w:p>
            <w:pPr>
              <w:pStyle w:val="Normal"/>
              <w:widowControl/>
              <w:suppressAutoHyphens w:val="true"/>
              <w:spacing w:before="120" w:after="120"/>
              <w:rPr>
                <w:shd w:fill="FFFF00" w:val="clear"/>
              </w:rPr>
            </w:pPr>
            <w:r>
              <w:rPr>
                <w:sz w:val="22"/>
                <w:szCs w:val="22"/>
                <w:shd w:fill="FFFF00" w:val="clear"/>
                <w:lang w:val="it-IT" w:bidi="ar-SA"/>
              </w:rPr>
              <w:t>CO</w:t>
            </w:r>
          </w:p>
        </w:tc>
        <w:tc>
          <w:tcPr>
            <w:tcW w:w="3972" w:type="dxa"/>
            <w:tcBorders>
              <w:top w:val="nil"/>
            </w:tcBorders>
          </w:tcPr>
          <w:p>
            <w:pPr>
              <w:pStyle w:val="Normal"/>
              <w:widowControl/>
              <w:suppressAutoHyphens w:val="true"/>
              <w:spacing w:before="120" w:after="120"/>
              <w:rPr>
                <w:shd w:fill="FFFF00" w:val="clear"/>
              </w:rPr>
            </w:pPr>
            <w:hyperlink r:id="rId18">
              <w:r>
                <w:rPr>
                  <w:rStyle w:val="Hyperlink"/>
                  <w:sz w:val="22"/>
                  <w:szCs w:val="22"/>
                  <w:shd w:fill="FFFF00" w:val="clear"/>
                  <w:lang w:val="it-IT" w:bidi="ar-SA"/>
                </w:rPr>
                <w:t>https://dati.arpacampania.it/dataset/?groups=rqa-qualita-aria</w:t>
              </w:r>
            </w:hyperlink>
          </w:p>
          <w:p>
            <w:pPr>
              <w:pStyle w:val="Normal"/>
              <w:widowControl/>
              <w:suppressAutoHyphens w:val="true"/>
              <w:spacing w:before="120" w:after="120"/>
              <w:rPr>
                <w:shd w:fill="FFFF00" w:val="clear"/>
              </w:rPr>
            </w:pPr>
            <w:hyperlink r:id="rId19">
              <w:r>
                <w:rPr>
                  <w:rStyle w:val="Hyperlink"/>
                  <w:sz w:val="22"/>
                  <w:szCs w:val="22"/>
                  <w:shd w:fill="FFFF00" w:val="clear"/>
                  <w:lang w:val="it-IT" w:bidi="ar-SA"/>
                </w:rPr>
                <w:t>https://sinacloud.isprambiente.it/portal/apps/experiencebuilder/experience/?data_id=dataSource_137-infoariadowload_7094-infoariadowload%3A1%2B144&amp;draft=true&amp;id=df677d20871d4383b34ce355e24f0598&amp;page=page_74</w:t>
              </w:r>
            </w:hyperlink>
          </w:p>
        </w:tc>
        <w:tc>
          <w:tcPr>
            <w:tcW w:w="2551" w:type="dxa"/>
            <w:tcBorders>
              <w:top w:val="nil"/>
            </w:tcBorders>
          </w:tcPr>
          <w:p>
            <w:pPr>
              <w:pStyle w:val="Normal"/>
              <w:widowControl/>
              <w:suppressAutoHyphens w:val="true"/>
              <w:spacing w:before="120" w:after="120"/>
              <w:rPr>
                <w:sz w:val="22"/>
                <w:szCs w:val="22"/>
                <w:lang w:val="it-IT" w:bidi="ar-SA"/>
              </w:rPr>
            </w:pPr>
            <w:r>
              <w:rPr>
                <w:sz w:val="22"/>
                <w:szCs w:val="22"/>
                <w:lang w:val="it-IT" w:bidi="ar-SA"/>
              </w:rPr>
              <w:t>Valore medio annuo</w:t>
            </w:r>
          </w:p>
          <w:p>
            <w:pPr>
              <w:pStyle w:val="Normal"/>
              <w:widowControl/>
              <w:suppressAutoHyphens w:val="true"/>
              <w:rPr>
                <w:sz w:val="22"/>
                <w:szCs w:val="22"/>
                <w:lang w:val="it-IT" w:bidi="ar-SA"/>
              </w:rPr>
            </w:pPr>
            <w:r>
              <w:rPr>
                <w:sz w:val="22"/>
                <w:szCs w:val="22"/>
                <w:lang w:val="it-IT" w:bidi="ar-SA"/>
              </w:rPr>
              <w:t>Valore medio mensile</w:t>
            </w:r>
          </w:p>
          <w:p>
            <w:pPr>
              <w:pStyle w:val="Normal"/>
              <w:widowControl/>
              <w:suppressAutoHyphens w:val="true"/>
              <w:spacing w:before="120" w:after="120"/>
              <w:rPr>
                <w:sz w:val="22"/>
                <w:szCs w:val="22"/>
                <w:lang w:val="it-IT" w:bidi="ar-SA"/>
              </w:rPr>
            </w:pPr>
            <w:r>
              <w:rPr>
                <w:sz w:val="22"/>
                <w:szCs w:val="22"/>
                <w:lang w:val="it-IT" w:bidi="ar-SA"/>
              </w:rPr>
              <w:t>Giorni di superamento del limite</w:t>
            </w:r>
          </w:p>
        </w:tc>
        <w:tc>
          <w:tcPr>
            <w:tcW w:w="1440" w:type="dxa"/>
            <w:tcBorders>
              <w:top w:val="nil"/>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bl>
    <w:p>
      <w:pPr>
        <w:pStyle w:val="Heading3"/>
        <w:numPr>
          <w:ilvl w:val="0"/>
          <w:numId w:val="0"/>
        </w:numPr>
        <w:ind w:hanging="0" w:left="720"/>
        <w:rPr/>
      </w:pPr>
      <w:r>
        <w:rPr/>
      </w:r>
    </w:p>
    <w:p>
      <w:pPr>
        <w:pStyle w:val="Normal"/>
        <w:rPr>
          <w:lang w:val="en-US"/>
        </w:rPr>
      </w:pPr>
      <w:r>
        <w:rPr>
          <w:highlight w:val="yellow"/>
          <w:lang w:val="en-US"/>
        </w:rPr>
        <w:t>@AMIR Please insert dataset that you need fo our analysis. We will work together with Nicola (another company) to create an ETL system containing our data. Despite that, you have to put in tables (like the following one, that we make together) all pollutants needed in order to clarify measure units, timing sequence, and all you need to create our algos.</w:t>
      </w:r>
    </w:p>
    <w:p>
      <w:pPr>
        <w:pStyle w:val="Normal"/>
        <w:rPr/>
      </w:pPr>
      <w:r>
        <w:rPr/>
      </w:r>
    </w:p>
    <w:p>
      <w:pPr>
        <w:pStyle w:val="Heading3"/>
        <w:rPr/>
      </w:pPr>
      <w:r>
        <w:rPr/>
        <w:t>Data Source Model</w:t>
      </w:r>
    </w:p>
    <w:p>
      <w:pPr>
        <w:pStyle w:val="Heading4"/>
        <w:rPr/>
      </w:pPr>
      <w:r>
        <w:rPr/>
        <w:t>PM10</w:t>
      </w:r>
    </w:p>
    <w:p>
      <w:pPr>
        <w:pStyle w:val="Normal"/>
        <w:rPr/>
      </w:pPr>
      <w:r>
        <w:rPr/>
        <w:t>Giornaliero</w:t>
      </w:r>
    </w:p>
    <w:p>
      <w:pPr>
        <w:pStyle w:val="Normal"/>
        <w:rPr/>
      </w:pPr>
      <w:hyperlink r:id="rId20">
        <w:r>
          <w:rPr>
            <w:rStyle w:val="Hyperlink"/>
          </w:rPr>
          <w:t>https://dati.arpacampania.it/dataset/dati-rqa-giornalieri-validati/resource/8b04bace-510d-43fd-ae00-280d3191f490</w:t>
        </w:r>
      </w:hyperlink>
      <w:r>
        <w:rPr/>
        <w:t xml:space="preserve"> </w:t>
      </w:r>
    </w:p>
    <w:tbl>
      <w:tblPr>
        <w:tblStyle w:val="Tabellagriglia4-colore1"/>
        <w:tblW w:w="10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1"/>
        <w:gridCol w:w="908"/>
        <w:gridCol w:w="1161"/>
        <w:gridCol w:w="875"/>
        <w:gridCol w:w="1006"/>
        <w:gridCol w:w="1024"/>
        <w:gridCol w:w="861"/>
        <w:gridCol w:w="1486"/>
        <w:gridCol w:w="1006"/>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71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0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6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2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6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1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Linux Libertine O" w:hAnsi="Linux Libertine O"/>
                <w:b/>
                <w:bCs/>
                <w:sz w:val="22"/>
                <w:szCs w:val="22"/>
                <w:lang w:val="it-IT" w:bidi="ar-SA"/>
              </w:rPr>
            </w:pPr>
            <w:r>
              <w:rPr>
                <w:rFonts w:eastAsia="Times New Roman" w:cs="Times New Roman" w:ascii="Linux Libertine O" w:hAnsi="Linux Libertine O"/>
                <w:b/>
                <w:bCs/>
                <w:color w:val="000000"/>
                <w:sz w:val="22"/>
                <w:szCs w:val="22"/>
                <w:lang w:val="it-IT" w:bidi="ar-SA"/>
              </w:rPr>
              <w:t>1</w:t>
            </w:r>
          </w:p>
        </w:tc>
        <w:tc>
          <w:tcPr>
            <w:tcW w:w="90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IT2283A</w:t>
            </w:r>
          </w:p>
        </w:tc>
        <w:tc>
          <w:tcPr>
            <w:tcW w:w="11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OTTATI - ALBURNI</w:t>
            </w:r>
          </w:p>
        </w:tc>
        <w:tc>
          <w:tcPr>
            <w:tcW w:w="87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rFonts w:eastAsia="Times New Roman" w:cs="Times New Roman" w:ascii="Linux Libertine O" w:hAnsi="Linux Libertine O"/>
                <w:b w:val="false"/>
                <w:i w:val="false"/>
                <w:caps w:val="false"/>
                <w:smallCaps w:val="false"/>
                <w:color w:val="333333"/>
                <w:spacing w:val="0"/>
                <w:sz w:val="22"/>
                <w:szCs w:val="22"/>
                <w:lang w:val="it-IT" w:bidi="ar-SA"/>
              </w:rPr>
              <w:t>40.4628565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rFonts w:eastAsia="Times New Roman" w:cs="Times New Roman" w:ascii="Linux Libertine O" w:hAnsi="Linux Libertine O"/>
                <w:b w:val="false"/>
                <w:i w:val="false"/>
                <w:caps w:val="false"/>
                <w:smallCaps w:val="false"/>
                <w:color w:val="333333"/>
                <w:spacing w:val="0"/>
                <w:sz w:val="22"/>
                <w:szCs w:val="22"/>
                <w:lang w:val="it-IT" w:bidi="ar-SA"/>
              </w:rPr>
              <w:t>15.3152335</w:t>
            </w:r>
          </w:p>
        </w:tc>
        <w:tc>
          <w:tcPr>
            <w:tcW w:w="102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PM10</w:t>
            </w:r>
          </w:p>
        </w:tc>
        <w:tc>
          <w:tcPr>
            <w:tcW w:w="8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065086</w:t>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20-03-2023 23:00:00 +01:00</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18.3</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µg/m3</w:t>
            </w:r>
          </w:p>
        </w:tc>
      </w:tr>
      <w:tr>
        <w:trPr>
          <w:trHeight w:val="300" w:hRule="atLeast"/>
        </w:trPr>
        <w:tc>
          <w:tcPr>
            <w:tcW w:w="7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Linux Libertine O" w:hAnsi="Linux Libertine O"/>
                <w:b/>
                <w:bCs/>
                <w:sz w:val="22"/>
                <w:szCs w:val="22"/>
                <w:lang w:val="it-IT" w:bidi="ar-SA"/>
              </w:rPr>
            </w:pPr>
            <w:r>
              <w:rPr>
                <w:rFonts w:eastAsia="Times New Roman" w:cs="Times New Roman" w:ascii="Linux Libertine O" w:hAnsi="Linux Libertine O"/>
                <w:b/>
                <w:bCs/>
                <w:color w:val="000000"/>
                <w:sz w:val="22"/>
                <w:szCs w:val="22"/>
                <w:lang w:val="it-IT" w:bidi="ar-SA"/>
              </w:rPr>
              <w:t>2</w:t>
            </w:r>
          </w:p>
        </w:tc>
        <w:tc>
          <w:tcPr>
            <w:tcW w:w="90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IT2283A</w:t>
            </w:r>
          </w:p>
        </w:tc>
        <w:tc>
          <w:tcPr>
            <w:tcW w:w="116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OTTATI - ALBURNI</w:t>
            </w:r>
          </w:p>
        </w:tc>
        <w:tc>
          <w:tcPr>
            <w:tcW w:w="875"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b w:val="false"/>
                <w:i w:val="false"/>
                <w:caps w:val="false"/>
                <w:smallCaps w:val="false"/>
                <w:color w:val="333333"/>
                <w:spacing w:val="0"/>
                <w:sz w:val="22"/>
              </w:rPr>
              <w:t>40.4628565</w:t>
            </w:r>
          </w:p>
        </w:tc>
        <w:tc>
          <w:tcPr>
            <w:tcW w:w="1006"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b w:val="false"/>
                <w:i w:val="false"/>
                <w:caps w:val="false"/>
                <w:smallCaps w:val="false"/>
                <w:color w:val="333333"/>
                <w:spacing w:val="0"/>
                <w:sz w:val="22"/>
              </w:rPr>
              <w:t>15.3152335</w:t>
            </w:r>
          </w:p>
        </w:tc>
        <w:tc>
          <w:tcPr>
            <w:tcW w:w="102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PM10</w:t>
            </w:r>
          </w:p>
        </w:tc>
        <w:tc>
          <w:tcPr>
            <w:tcW w:w="861"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sz w:val="22"/>
              </w:rPr>
              <w:t>065086</w:t>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20-03-2023 18:00:00 +01:00</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18.3</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1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Linux Libertine O" w:hAnsi="Linux Libertine O"/>
                <w:b/>
                <w:bCs/>
                <w:sz w:val="22"/>
                <w:szCs w:val="22"/>
                <w:lang w:val="it-IT" w:bidi="ar-SA"/>
              </w:rPr>
            </w:pPr>
            <w:r>
              <w:rPr>
                <w:rFonts w:eastAsia="Times New Roman" w:cs="Times New Roman" w:ascii="Linux Libertine O" w:hAnsi="Linux Libertine O"/>
                <w:b/>
                <w:bCs/>
                <w:color w:val="000000"/>
                <w:sz w:val="22"/>
                <w:szCs w:val="22"/>
                <w:lang w:val="it-IT" w:bidi="ar-SA"/>
              </w:rPr>
              <w:t>3</w:t>
            </w:r>
          </w:p>
        </w:tc>
        <w:tc>
          <w:tcPr>
            <w:tcW w:w="90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IT2283A</w:t>
            </w:r>
          </w:p>
        </w:tc>
        <w:tc>
          <w:tcPr>
            <w:tcW w:w="11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OTTATI - ALBURNI</w:t>
            </w:r>
          </w:p>
        </w:tc>
        <w:tc>
          <w:tcPr>
            <w:tcW w:w="87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b w:val="false"/>
                <w:i w:val="false"/>
                <w:caps w:val="false"/>
                <w:smallCaps w:val="false"/>
                <w:color w:val="333333"/>
                <w:spacing w:val="0"/>
                <w:sz w:val="22"/>
              </w:rPr>
              <w:t>40.4628565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b w:val="false"/>
                <w:i w:val="false"/>
                <w:caps w:val="false"/>
                <w:smallCaps w:val="false"/>
                <w:color w:val="333333"/>
                <w:spacing w:val="0"/>
                <w:sz w:val="22"/>
              </w:rPr>
              <w:t>15.3152335</w:t>
            </w:r>
          </w:p>
        </w:tc>
        <w:tc>
          <w:tcPr>
            <w:tcW w:w="102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PM10</w:t>
            </w:r>
          </w:p>
        </w:tc>
        <w:tc>
          <w:tcPr>
            <w:tcW w:w="8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sz w:val="22"/>
              </w:rPr>
              <w:t>065086</w:t>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20-03-2023 12:00:00 +01:00</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18.3</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µg/m3</w:t>
            </w:r>
          </w:p>
        </w:tc>
      </w:tr>
      <w:tr>
        <w:trPr>
          <w:trHeight w:val="300" w:hRule="atLeast"/>
        </w:trPr>
        <w:tc>
          <w:tcPr>
            <w:tcW w:w="7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Linux Libertine O" w:hAnsi="Linux Libertine O"/>
                <w:b/>
                <w:bCs/>
                <w:sz w:val="22"/>
                <w:szCs w:val="22"/>
                <w:lang w:val="it-IT" w:bidi="ar-SA"/>
              </w:rPr>
            </w:pPr>
            <w:r>
              <w:rPr>
                <w:rFonts w:eastAsia="Times New Roman" w:cs="Times New Roman" w:ascii="Linux Libertine O" w:hAnsi="Linux Libertine O"/>
                <w:b/>
                <w:bCs/>
                <w:color w:val="000000"/>
                <w:sz w:val="22"/>
                <w:szCs w:val="22"/>
                <w:lang w:val="it-IT" w:bidi="ar-SA"/>
              </w:rPr>
              <w:t>4</w:t>
            </w:r>
          </w:p>
        </w:tc>
        <w:tc>
          <w:tcPr>
            <w:tcW w:w="90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IT2283A</w:t>
            </w:r>
          </w:p>
        </w:tc>
        <w:tc>
          <w:tcPr>
            <w:tcW w:w="116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OTTATI - ALBURNI</w:t>
            </w:r>
          </w:p>
        </w:tc>
        <w:tc>
          <w:tcPr>
            <w:tcW w:w="875"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b w:val="false"/>
                <w:i w:val="false"/>
                <w:caps w:val="false"/>
                <w:smallCaps w:val="false"/>
                <w:color w:val="333333"/>
                <w:spacing w:val="0"/>
                <w:sz w:val="22"/>
              </w:rPr>
              <w:t>40.4628565</w:t>
            </w:r>
          </w:p>
        </w:tc>
        <w:tc>
          <w:tcPr>
            <w:tcW w:w="1006"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eastAsia="Times New Roman" w:cs="Times New Roman"/>
                <w:b w:val="false"/>
                <w:i w:val="false"/>
                <w:i w:val="false"/>
                <w:caps w:val="false"/>
                <w:smallCaps w:val="false"/>
                <w:color w:val="333333"/>
                <w:spacing w:val="0"/>
                <w:sz w:val="22"/>
                <w:szCs w:val="22"/>
                <w:lang w:val="it-IT" w:bidi="ar-SA"/>
              </w:rPr>
            </w:pPr>
            <w:r>
              <w:rPr>
                <w:b w:val="false"/>
                <w:i w:val="false"/>
                <w:caps w:val="false"/>
                <w:smallCaps w:val="false"/>
                <w:color w:val="333333"/>
                <w:spacing w:val="0"/>
                <w:sz w:val="22"/>
              </w:rPr>
              <w:t>15.3152335</w:t>
            </w:r>
          </w:p>
        </w:tc>
        <w:tc>
          <w:tcPr>
            <w:tcW w:w="102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PM10</w:t>
            </w:r>
          </w:p>
        </w:tc>
        <w:tc>
          <w:tcPr>
            <w:tcW w:w="861"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Linux Libertine O" w:hAnsi="Linux Libertine O"/>
                <w:sz w:val="22"/>
                <w:szCs w:val="22"/>
                <w:lang w:val="it-IT" w:bidi="ar-SA"/>
              </w:rPr>
            </w:pPr>
            <w:r>
              <w:rPr>
                <w:sz w:val="22"/>
              </w:rPr>
              <w:t>065086</w:t>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20-03-2023 19:00:00 +01:00</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18.3</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Linux Libertine O" w:hAnsi="Linux Libertine O"/>
                <w:sz w:val="22"/>
                <w:szCs w:val="22"/>
                <w:lang w:val="it-IT" w:bidi="ar-SA"/>
              </w:rPr>
            </w:pPr>
            <w:r>
              <w:rPr>
                <w:rFonts w:eastAsia="Times New Roman" w:cs="Times New Roman" w:ascii="Linux Libertine O" w:hAnsi="Linux Libertine O"/>
                <w:color w:val="000000"/>
                <w:sz w:val="22"/>
                <w:szCs w:val="22"/>
                <w:lang w:val="it-IT" w:bidi="ar-SA"/>
              </w:rPr>
              <w:t>µg/m3</w:t>
            </w:r>
          </w:p>
        </w:tc>
      </w:tr>
    </w:tbl>
    <w:p>
      <w:pPr>
        <w:pStyle w:val="Heading4"/>
        <w:numPr>
          <w:ilvl w:val="0"/>
          <w:numId w:val="0"/>
        </w:numPr>
        <w:ind w:hanging="0" w:left="864"/>
        <w:rPr/>
      </w:pPr>
      <w:r>
        <w:rPr/>
      </w:r>
    </w:p>
    <w:p>
      <w:pPr>
        <w:pStyle w:val="Normal"/>
        <w:rPr/>
      </w:pPr>
      <w:r>
        <w:rPr/>
      </w:r>
    </w:p>
    <w:p>
      <w:pPr>
        <w:pStyle w:val="Heading4"/>
        <w:rPr/>
      </w:pPr>
      <w:r>
        <w:rPr/>
        <w:t>PM2.5</w:t>
      </w:r>
    </w:p>
    <w:p>
      <w:pPr>
        <w:pStyle w:val="Normal"/>
        <w:rPr/>
      </w:pPr>
      <w:r>
        <w:rPr/>
        <w:t>Ogni ora</w:t>
      </w:r>
    </w:p>
    <w:p>
      <w:pPr>
        <w:pStyle w:val="Normal"/>
        <w:rPr/>
      </w:pPr>
      <w:hyperlink r:id="rId21">
        <w:r>
          <w:rPr>
            <w:rStyle w:val="Hyperlink"/>
          </w:rPr>
          <w:t>https://dati.arpacampania.it/dataset/dati-rqa-giornalieri-validati/resource/8b04bace-510d-43fd-ae00-280d3191f490</w:t>
        </w:r>
      </w:hyperlink>
      <w:r>
        <w:rPr/>
        <w:t xml:space="preserve"> </w:t>
      </w:r>
    </w:p>
    <w:tbl>
      <w:tblPr>
        <w:tblStyle w:val="Tabellagriglia4-colore1"/>
        <w:tblW w:w="10122" w:type="dxa"/>
        <w:jc w:val="left"/>
        <w:tblInd w:w="160" w:type="dxa"/>
        <w:tblLayout w:type="fixed"/>
        <w:tblCellMar>
          <w:top w:w="0" w:type="dxa"/>
          <w:left w:w="108" w:type="dxa"/>
          <w:bottom w:w="0" w:type="dxa"/>
          <w:right w:w="108" w:type="dxa"/>
        </w:tblCellMar>
        <w:tblLook w:val="04a0" w:noHBand="0" w:noVBand="1" w:firstColumn="1" w:lastRow="0" w:lastColumn="0" w:firstRow="1"/>
      </w:tblPr>
      <w:tblGrid>
        <w:gridCol w:w="734"/>
        <w:gridCol w:w="724"/>
        <w:gridCol w:w="1159"/>
        <w:gridCol w:w="874"/>
        <w:gridCol w:w="1009"/>
        <w:gridCol w:w="1022"/>
        <w:gridCol w:w="859"/>
        <w:gridCol w:w="1486"/>
        <w:gridCol w:w="1009"/>
        <w:gridCol w:w="1245"/>
      </w:tblGrid>
      <w:tr>
        <w:trPr>
          <w:trHeight w:val="645" w:hRule="atLeast"/>
          <w:cnfStyle w:val="100000000000" w:firstRow="1" w:lastRow="0" w:firstColumn="0" w:lastColumn="0" w:oddVBand="0" w:evenVBand="0" w:oddHBand="0" w:evenHBand="0" w:firstRowFirstColumn="0" w:firstRowLastColumn="0" w:lastRowFirstColumn="0" w:lastRowLastColumn="0"/>
        </w:trPr>
        <w:tc>
          <w:tcPr>
            <w:tcW w:w="734"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72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2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3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w:hAnsi="aptos"/>
                <w:b/>
                <w:bCs/>
                <w:sz w:val="22"/>
                <w:szCs w:val="22"/>
                <w:lang w:val="it-IT" w:bidi="ar-SA"/>
              </w:rPr>
            </w:pPr>
            <w:r>
              <w:rPr>
                <w:rFonts w:eastAsia="Times New Roman" w:cs="Times New Roman" w:ascii="aptos" w:hAnsi="aptos"/>
                <w:b/>
                <w:bCs/>
                <w:color w:val="000000"/>
                <w:sz w:val="22"/>
                <w:szCs w:val="22"/>
                <w:lang w:val="it-IT" w:bidi="ar-SA"/>
              </w:rPr>
              <w:t>119</w:t>
            </w:r>
          </w:p>
        </w:tc>
        <w:tc>
          <w:tcPr>
            <w:tcW w:w="72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Napoli NA01 Oss. Astronomico</w:t>
            </w:r>
          </w:p>
        </w:tc>
        <w:tc>
          <w:tcPr>
            <w:tcW w:w="87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rFonts w:eastAsia="Times New Roman" w:cs="Times New Roman" w:ascii="aptos" w:hAnsi="aptos"/>
                <w:b w:val="false"/>
                <w:i w:val="false"/>
                <w:caps w:val="false"/>
                <w:smallCaps w:val="false"/>
                <w:color w:val="202122"/>
                <w:spacing w:val="0"/>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rFonts w:eastAsia="Times New Roman" w:cs="Times New Roman" w:ascii="aptos" w:hAnsi="aptos"/>
                <w:b w:val="false"/>
                <w:i w:val="false"/>
                <w:caps w:val="false"/>
                <w:smallCaps w:val="false"/>
                <w:color w:val="202122"/>
                <w:spacing w:val="0"/>
                <w:sz w:val="21"/>
                <w:szCs w:val="22"/>
                <w:lang w:val="it-IT" w:bidi="ar-SA"/>
              </w:rPr>
              <w:t>14°15′54.00″</w:t>
            </w:r>
          </w:p>
        </w:tc>
        <w:tc>
          <w:tcPr>
            <w:tcW w:w="102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333333"/>
                <w:spacing w:val="0"/>
                <w:sz w:val="24"/>
                <w:szCs w:val="22"/>
                <w:lang w:val="it-IT" w:bidi="ar-SA"/>
              </w:rPr>
            </w:pPr>
            <w:r>
              <w:rPr>
                <w:rFonts w:eastAsia="Times New Roman" w:cs="Times New Roman" w:ascii="aptos" w:hAnsi="aptos"/>
                <w:b w:val="false"/>
                <w:i w:val="false"/>
                <w:caps w:val="false"/>
                <w:smallCaps w:val="false"/>
                <w:color w:val="000000"/>
                <w:spacing w:val="0"/>
                <w:sz w:val="24"/>
                <w:szCs w:val="22"/>
                <w:lang w:val="it-IT" w:bidi="ar-SA"/>
              </w:rPr>
              <w:t>PM2,5</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001D35"/>
                <w:spacing w:val="0"/>
                <w:sz w:val="24"/>
                <w:szCs w:val="22"/>
                <w:lang w:val="it-IT" w:bidi="ar-SA"/>
              </w:rPr>
            </w:pPr>
            <w:r>
              <w:rPr>
                <w:rFonts w:eastAsia="Times New Roman" w:cs="Times New Roman" w:ascii="aptos" w:hAnsi="aptos"/>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w:hAnsi="aptos" w:eastAsia="Times New Roman" w:cs="Times New Roman"/>
                <w:color w:val="000000"/>
              </w:rPr>
            </w:pPr>
            <w:r>
              <w:rPr>
                <w:rFonts w:eastAsia="Times New Roman" w:cs="Times New Roman" w:ascii="aptos" w:hAnsi="aptos"/>
                <w:color w:val="000000"/>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03-10-2025 00:00:00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4.8</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µg/m3</w:t>
            </w:r>
          </w:p>
        </w:tc>
      </w:tr>
      <w:tr>
        <w:trPr>
          <w:trHeight w:val="300" w:hRule="atLeast"/>
        </w:trPr>
        <w:tc>
          <w:tcPr>
            <w:tcW w:w="73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w:hAnsi="aptos"/>
                <w:b/>
                <w:bCs/>
                <w:sz w:val="22"/>
                <w:szCs w:val="22"/>
                <w:lang w:val="it-IT" w:bidi="ar-SA"/>
              </w:rPr>
            </w:pPr>
            <w:r>
              <w:rPr>
                <w:rFonts w:eastAsia="Times New Roman" w:cs="Times New Roman" w:ascii="aptos" w:hAnsi="aptos"/>
                <w:b/>
                <w:bCs/>
                <w:color w:val="000000"/>
                <w:sz w:val="22"/>
                <w:szCs w:val="22"/>
                <w:lang w:val="it-IT" w:bidi="ar-SA"/>
              </w:rPr>
              <w:t>120</w:t>
            </w:r>
          </w:p>
        </w:tc>
        <w:tc>
          <w:tcPr>
            <w:tcW w:w="72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Napoli NA01 Oss. Astronomico</w:t>
            </w:r>
          </w:p>
        </w:tc>
        <w:tc>
          <w:tcPr>
            <w:tcW w:w="874"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rFonts w:eastAsia="Times New Roman" w:cs="Times New Roman" w:ascii="aptos" w:hAnsi="aptos"/>
                <w:b w:val="false"/>
                <w:i w:val="false"/>
                <w:caps w:val="false"/>
                <w:smallCaps w:val="false"/>
                <w:color w:val="202122"/>
                <w:spacing w:val="0"/>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rFonts w:eastAsia="Times New Roman" w:cs="Times New Roman" w:ascii="aptos" w:hAnsi="aptos"/>
                <w:b w:val="false"/>
                <w:i w:val="false"/>
                <w:caps w:val="false"/>
                <w:smallCaps w:val="false"/>
                <w:color w:val="202122"/>
                <w:spacing w:val="0"/>
                <w:sz w:val="21"/>
                <w:szCs w:val="22"/>
                <w:lang w:val="it-IT" w:bidi="ar-SA"/>
              </w:rPr>
              <w:t>14°15′54.00″</w:t>
            </w:r>
          </w:p>
        </w:tc>
        <w:tc>
          <w:tcPr>
            <w:tcW w:w="1022"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333333"/>
                <w:spacing w:val="0"/>
                <w:sz w:val="24"/>
                <w:szCs w:val="22"/>
                <w:lang w:val="it-IT" w:bidi="ar-SA"/>
              </w:rPr>
            </w:pPr>
            <w:r>
              <w:rPr>
                <w:rFonts w:eastAsia="Times New Roman" w:cs="Times New Roman" w:ascii="aptos" w:hAnsi="aptos"/>
                <w:b w:val="false"/>
                <w:i w:val="false"/>
                <w:caps w:val="false"/>
                <w:smallCaps w:val="false"/>
                <w:color w:val="000000"/>
                <w:spacing w:val="0"/>
                <w:sz w:val="24"/>
                <w:szCs w:val="22"/>
                <w:lang w:val="it-IT" w:bidi="ar-SA"/>
              </w:rPr>
              <w:t>PM2,5</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Times New Roman" w:cs="Times New Roman"/>
                <w:b w:val="false"/>
                <w:i w:val="false"/>
                <w:i w:val="false"/>
                <w:caps w:val="false"/>
                <w:smallCaps w:val="false"/>
                <w:color w:val="001D35"/>
                <w:spacing w:val="0"/>
                <w:sz w:val="24"/>
                <w:szCs w:val="22"/>
                <w:lang w:val="it-IT" w:bidi="ar-SA"/>
              </w:rPr>
            </w:pPr>
            <w:r>
              <w:rPr>
                <w:rFonts w:eastAsia="Times New Roman" w:cs="Times New Roman" w:ascii="aptos" w:hAnsi="aptos"/>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w:hAnsi="aptos" w:eastAsia="Times New Roman" w:cs="Times New Roman"/>
                <w:color w:val="000000"/>
              </w:rPr>
            </w:pPr>
            <w:r>
              <w:rPr>
                <w:rFonts w:eastAsia="Times New Roman" w:cs="Times New Roman" w:ascii="aptos" w:hAnsi="aptos"/>
                <w:color w:val="000000"/>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03-10-2025 01:00:00 +01:00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4.6</w:t>
            </w:r>
          </w:p>
        </w:tc>
        <w:tc>
          <w:tcPr>
            <w:tcW w:w="1245"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ascii="aptos" w:hAnsi="aptos"/>
                <w:color w:val="000000"/>
                <w:sz w:val="22"/>
                <w:szCs w:val="22"/>
                <w:lang w:val="it-IT" w:bidi="ar-SA"/>
              </w:rPr>
              <w:t>µg/m3</w:t>
            </w:r>
          </w:p>
        </w:tc>
      </w:tr>
      <w:tr>
        <w:trPr>
          <w:trHeight w:val="300" w:hRule="atLeast"/>
        </w:trPr>
        <w:tc>
          <w:tcPr>
            <w:tcW w:w="734"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aptos" w:hAnsi="aptos"/>
                <w:b/>
                <w:bCs/>
                <w:sz w:val="22"/>
                <w:szCs w:val="22"/>
                <w:lang w:val="it-IT" w:bidi="ar-SA"/>
              </w:rPr>
            </w:pPr>
            <w:r>
              <w:rPr>
                <w:rFonts w:ascii="aptos" w:hAnsi="aptos"/>
                <w:b/>
                <w:bCs/>
                <w:sz w:val="22"/>
                <w:szCs w:val="22"/>
                <w:lang w:val="it-IT" w:bidi="ar-SA"/>
              </w:rPr>
              <w:t>121</w:t>
            </w:r>
          </w:p>
        </w:tc>
        <w:tc>
          <w:tcPr>
            <w:tcW w:w="724"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color w:val="000000"/>
                <w:sz w:val="22"/>
              </w:rPr>
              <w:t>IT1497A</w:t>
            </w:r>
          </w:p>
        </w:tc>
        <w:tc>
          <w:tcPr>
            <w:tcW w:w="1159"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color w:val="000000"/>
                <w:sz w:val="22"/>
              </w:rPr>
              <w:t>Napoli NA01 Oss. Astronomico</w:t>
            </w:r>
          </w:p>
        </w:tc>
        <w:tc>
          <w:tcPr>
            <w:tcW w:w="874"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sz w:val="22"/>
              </w:rPr>
              <w:t>40°50′49.20″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sz w:val="22"/>
              </w:rPr>
              <w:t>14°15′54.00″</w:t>
            </w:r>
          </w:p>
        </w:tc>
        <w:tc>
          <w:tcPr>
            <w:tcW w:w="1022"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topos" w:hAnsi="atopos"/>
                <w:sz w:val="24"/>
                <w:szCs w:val="24"/>
              </w:rPr>
            </w:pPr>
            <w:r>
              <w:rPr>
                <w:rFonts w:ascii="atopos" w:hAnsi="atopos"/>
                <w:color w:val="000000"/>
                <w:sz w:val="24"/>
                <w:szCs w:val="24"/>
              </w:rPr>
              <w:t>PM2,5</w:t>
            </w:r>
          </w:p>
        </w:tc>
        <w:tc>
          <w:tcPr>
            <w:tcW w:w="859"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Times New Roman" w:cs="Times New Roman"/>
                <w:b w:val="false"/>
                <w:i w:val="false"/>
                <w:i w:val="false"/>
                <w:caps w:val="false"/>
                <w:smallCaps w:val="false"/>
                <w:color w:val="001D35"/>
                <w:spacing w:val="0"/>
                <w:sz w:val="24"/>
                <w:szCs w:val="22"/>
                <w:lang w:val="it-IT" w:bidi="ar-SA"/>
              </w:rPr>
            </w:pPr>
            <w:r>
              <w:rPr/>
              <w:t>063049</w:t>
            </w:r>
          </w:p>
        </w:tc>
        <w:tc>
          <w:tcPr>
            <w:tcW w:w="1486"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ascii="aptos" w:hAnsi="aptos"/>
                <w:sz w:val="22"/>
                <w:szCs w:val="22"/>
                <w:lang w:val="it-IT" w:bidi="ar-SA"/>
              </w:rPr>
              <w:t>03-10-2025 02:00:00 +01:00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ascii="aptos" w:hAnsi="aptos"/>
                <w:sz w:val="22"/>
                <w:szCs w:val="22"/>
                <w:lang w:val="it-IT" w:bidi="ar-SA"/>
              </w:rPr>
              <w:t>5.8</w:t>
            </w:r>
          </w:p>
        </w:tc>
        <w:tc>
          <w:tcPr>
            <w:tcW w:w="1245"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color w:val="000000"/>
                <w:sz w:val="22"/>
              </w:rPr>
              <w:t>µg/m3</w:t>
            </w:r>
          </w:p>
        </w:tc>
      </w:tr>
      <w:tr>
        <w:trPr>
          <w:trHeight w:val="368" w:hRule="atLeast"/>
        </w:trPr>
        <w:tc>
          <w:tcPr>
            <w:tcW w:w="734"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aptos" w:hAnsi="aptos"/>
                <w:b/>
                <w:bCs/>
                <w:sz w:val="22"/>
                <w:szCs w:val="22"/>
                <w:lang w:val="it-IT" w:bidi="ar-SA"/>
              </w:rPr>
            </w:pPr>
            <w:r>
              <w:rPr>
                <w:rFonts w:ascii="aptos" w:hAnsi="aptos"/>
                <w:b/>
                <w:bCs/>
                <w:sz w:val="22"/>
                <w:szCs w:val="22"/>
                <w:lang w:val="it-IT" w:bidi="ar-SA"/>
              </w:rPr>
              <w:t>122</w:t>
            </w:r>
          </w:p>
        </w:tc>
        <w:tc>
          <w:tcPr>
            <w:tcW w:w="724"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color w:val="000000"/>
                <w:sz w:val="22"/>
              </w:rPr>
              <w:t>IT1497A</w:t>
            </w:r>
          </w:p>
        </w:tc>
        <w:tc>
          <w:tcPr>
            <w:tcW w:w="115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eastAsia="Times New Roman" w:cs="Times New Roman"/>
                <w:color w:val="000000"/>
                <w:sz w:val="22"/>
              </w:rPr>
              <w:t>Napoli NA01 Oss. Astronomico</w:t>
            </w:r>
          </w:p>
        </w:tc>
        <w:tc>
          <w:tcPr>
            <w:tcW w:w="874"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sz w:val="22"/>
              </w:rPr>
              <w:t>40°50′49.20″</w:t>
            </w:r>
          </w:p>
        </w:tc>
        <w:tc>
          <w:tcPr>
            <w:tcW w:w="1009"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Times New Roman" w:cs="Times New Roman"/>
                <w:b w:val="false"/>
                <w:i w:val="false"/>
                <w:i w:val="false"/>
                <w:caps w:val="false"/>
                <w:smallCaps w:val="false"/>
                <w:color w:val="202122"/>
                <w:spacing w:val="0"/>
                <w:sz w:val="21"/>
                <w:szCs w:val="22"/>
                <w:lang w:val="it-IT" w:bidi="ar-SA"/>
              </w:rPr>
            </w:pPr>
            <w:r>
              <w:rPr>
                <w:sz w:val="22"/>
              </w:rPr>
              <w:t>14°15′54.00″</w:t>
            </w:r>
          </w:p>
        </w:tc>
        <w:tc>
          <w:tcPr>
            <w:tcW w:w="1022"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topos" w:hAnsi="atopos"/>
                <w:sz w:val="24"/>
                <w:szCs w:val="24"/>
              </w:rPr>
            </w:pPr>
            <w:r>
              <w:rPr>
                <w:rFonts w:ascii="atopos" w:hAnsi="atopos"/>
                <w:color w:val="000000"/>
                <w:sz w:val="24"/>
                <w:szCs w:val="24"/>
              </w:rPr>
              <w:t>PM2,5</w:t>
            </w:r>
          </w:p>
        </w:tc>
        <w:tc>
          <w:tcPr>
            <w:tcW w:w="859"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Times New Roman" w:cs="Times New Roman"/>
                <w:b w:val="false"/>
                <w:i w:val="false"/>
                <w:i w:val="false"/>
                <w:caps w:val="false"/>
                <w:smallCaps w:val="false"/>
                <w:color w:val="001D35"/>
                <w:spacing w:val="0"/>
                <w:sz w:val="24"/>
                <w:szCs w:val="22"/>
                <w:lang w:val="it-IT" w:bidi="ar-SA"/>
              </w:rPr>
            </w:pPr>
            <w:r>
              <w:rPr/>
              <w:t>063049</w:t>
            </w:r>
          </w:p>
        </w:tc>
        <w:tc>
          <w:tcPr>
            <w:tcW w:w="1486"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ascii="aptos" w:hAnsi="aptos"/>
                <w:sz w:val="22"/>
                <w:szCs w:val="22"/>
                <w:lang w:val="it-IT" w:bidi="ar-SA"/>
              </w:rPr>
              <w:t>03-10-2025 03:00:00 +01:00</w:t>
            </w:r>
          </w:p>
        </w:tc>
        <w:tc>
          <w:tcPr>
            <w:tcW w:w="100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sz w:val="22"/>
                <w:szCs w:val="22"/>
                <w:lang w:val="it-IT" w:bidi="ar-SA"/>
              </w:rPr>
            </w:pPr>
            <w:r>
              <w:rPr>
                <w:rFonts w:ascii="aptos" w:hAnsi="aptos"/>
                <w:sz w:val="22"/>
                <w:szCs w:val="22"/>
                <w:lang w:val="it-IT" w:bidi="ar-SA"/>
              </w:rPr>
              <w:t>5.2</w:t>
            </w:r>
          </w:p>
        </w:tc>
        <w:tc>
          <w:tcPr>
            <w:tcW w:w="1245"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sz w:val="22"/>
                <w:szCs w:val="22"/>
                <w:lang w:val="it-IT" w:bidi="ar-SA"/>
              </w:rPr>
            </w:pPr>
            <w:r>
              <w:rPr>
                <w:rFonts w:eastAsia="Times New Roman" w:cs="Times New Roman"/>
                <w:color w:val="000000"/>
                <w:sz w:val="22"/>
              </w:rPr>
              <w:t>µg/m3</w:t>
            </w:r>
          </w:p>
        </w:tc>
      </w:tr>
    </w:tbl>
    <w:p>
      <w:pPr>
        <w:pStyle w:val="Normal"/>
        <w:rPr/>
      </w:pPr>
      <w:r>
        <w:rPr/>
      </w:r>
    </w:p>
    <w:p>
      <w:pPr>
        <w:pStyle w:val="Normal"/>
        <w:rPr/>
      </w:pPr>
      <w:r>
        <w:rPr/>
      </w:r>
    </w:p>
    <w:p>
      <w:pPr>
        <w:pStyle w:val="Heading4"/>
        <w:rPr/>
      </w:pPr>
      <w:r>
        <w:rPr/>
        <w:t>Ozono</w:t>
      </w:r>
    </w:p>
    <w:p>
      <w:pPr>
        <w:pStyle w:val="Normal"/>
        <w:rPr/>
      </w:pPr>
      <w:r>
        <w:rPr/>
        <w:t>Ogni ora</w:t>
      </w:r>
    </w:p>
    <w:p>
      <w:pPr>
        <w:pStyle w:val="Normal"/>
        <w:rPr/>
      </w:pPr>
      <w:hyperlink r:id="rId22">
        <w:r>
          <w:rPr>
            <w:rStyle w:val="Hyperlink"/>
          </w:rPr>
          <w:t>https://dati.arpacampania.it/dataset/dati-rqa-giornalieri-validati/resource/8b04bace-510d-43fd-ae00-280d3191f490</w:t>
        </w:r>
      </w:hyperlink>
      <w:r>
        <w:rPr/>
        <w:t xml:space="preserve"> </w:t>
      </w:r>
    </w:p>
    <w:tbl>
      <w:tblPr>
        <w:tblStyle w:val="Tabellagriglia4-colore1"/>
        <w:tblW w:w="10123" w:type="dxa"/>
        <w:jc w:val="left"/>
        <w:tblInd w:w="158" w:type="dxa"/>
        <w:tblLayout w:type="fixed"/>
        <w:tblCellMar>
          <w:top w:w="0" w:type="dxa"/>
          <w:left w:w="108" w:type="dxa"/>
          <w:bottom w:w="0" w:type="dxa"/>
          <w:right w:w="108" w:type="dxa"/>
        </w:tblCellMar>
        <w:tblLook w:val="04a0" w:noHBand="0" w:noVBand="1" w:firstColumn="1" w:lastRow="0" w:lastColumn="0" w:firstRow="1"/>
      </w:tblPr>
      <w:tblGrid>
        <w:gridCol w:w="539"/>
        <w:gridCol w:w="913"/>
        <w:gridCol w:w="1157"/>
        <w:gridCol w:w="886"/>
        <w:gridCol w:w="1004"/>
        <w:gridCol w:w="1021"/>
        <w:gridCol w:w="855"/>
        <w:gridCol w:w="1484"/>
        <w:gridCol w:w="1020"/>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39"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1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5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2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48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2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39"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95</w:t>
            </w:r>
          </w:p>
        </w:tc>
        <w:tc>
          <w:tcPr>
            <w:tcW w:w="91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IT1497A</w:t>
            </w:r>
          </w:p>
        </w:tc>
        <w:tc>
          <w:tcPr>
            <w:tcW w:w="115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Napoli NA01 Oss. Astronomico</w:t>
            </w:r>
          </w:p>
        </w:tc>
        <w:tc>
          <w:tcPr>
            <w:tcW w:w="8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rFonts w:eastAsia="Times New Roman" w:cs="Times New Roman" w:ascii="sans-serif" w:hAnsi="sans-serif"/>
                <w:b w:val="false"/>
                <w:i w:val="false"/>
                <w:caps w:val="false"/>
                <w:smallCaps w:val="false"/>
                <w:color w:val="202122"/>
                <w:spacing w:val="0"/>
                <w:sz w:val="22"/>
                <w:szCs w:val="22"/>
                <w:lang w:val="it-IT" w:bidi="ar-SA"/>
              </w:rPr>
              <w:t>40°50′49.20″</w:t>
            </w:r>
          </w:p>
        </w:tc>
        <w:tc>
          <w:tcPr>
            <w:tcW w:w="100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rFonts w:eastAsia="Times New Roman" w:cs="Times New Roman" w:ascii="sans-serif" w:hAnsi="sans-serif"/>
                <w:b w:val="false"/>
                <w:i w:val="false"/>
                <w:caps w:val="false"/>
                <w:smallCaps w:val="false"/>
                <w:color w:val="202122"/>
                <w:spacing w:val="0"/>
                <w:sz w:val="22"/>
                <w:szCs w:val="22"/>
                <w:lang w:val="it-IT" w:bidi="ar-SA"/>
              </w:rPr>
              <w:t>14°15′54.00″</w:t>
            </w:r>
          </w:p>
        </w:tc>
        <w:tc>
          <w:tcPr>
            <w:tcW w:w="102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Helvetica Neue;Helvetica;Arial;sans-serif" w:hAnsi="Helvetica Neue;Helvetica;Arial;sans-serif" w:eastAsia="Times New Roman" w:cs="Times New Roman"/>
                <w:b w:val="false"/>
                <w:i w:val="false"/>
                <w:i w:val="false"/>
                <w:caps w:val="false"/>
                <w:smallCaps w:val="false"/>
                <w:color w:val="333333"/>
                <w:spacing w:val="0"/>
                <w:sz w:val="22"/>
                <w:szCs w:val="22"/>
                <w:lang w:val="it-IT" w:bidi="ar-SA"/>
              </w:rPr>
            </w:pPr>
            <w:r>
              <w:rPr>
                <w:rFonts w:eastAsia="Times New Roman" w:cs="Times New Roman" w:ascii="Aptos Narrow" w:hAnsi="Aptos Narrow"/>
                <w:b w:val="false"/>
                <w:i w:val="false"/>
                <w:caps w:val="false"/>
                <w:smallCaps w:val="false"/>
                <w:color w:val="000000"/>
                <w:spacing w:val="0"/>
                <w:sz w:val="22"/>
                <w:szCs w:val="22"/>
                <w:lang w:val="it-IT" w:bidi="ar-SA"/>
              </w:rPr>
              <w:t>O3</w:t>
            </w:r>
          </w:p>
        </w:tc>
        <w:tc>
          <w:tcPr>
            <w:tcW w:w="855"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Google Sans;Roboto;Arial;sans-serif" w:hAnsi="Google Sans;Roboto;Arial;sans-serif" w:eastAsia="Times New Roman" w:cs="Times New Roman"/>
                <w:b w:val="false"/>
                <w:i w:val="false"/>
                <w:i w:val="false"/>
                <w:caps w:val="false"/>
                <w:smallCaps w:val="false"/>
                <w:color w:val="001D35"/>
                <w:spacing w:val="0"/>
                <w:sz w:val="22"/>
                <w:szCs w:val="22"/>
                <w:lang w:val="it-IT" w:bidi="ar-SA"/>
              </w:rPr>
            </w:pPr>
            <w:r>
              <w:rPr>
                <w:rFonts w:eastAsia="Times New Roman" w:cs="Times New Roman" w:ascii="Google Sans;Roboto;Arial;sans-serif" w:hAnsi="Google Sans;Roboto;Arial;sans-serif"/>
                <w:b w:val="false"/>
                <w:i w:val="false"/>
                <w:caps w:val="false"/>
                <w:smallCaps w:val="false"/>
                <w:color w:val="001D35"/>
                <w:spacing w:val="0"/>
                <w:sz w:val="22"/>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sz w:val="22"/>
                <w:szCs w:val="22"/>
              </w:rPr>
            </w:pPr>
            <w:r>
              <w:rPr>
                <w:rFonts w:eastAsia="Times New Roman" w:cs="Times New Roman" w:ascii="Aptos Narrow" w:hAnsi="Aptos Narrow"/>
                <w:color w:val="000000"/>
                <w:sz w:val="22"/>
                <w:szCs w:val="22"/>
              </w:rPr>
              <w:br/>
            </w:r>
          </w:p>
        </w:tc>
        <w:tc>
          <w:tcPr>
            <w:tcW w:w="148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03-10-2025 00:00:00 +01:00</w:t>
            </w:r>
          </w:p>
        </w:tc>
        <w:tc>
          <w:tcPr>
            <w:tcW w:w="102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µg/m3</w:t>
            </w:r>
          </w:p>
        </w:tc>
      </w:tr>
      <w:tr>
        <w:trPr>
          <w:trHeight w:val="300" w:hRule="atLeast"/>
        </w:trPr>
        <w:tc>
          <w:tcPr>
            <w:tcW w:w="53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96</w:t>
            </w:r>
          </w:p>
        </w:tc>
        <w:tc>
          <w:tcPr>
            <w:tcW w:w="91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IT1497A</w:t>
            </w:r>
          </w:p>
        </w:tc>
        <w:tc>
          <w:tcPr>
            <w:tcW w:w="115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Napoli NA01 Oss. Astronomico</w:t>
            </w:r>
          </w:p>
        </w:tc>
        <w:tc>
          <w:tcPr>
            <w:tcW w:w="886"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rFonts w:eastAsia="Times New Roman" w:cs="Times New Roman" w:ascii="sans-serif" w:hAnsi="sans-serif"/>
                <w:b w:val="false"/>
                <w:i w:val="false"/>
                <w:caps w:val="false"/>
                <w:smallCaps w:val="false"/>
                <w:color w:val="202122"/>
                <w:spacing w:val="0"/>
                <w:sz w:val="22"/>
                <w:szCs w:val="22"/>
                <w:lang w:val="it-IT" w:bidi="ar-SA"/>
              </w:rPr>
              <w:t>40°50′49.20″</w:t>
            </w:r>
          </w:p>
        </w:tc>
        <w:tc>
          <w:tcPr>
            <w:tcW w:w="100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rFonts w:eastAsia="Times New Roman" w:cs="Times New Roman" w:ascii="sans-serif" w:hAnsi="sans-serif"/>
                <w:b w:val="false"/>
                <w:i w:val="false"/>
                <w:caps w:val="false"/>
                <w:smallCaps w:val="false"/>
                <w:color w:val="202122"/>
                <w:spacing w:val="0"/>
                <w:sz w:val="22"/>
                <w:szCs w:val="22"/>
                <w:lang w:val="it-IT" w:bidi="ar-SA"/>
              </w:rPr>
              <w:t>14°15′54.00″</w:t>
            </w:r>
          </w:p>
        </w:tc>
        <w:tc>
          <w:tcPr>
            <w:tcW w:w="1021"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Helvetica Neue;Helvetica;Arial;sans-serif" w:hAnsi="Helvetica Neue;Helvetica;Arial;sans-serif" w:eastAsia="Times New Roman" w:cs="Times New Roman"/>
                <w:b w:val="false"/>
                <w:i w:val="false"/>
                <w:i w:val="false"/>
                <w:caps w:val="false"/>
                <w:smallCaps w:val="false"/>
                <w:color w:val="333333"/>
                <w:spacing w:val="0"/>
                <w:sz w:val="22"/>
                <w:szCs w:val="22"/>
                <w:lang w:val="it-IT" w:bidi="ar-SA"/>
              </w:rPr>
            </w:pPr>
            <w:r>
              <w:rPr>
                <w:rFonts w:eastAsia="Times New Roman" w:cs="Times New Roman" w:ascii="Aptos Narrow" w:hAnsi="Aptos Narrow"/>
                <w:b w:val="false"/>
                <w:i w:val="false"/>
                <w:caps w:val="false"/>
                <w:smallCaps w:val="false"/>
                <w:color w:val="000000"/>
                <w:spacing w:val="0"/>
                <w:sz w:val="22"/>
                <w:szCs w:val="22"/>
                <w:lang w:val="it-IT" w:bidi="ar-SA"/>
              </w:rPr>
              <w:t>O3</w:t>
            </w:r>
          </w:p>
        </w:tc>
        <w:tc>
          <w:tcPr>
            <w:tcW w:w="855"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Google Sans;Roboto;Arial;sans-serif" w:hAnsi="Google Sans;Roboto;Arial;sans-serif" w:eastAsia="Times New Roman" w:cs="Times New Roman"/>
                <w:b w:val="false"/>
                <w:i w:val="false"/>
                <w:i w:val="false"/>
                <w:caps w:val="false"/>
                <w:smallCaps w:val="false"/>
                <w:color w:val="001D35"/>
                <w:spacing w:val="0"/>
                <w:sz w:val="22"/>
                <w:szCs w:val="22"/>
                <w:lang w:val="it-IT" w:bidi="ar-SA"/>
              </w:rPr>
            </w:pPr>
            <w:r>
              <w:rPr>
                <w:rFonts w:eastAsia="Times New Roman" w:cs="Times New Roman" w:ascii="Google Sans;Roboto;Arial;sans-serif" w:hAnsi="Google Sans;Roboto;Arial;sans-serif"/>
                <w:b w:val="false"/>
                <w:i w:val="false"/>
                <w:caps w:val="false"/>
                <w:smallCaps w:val="false"/>
                <w:color w:val="001D35"/>
                <w:spacing w:val="0"/>
                <w:sz w:val="22"/>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sz w:val="22"/>
                <w:szCs w:val="22"/>
              </w:rPr>
            </w:pPr>
            <w:r>
              <w:rPr>
                <w:rFonts w:eastAsia="Times New Roman" w:cs="Times New Roman" w:ascii="Aptos Narrow" w:hAnsi="Aptos Narrow"/>
                <w:color w:val="000000"/>
                <w:sz w:val="22"/>
                <w:szCs w:val="22"/>
              </w:rPr>
              <w:br/>
            </w:r>
          </w:p>
        </w:tc>
        <w:tc>
          <w:tcPr>
            <w:tcW w:w="148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03-10-2025 01:00:00 +01:00</w:t>
            </w:r>
          </w:p>
        </w:tc>
        <w:tc>
          <w:tcPr>
            <w:tcW w:w="102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69.3</w:t>
            </w:r>
          </w:p>
        </w:tc>
        <w:tc>
          <w:tcPr>
            <w:tcW w:w="1243"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szCs w:val="22"/>
                <w:lang w:val="it-IT" w:bidi="ar-SA"/>
              </w:rPr>
              <w:t>µg/m3</w:t>
            </w:r>
          </w:p>
        </w:tc>
      </w:tr>
      <w:tr>
        <w:trPr>
          <w:trHeight w:val="300" w:hRule="atLeast"/>
        </w:trPr>
        <w:tc>
          <w:tcPr>
            <w:tcW w:w="539"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rPr>
              <w:t>97</w:t>
            </w:r>
          </w:p>
        </w:tc>
        <w:tc>
          <w:tcPr>
            <w:tcW w:w="913"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rPr>
              <w:t>IT1497A</w:t>
            </w:r>
          </w:p>
        </w:tc>
        <w:tc>
          <w:tcPr>
            <w:tcW w:w="1157"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rPr>
              <w:t>Napoli NA01 Oss. Astronomico</w:t>
            </w:r>
          </w:p>
        </w:tc>
        <w:tc>
          <w:tcPr>
            <w:tcW w:w="886"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sz w:val="22"/>
              </w:rPr>
              <w:t>40°50′49.20″</w:t>
            </w:r>
          </w:p>
        </w:tc>
        <w:tc>
          <w:tcPr>
            <w:tcW w:w="1004"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sz w:val="22"/>
              </w:rPr>
              <w:t>14°15′54.00″</w:t>
            </w:r>
          </w:p>
        </w:tc>
        <w:tc>
          <w:tcPr>
            <w:tcW w:w="1021"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Helvetica Neue;Helvetica;Arial;sans-serif" w:hAnsi="Helvetica Neue;Helvetica;Arial;sans-serif" w:eastAsia="Times New Roman" w:cs="Times New Roman"/>
                <w:b w:val="false"/>
                <w:i w:val="false"/>
                <w:i w:val="false"/>
                <w:caps w:val="false"/>
                <w:smallCaps w:val="false"/>
                <w:color w:val="333333"/>
                <w:spacing w:val="0"/>
                <w:sz w:val="22"/>
                <w:szCs w:val="22"/>
                <w:lang w:val="it-IT" w:bidi="ar-SA"/>
              </w:rPr>
            </w:pPr>
            <w:r>
              <w:rPr>
                <w:rFonts w:ascii="Aptos Narrow" w:hAnsi="Aptos Narrow"/>
                <w:color w:val="000000"/>
                <w:sz w:val="22"/>
              </w:rPr>
              <w:t>O3</w:t>
            </w:r>
          </w:p>
        </w:tc>
        <w:tc>
          <w:tcPr>
            <w:tcW w:w="855"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Google Sans;Roboto;Arial;sans-serif" w:hAnsi="Google Sans;Roboto;Arial;sans-serif" w:eastAsia="Times New Roman" w:cs="Times New Roman"/>
                <w:b w:val="false"/>
                <w:i w:val="false"/>
                <w:i w:val="false"/>
                <w:caps w:val="false"/>
                <w:smallCaps w:val="false"/>
                <w:color w:val="001D35"/>
                <w:spacing w:val="0"/>
                <w:sz w:val="22"/>
                <w:szCs w:val="22"/>
                <w:lang w:val="it-IT" w:bidi="ar-SA"/>
              </w:rPr>
            </w:pPr>
            <w:r>
              <w:rPr/>
              <w:t>063049</w:t>
            </w:r>
          </w:p>
        </w:tc>
        <w:tc>
          <w:tcPr>
            <w:tcW w:w="1484"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03-10-2025 02:00:00 +01:00</w:t>
            </w:r>
          </w:p>
        </w:tc>
        <w:tc>
          <w:tcPr>
            <w:tcW w:w="1020"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65.1</w:t>
            </w:r>
          </w:p>
        </w:tc>
        <w:tc>
          <w:tcPr>
            <w:tcW w:w="1243"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rPr>
              <w:t>µg/m3</w:t>
            </w:r>
          </w:p>
        </w:tc>
      </w:tr>
      <w:tr>
        <w:trPr>
          <w:trHeight w:val="300" w:hRule="atLeast"/>
        </w:trPr>
        <w:tc>
          <w:tcPr>
            <w:tcW w:w="539"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rPr>
              <w:t>98</w:t>
            </w:r>
          </w:p>
        </w:tc>
        <w:tc>
          <w:tcPr>
            <w:tcW w:w="913"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rPr>
              <w:t>IT1497A</w:t>
            </w:r>
          </w:p>
        </w:tc>
        <w:tc>
          <w:tcPr>
            <w:tcW w:w="1157"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rPr>
              <w:t>Napoli NA01 Oss. Astronomico</w:t>
            </w:r>
          </w:p>
        </w:tc>
        <w:tc>
          <w:tcPr>
            <w:tcW w:w="886"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sz w:val="22"/>
              </w:rPr>
              <w:t>40°50′49.20″</w:t>
            </w:r>
          </w:p>
        </w:tc>
        <w:tc>
          <w:tcPr>
            <w:tcW w:w="1004"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sans-serif" w:hAnsi="sans-serif" w:eastAsia="Times New Roman" w:cs="Times New Roman"/>
                <w:b w:val="false"/>
                <w:i w:val="false"/>
                <w:i w:val="false"/>
                <w:caps w:val="false"/>
                <w:smallCaps w:val="false"/>
                <w:color w:val="202122"/>
                <w:spacing w:val="0"/>
                <w:sz w:val="22"/>
                <w:szCs w:val="22"/>
                <w:lang w:val="it-IT" w:bidi="ar-SA"/>
              </w:rPr>
            </w:pPr>
            <w:r>
              <w:rPr>
                <w:sz w:val="22"/>
              </w:rPr>
              <w:t>14°15′54.00″</w:t>
            </w:r>
          </w:p>
        </w:tc>
        <w:tc>
          <w:tcPr>
            <w:tcW w:w="1021"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Helvetica Neue;Helvetica;Arial;sans-serif" w:hAnsi="Helvetica Neue;Helvetica;Arial;sans-serif" w:eastAsia="Times New Roman" w:cs="Times New Roman"/>
                <w:b w:val="false"/>
                <w:i w:val="false"/>
                <w:i w:val="false"/>
                <w:caps w:val="false"/>
                <w:smallCaps w:val="false"/>
                <w:color w:val="333333"/>
                <w:spacing w:val="0"/>
                <w:sz w:val="22"/>
                <w:szCs w:val="22"/>
                <w:lang w:val="it-IT" w:bidi="ar-SA"/>
              </w:rPr>
            </w:pPr>
            <w:r>
              <w:rPr>
                <w:rFonts w:ascii="Aptos Narrow" w:hAnsi="Aptos Narrow"/>
                <w:color w:val="000000"/>
                <w:sz w:val="22"/>
              </w:rPr>
              <w:t>O3</w:t>
            </w:r>
          </w:p>
        </w:tc>
        <w:tc>
          <w:tcPr>
            <w:tcW w:w="855" w:type="dxa"/>
            <w:tcBorders>
              <w:top w:val="nil"/>
            </w:tcBorders>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Google Sans;Roboto;Arial;sans-serif" w:hAnsi="Google Sans;Roboto;Arial;sans-serif" w:eastAsia="Times New Roman" w:cs="Times New Roman"/>
                <w:b w:val="false"/>
                <w:i w:val="false"/>
                <w:i w:val="false"/>
                <w:caps w:val="false"/>
                <w:smallCaps w:val="false"/>
                <w:color w:val="001D35"/>
                <w:spacing w:val="0"/>
                <w:sz w:val="22"/>
                <w:szCs w:val="22"/>
                <w:lang w:val="it-IT" w:bidi="ar-SA"/>
              </w:rPr>
            </w:pPr>
            <w:r>
              <w:rPr/>
              <w:t>063049</w:t>
            </w:r>
          </w:p>
        </w:tc>
        <w:tc>
          <w:tcPr>
            <w:tcW w:w="1484"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03-10-2025 03:00:00 +01:00</w:t>
            </w:r>
          </w:p>
        </w:tc>
        <w:tc>
          <w:tcPr>
            <w:tcW w:w="102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65.4</w:t>
            </w:r>
          </w:p>
        </w:tc>
        <w:tc>
          <w:tcPr>
            <w:tcW w:w="1243"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Fonts w:eastAsia="Times New Roman" w:cs="Times New Roman" w:ascii="Aptos Narrow" w:hAnsi="Aptos Narrow"/>
                <w:color w:val="000000"/>
                <w:sz w:val="22"/>
              </w:rPr>
              <w:t>µg/m3</w:t>
            </w:r>
          </w:p>
        </w:tc>
      </w:tr>
    </w:tbl>
    <w:p>
      <w:pPr>
        <w:pStyle w:val="Normal"/>
        <w:rPr/>
      </w:pPr>
      <w:r>
        <w:rPr/>
      </w:r>
    </w:p>
    <w:p>
      <w:pPr>
        <w:pStyle w:val="Normal"/>
        <w:rPr/>
      </w:pPr>
      <w:r>
        <w:rPr/>
      </w:r>
    </w:p>
    <w:p>
      <w:pPr>
        <w:pStyle w:val="Normal"/>
        <w:rPr/>
      </w:pPr>
      <w:r>
        <w:rPr/>
      </w:r>
    </w:p>
    <w:p>
      <w:pPr>
        <w:pStyle w:val="Normal"/>
        <w:rPr/>
      </w:pPr>
      <w:r>
        <w:rPr/>
      </w:r>
    </w:p>
    <w:p>
      <w:pPr>
        <w:pStyle w:val="Heading4"/>
        <w:rPr/>
      </w:pPr>
      <w:r>
        <w:rPr/>
        <w:t>NO2</w:t>
      </w:r>
    </w:p>
    <w:p>
      <w:pPr>
        <w:pStyle w:val="Normal"/>
        <w:rPr/>
      </w:pPr>
      <w:r>
        <w:rPr/>
        <w:t>Ogni ora</w:t>
      </w:r>
    </w:p>
    <w:p>
      <w:pPr>
        <w:pStyle w:val="Normal"/>
        <w:rPr/>
      </w:pPr>
      <w:hyperlink r:id="rId23">
        <w:r>
          <w:rPr>
            <w:rStyle w:val="Hyperlink"/>
          </w:rPr>
          <w:t>https://dati.arpacampania.it/dataset/dati-rqa-giornalieri-validati/resource/8b04bace-510d-43fd-ae00-280d3191f490</w:t>
        </w:r>
      </w:hyperlink>
      <w:r>
        <w:rPr/>
        <w:t xml:space="preserve"> </w:t>
      </w:r>
    </w:p>
    <w:tbl>
      <w:tblPr>
        <w:tblStyle w:val="Tabellagriglia4-colore1"/>
        <w:tblW w:w="10122" w:type="dxa"/>
        <w:jc w:val="left"/>
        <w:tblInd w:w="160" w:type="dxa"/>
        <w:tblLayout w:type="fixed"/>
        <w:tblCellMar>
          <w:top w:w="0" w:type="dxa"/>
          <w:left w:w="108" w:type="dxa"/>
          <w:bottom w:w="0" w:type="dxa"/>
          <w:right w:w="108" w:type="dxa"/>
        </w:tblCellMar>
        <w:tblLook w:val="04a0" w:noHBand="0" w:noVBand="1" w:firstColumn="1" w:lastRow="0" w:lastColumn="0" w:firstRow="1"/>
      </w:tblPr>
      <w:tblGrid>
        <w:gridCol w:w="543"/>
        <w:gridCol w:w="915"/>
        <w:gridCol w:w="1159"/>
        <w:gridCol w:w="874"/>
        <w:gridCol w:w="1009"/>
        <w:gridCol w:w="1022"/>
        <w:gridCol w:w="859"/>
        <w:gridCol w:w="1486"/>
        <w:gridCol w:w="1009"/>
        <w:gridCol w:w="1245"/>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1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2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25</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NO2</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00:00:00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1.8</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26</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4"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2"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NO2</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01:00:00 +01:00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2.5</w:t>
            </w:r>
          </w:p>
        </w:tc>
        <w:tc>
          <w:tcPr>
            <w:tcW w:w="1245"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45" w:hRule="atLeast"/>
        </w:trPr>
        <w:tc>
          <w:tcPr>
            <w:tcW w:w="543"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rPr>
              <w:t>27</w:t>
            </w:r>
          </w:p>
        </w:tc>
        <w:tc>
          <w:tcPr>
            <w:tcW w:w="915"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IT1497A</w:t>
            </w:r>
          </w:p>
        </w:tc>
        <w:tc>
          <w:tcPr>
            <w:tcW w:w="1159"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Napoli NA01 Oss. Astronomico</w:t>
            </w:r>
          </w:p>
        </w:tc>
        <w:tc>
          <w:tcPr>
            <w:tcW w:w="874"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40°50′49.20″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14°15′54.00″</w:t>
            </w:r>
          </w:p>
        </w:tc>
        <w:tc>
          <w:tcPr>
            <w:tcW w:w="1022"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NO2</w:t>
            </w:r>
          </w:p>
        </w:tc>
        <w:tc>
          <w:tcPr>
            <w:tcW w:w="859"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ascii="Google Sans;Roboto;Arial;sans-serif" w:hAnsi="Google Sans;Roboto;Arial;sans-serif"/>
                <w:b w:val="false"/>
                <w:i w:val="false"/>
                <w:caps w:val="false"/>
                <w:smallCaps w:val="false"/>
                <w:color w:val="001D35"/>
                <w:spacing w:val="0"/>
                <w:sz w:val="24"/>
                <w:szCs w:val="22"/>
                <w:lang w:val="it-IT" w:bidi="ar-SA"/>
              </w:rPr>
              <w:t>063049</w:t>
            </w:r>
          </w:p>
        </w:tc>
        <w:tc>
          <w:tcPr>
            <w:tcW w:w="1486"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t>03-10-2025 02:00:00 +01:00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t>6.1</w:t>
            </w:r>
          </w:p>
        </w:tc>
        <w:tc>
          <w:tcPr>
            <w:tcW w:w="1245"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rPr>
              <w:t>28</w:t>
            </w:r>
          </w:p>
        </w:tc>
        <w:tc>
          <w:tcPr>
            <w:tcW w:w="915"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IT1497A</w:t>
            </w:r>
          </w:p>
        </w:tc>
        <w:tc>
          <w:tcPr>
            <w:tcW w:w="115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Napoli NA01 Oss. Astronomico</w:t>
            </w:r>
          </w:p>
        </w:tc>
        <w:tc>
          <w:tcPr>
            <w:tcW w:w="874"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40°50′49.20″</w:t>
            </w:r>
          </w:p>
        </w:tc>
        <w:tc>
          <w:tcPr>
            <w:tcW w:w="1009"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14°15′54.00″</w:t>
            </w:r>
          </w:p>
        </w:tc>
        <w:tc>
          <w:tcPr>
            <w:tcW w:w="1022"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b w:val="false"/>
                <w:i w:val="false"/>
                <w:caps w:val="false"/>
                <w:smallCaps w:val="false"/>
                <w:spacing w:val="0"/>
                <w:sz w:val="24"/>
                <w:szCs w:val="22"/>
                <w:lang w:val="it-IT" w:bidi="ar-SA"/>
              </w:rPr>
              <w:t>NO2</w:t>
            </w:r>
          </w:p>
        </w:tc>
        <w:tc>
          <w:tcPr>
            <w:tcW w:w="859"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ascii="Google Sans;Roboto;Arial;sans-serif" w:hAnsi="Google Sans;Roboto;Arial;sans-serif"/>
                <w:b w:val="false"/>
                <w:i w:val="false"/>
                <w:caps w:val="false"/>
                <w:smallCaps w:val="false"/>
                <w:color w:val="001D35"/>
                <w:spacing w:val="0"/>
                <w:sz w:val="24"/>
                <w:szCs w:val="22"/>
                <w:lang w:val="it-IT" w:bidi="ar-SA"/>
              </w:rPr>
              <w:t>063049</w:t>
            </w:r>
          </w:p>
        </w:tc>
        <w:tc>
          <w:tcPr>
            <w:tcW w:w="1486"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t>03-10-2025 03:00:00 +01:00</w:t>
            </w:r>
          </w:p>
        </w:tc>
        <w:tc>
          <w:tcPr>
            <w:tcW w:w="100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t>6.4</w:t>
            </w:r>
          </w:p>
        </w:tc>
        <w:tc>
          <w:tcPr>
            <w:tcW w:w="1245"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bl>
    <w:p>
      <w:pPr>
        <w:pStyle w:val="Normal"/>
        <w:rPr/>
      </w:pPr>
      <w:r>
        <w:rPr/>
      </w:r>
    </w:p>
    <w:p>
      <w:pPr>
        <w:pStyle w:val="Heading4"/>
        <w:rPr/>
      </w:pPr>
      <w:r>
        <w:rPr/>
        <w:t xml:space="preserve"> </w:t>
      </w:r>
      <w:r>
        <w:rPr>
          <w:sz w:val="22"/>
          <w:szCs w:val="22"/>
          <w:lang w:val="it-IT" w:bidi="ar-SA"/>
        </w:rPr>
        <w:t>Benzene C6H6</w:t>
      </w:r>
    </w:p>
    <w:p>
      <w:pPr>
        <w:pStyle w:val="Normal"/>
        <w:rPr/>
      </w:pPr>
      <w:r>
        <w:rPr/>
        <w:t>Ogni ora</w:t>
      </w:r>
    </w:p>
    <w:p>
      <w:pPr>
        <w:pStyle w:val="Normal"/>
        <w:rPr/>
      </w:pPr>
      <w:hyperlink r:id="rId24">
        <w:r>
          <w:rPr>
            <w:rStyle w:val="Hyperlink"/>
          </w:rPr>
          <w:t>https://dati.arpacampania.it/dataset/dati-rqa-giornalieri-validati/resource/8b04bace-510d-43fd-ae00-280d3191f490</w:t>
        </w:r>
      </w:hyperlink>
      <w:r>
        <w:rPr/>
        <w:t xml:space="preserve"> </w:t>
      </w:r>
    </w:p>
    <w:tbl>
      <w:tblPr>
        <w:tblStyle w:val="Tabellagriglia4-colore1"/>
        <w:tblW w:w="10483" w:type="dxa"/>
        <w:jc w:val="left"/>
        <w:tblInd w:w="-202" w:type="dxa"/>
        <w:tblLayout w:type="fixed"/>
        <w:tblCellMar>
          <w:top w:w="0" w:type="dxa"/>
          <w:left w:w="108" w:type="dxa"/>
          <w:bottom w:w="0" w:type="dxa"/>
          <w:right w:w="108" w:type="dxa"/>
        </w:tblCellMar>
        <w:tblLook w:val="04a0" w:noHBand="0" w:noVBand="1" w:firstColumn="1" w:lastRow="0" w:lastColumn="0" w:firstRow="1"/>
      </w:tblPr>
      <w:tblGrid>
        <w:gridCol w:w="900"/>
        <w:gridCol w:w="914"/>
        <w:gridCol w:w="1170"/>
        <w:gridCol w:w="870"/>
        <w:gridCol w:w="1005"/>
        <w:gridCol w:w="1020"/>
        <w:gridCol w:w="856"/>
        <w:gridCol w:w="1500"/>
        <w:gridCol w:w="1004"/>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00"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1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2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50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49</w:t>
            </w:r>
          </w:p>
        </w:tc>
        <w:tc>
          <w:tcPr>
            <w:tcW w:w="91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C6H6</w:t>
            </w:r>
          </w:p>
        </w:tc>
        <w:tc>
          <w:tcPr>
            <w:tcW w:w="856"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50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00:00:00 +01:00</w:t>
            </w:r>
          </w:p>
        </w:tc>
        <w:tc>
          <w:tcPr>
            <w:tcW w:w="100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0.7</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90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50</w:t>
            </w:r>
          </w:p>
        </w:tc>
        <w:tc>
          <w:tcPr>
            <w:tcW w:w="91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0"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0"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C6H6</w:t>
            </w:r>
          </w:p>
        </w:tc>
        <w:tc>
          <w:tcPr>
            <w:tcW w:w="856"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50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01:00:00 +01:00</w:t>
            </w:r>
          </w:p>
        </w:tc>
        <w:tc>
          <w:tcPr>
            <w:tcW w:w="100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0.5</w:t>
            </w:r>
          </w:p>
        </w:tc>
        <w:tc>
          <w:tcPr>
            <w:tcW w:w="1243"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900"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rPr>
              <w:t>51</w:t>
            </w:r>
          </w:p>
        </w:tc>
        <w:tc>
          <w:tcPr>
            <w:tcW w:w="914"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IT1497A</w:t>
            </w:r>
          </w:p>
        </w:tc>
        <w:tc>
          <w:tcPr>
            <w:tcW w:w="1170"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Napoli NA01 Oss. Astronomico</w:t>
            </w:r>
          </w:p>
        </w:tc>
        <w:tc>
          <w:tcPr>
            <w:tcW w:w="870"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40°50′49.20″</w:t>
            </w:r>
          </w:p>
        </w:tc>
        <w:tc>
          <w:tcPr>
            <w:tcW w:w="1005"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14°15′54.00″</w:t>
            </w:r>
          </w:p>
        </w:tc>
        <w:tc>
          <w:tcPr>
            <w:tcW w:w="1020"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b w:val="false"/>
                <w:i w:val="false"/>
                <w:caps w:val="false"/>
                <w:smallCaps w:val="false"/>
                <w:spacing w:val="0"/>
                <w:sz w:val="24"/>
                <w:szCs w:val="22"/>
                <w:lang w:val="it-IT" w:bidi="ar-SA"/>
              </w:rPr>
              <w:t>C6H6</w:t>
            </w:r>
          </w:p>
        </w:tc>
        <w:tc>
          <w:tcPr>
            <w:tcW w:w="856"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ascii="Google Sans;Roboto;Arial;sans-serif" w:hAnsi="Google Sans;Roboto;Arial;sans-serif"/>
                <w:b w:val="false"/>
                <w:i w:val="false"/>
                <w:caps w:val="false"/>
                <w:smallCaps w:val="false"/>
                <w:color w:val="001D35"/>
                <w:spacing w:val="0"/>
                <w:sz w:val="24"/>
                <w:szCs w:val="22"/>
                <w:lang w:val="it-IT" w:bidi="ar-SA"/>
              </w:rPr>
              <w:t>063049</w:t>
            </w:r>
          </w:p>
        </w:tc>
        <w:tc>
          <w:tcPr>
            <w:tcW w:w="1500"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t>03-10-2025 02:00:00 +01:00</w:t>
            </w:r>
          </w:p>
        </w:tc>
        <w:tc>
          <w:tcPr>
            <w:tcW w:w="1004" w:type="dxa"/>
            <w:tcBorders>
              <w:top w:val="nil"/>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0.5</w:t>
            </w:r>
          </w:p>
        </w:tc>
        <w:tc>
          <w:tcPr>
            <w:tcW w:w="1243"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µg/m3</w:t>
            </w:r>
          </w:p>
        </w:tc>
      </w:tr>
      <w:tr>
        <w:trPr>
          <w:trHeight w:val="300" w:hRule="atLeast"/>
        </w:trPr>
        <w:tc>
          <w:tcPr>
            <w:tcW w:w="900"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rPr>
              <w:t>52</w:t>
            </w:r>
          </w:p>
        </w:tc>
        <w:tc>
          <w:tcPr>
            <w:tcW w:w="914"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IT1497A</w:t>
            </w:r>
          </w:p>
        </w:tc>
        <w:tc>
          <w:tcPr>
            <w:tcW w:w="117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Napoli NA01 Oss. Astronomico</w:t>
            </w:r>
          </w:p>
        </w:tc>
        <w:tc>
          <w:tcPr>
            <w:tcW w:w="870"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40°50′49.20″</w:t>
            </w:r>
          </w:p>
        </w:tc>
        <w:tc>
          <w:tcPr>
            <w:tcW w:w="1005"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ascii="sans-serif" w:hAnsi="sans-serif"/>
                <w:b w:val="false"/>
                <w:i w:val="false"/>
                <w:caps w:val="false"/>
                <w:smallCaps w:val="false"/>
                <w:color w:val="202122"/>
                <w:spacing w:val="0"/>
                <w:sz w:val="21"/>
                <w:szCs w:val="22"/>
                <w:lang w:val="it-IT" w:bidi="ar-SA"/>
              </w:rPr>
              <w:t>14°15′54.00″</w:t>
            </w:r>
          </w:p>
        </w:tc>
        <w:tc>
          <w:tcPr>
            <w:tcW w:w="1020"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b w:val="false"/>
                <w:i w:val="false"/>
                <w:caps w:val="false"/>
                <w:smallCaps w:val="false"/>
                <w:spacing w:val="0"/>
                <w:sz w:val="24"/>
                <w:szCs w:val="22"/>
                <w:lang w:val="it-IT" w:bidi="ar-SA"/>
              </w:rPr>
              <w:t>C6H6</w:t>
            </w:r>
          </w:p>
        </w:tc>
        <w:tc>
          <w:tcPr>
            <w:tcW w:w="856"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ascii="Google Sans;Roboto;Arial;sans-serif" w:hAnsi="Google Sans;Roboto;Arial;sans-serif"/>
                <w:b w:val="false"/>
                <w:i w:val="false"/>
                <w:caps w:val="false"/>
                <w:smallCaps w:val="false"/>
                <w:color w:val="001D35"/>
                <w:spacing w:val="0"/>
                <w:sz w:val="24"/>
                <w:szCs w:val="22"/>
                <w:lang w:val="it-IT" w:bidi="ar-SA"/>
              </w:rPr>
              <w:t>063049</w:t>
            </w:r>
          </w:p>
        </w:tc>
        <w:tc>
          <w:tcPr>
            <w:tcW w:w="150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t>03-10-2025 03:00:00 +01:00</w:t>
            </w:r>
          </w:p>
        </w:tc>
        <w:tc>
          <w:tcPr>
            <w:tcW w:w="1004"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0.3</w:t>
            </w:r>
          </w:p>
        </w:tc>
        <w:tc>
          <w:tcPr>
            <w:tcW w:w="1243" w:type="dxa"/>
            <w:tcBorders>
              <w:top w:val="nil"/>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sz w:val="22"/>
                <w:szCs w:val="22"/>
                <w:lang w:val="it-IT" w:bidi="ar-SA"/>
              </w:rPr>
              <w:t>µg/m3</w:t>
            </w:r>
          </w:p>
        </w:tc>
      </w:tr>
    </w:tbl>
    <w:p>
      <w:pPr>
        <w:pStyle w:val="Normal"/>
        <w:rPr/>
      </w:pPr>
      <w:r>
        <w:rPr/>
      </w:r>
    </w:p>
    <w:p>
      <w:pPr>
        <w:pStyle w:val="Heading4"/>
        <w:rPr/>
      </w:pPr>
      <w:r>
        <w:rPr/>
        <w:t>SO2</w:t>
      </w:r>
    </w:p>
    <w:p>
      <w:pPr>
        <w:pStyle w:val="Normal"/>
        <w:rPr/>
      </w:pPr>
      <w:hyperlink r:id="rId25">
        <w:r>
          <w:rPr>
            <w:rStyle w:val="Hyperlink"/>
          </w:rPr>
          <w:t>https://dati.arpacampania.it/dataset/dati-grezzi-orari-qualita-aria</w:t>
        </w:r>
      </w:hyperlink>
    </w:p>
    <w:p>
      <w:pPr>
        <w:pStyle w:val="Normal"/>
        <w:rPr/>
      </w:pPr>
      <w:r>
        <w:rPr/>
        <w:t>Ogni ora</w:t>
      </w:r>
    </w:p>
    <w:tbl>
      <w:tblPr>
        <w:tblStyle w:val="Tabellagriglia4-colore1"/>
        <w:tblW w:w="10663" w:type="dxa"/>
        <w:jc w:val="left"/>
        <w:tblInd w:w="-381" w:type="dxa"/>
        <w:tblLayout w:type="fixed"/>
        <w:tblCellMar>
          <w:top w:w="0" w:type="dxa"/>
          <w:left w:w="108" w:type="dxa"/>
          <w:bottom w:w="0" w:type="dxa"/>
          <w:right w:w="108" w:type="dxa"/>
        </w:tblCellMar>
        <w:tblLook w:val="04a0" w:noHBand="0" w:noVBand="1" w:firstColumn="1" w:lastRow="0" w:lastColumn="0" w:firstRow="1"/>
      </w:tblPr>
      <w:tblGrid>
        <w:gridCol w:w="1080"/>
        <w:gridCol w:w="915"/>
        <w:gridCol w:w="1169"/>
        <w:gridCol w:w="870"/>
        <w:gridCol w:w="1006"/>
        <w:gridCol w:w="1019"/>
        <w:gridCol w:w="855"/>
        <w:gridCol w:w="1502"/>
        <w:gridCol w:w="1003"/>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1080"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1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6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50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08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453</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IT1491A</w:t>
            </w:r>
          </w:p>
        </w:tc>
        <w:tc>
          <w:tcPr>
            <w:tcW w:w="116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NA07 Ferrovia °</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14.27</w:t>
            </w:r>
          </w:p>
        </w:tc>
        <w:tc>
          <w:tcPr>
            <w:tcW w:w="101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SO2</w:t>
            </w:r>
          </w:p>
        </w:tc>
        <w:tc>
          <w:tcPr>
            <w:tcW w:w="855"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50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10/10/2025 1:00:00 AM</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1.06</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10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454</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6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0"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14.27</w:t>
            </w:r>
          </w:p>
        </w:tc>
        <w:tc>
          <w:tcPr>
            <w:tcW w:w="1019"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SO2</w:t>
            </w:r>
          </w:p>
        </w:tc>
        <w:tc>
          <w:tcPr>
            <w:tcW w:w="855"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50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10/10/2025 1:59:60 AM</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1.06</w:t>
            </w:r>
          </w:p>
        </w:tc>
        <w:tc>
          <w:tcPr>
            <w:tcW w:w="1243"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108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455</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69"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14.27</w:t>
            </w:r>
          </w:p>
        </w:tc>
        <w:tc>
          <w:tcPr>
            <w:tcW w:w="101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SO2</w:t>
            </w:r>
          </w:p>
        </w:tc>
        <w:tc>
          <w:tcPr>
            <w:tcW w:w="855" w:type="dxa"/>
            <w:tcBorders/>
            <w:shd w:color="auto" w:fill="D9E2F3" w:themeFill="accent1" w:themeFillTint="33" w:val="clear"/>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tc>
        <w:tc>
          <w:tcPr>
            <w:tcW w:w="150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10/10/2025 3:00:00 AM</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1.06</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10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456</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6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0"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14.27</w:t>
            </w:r>
          </w:p>
        </w:tc>
        <w:tc>
          <w:tcPr>
            <w:tcW w:w="1019"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SO2</w:t>
            </w:r>
          </w:p>
        </w:tc>
        <w:tc>
          <w:tcPr>
            <w:tcW w:w="855"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tc>
        <w:tc>
          <w:tcPr>
            <w:tcW w:w="150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10/10/2025 4:00:00 AM</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1.06</w:t>
            </w:r>
          </w:p>
        </w:tc>
        <w:tc>
          <w:tcPr>
            <w:tcW w:w="1243"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bl>
    <w:p>
      <w:pPr>
        <w:pStyle w:val="Normal"/>
        <w:rPr/>
      </w:pPr>
      <w:r>
        <w:rPr/>
      </w:r>
    </w:p>
    <w:p>
      <w:pPr>
        <w:pStyle w:val="Heading4"/>
        <w:rPr/>
      </w:pPr>
      <w:r>
        <w:rPr/>
        <w:t>AS in PM10</w:t>
      </w:r>
    </w:p>
    <w:p>
      <w:pPr>
        <w:pStyle w:val="Normal"/>
        <w:rPr/>
      </w:pPr>
      <w:hyperlink r:id="rId26">
        <w:r>
          <w:rPr>
            <w:rStyle w:val="Hyperlink"/>
            <w:rFonts w:ascii="Helvetica Neue;Helvetica;Arial;sans-serif" w:hAnsi="Helvetica Neue;Helvetica;Arial;sans-serif"/>
            <w:b w:val="false"/>
            <w:i w:val="false"/>
            <w:caps w:val="false"/>
            <w:smallCaps w:val="false"/>
            <w:color w:val="113845"/>
            <w:spacing w:val="0"/>
            <w:sz w:val="21"/>
            <w:u w:val="single"/>
            <w:shd w:fill="FFFFFF" w:val="clear"/>
          </w:rPr>
          <w:t>https://dati.arpacampania.it/datastore/dump/ecc3e8af-b648-4e36-9e07-42f2a634477d</w:t>
        </w:r>
      </w:hyperlink>
    </w:p>
    <w:p>
      <w:pPr>
        <w:pStyle w:val="Normal"/>
        <w:rPr/>
      </w:pPr>
      <w:r>
        <w:rPr>
          <w:rStyle w:val="Hyperlink"/>
          <w:rFonts w:ascii="Helvetica Neue;Helvetica;Arial;sans-serif" w:hAnsi="Helvetica Neue;Helvetica;Arial;sans-serif"/>
          <w:b w:val="false"/>
          <w:i w:val="false"/>
          <w:caps w:val="false"/>
          <w:smallCaps w:val="false"/>
          <w:color w:val="113845"/>
          <w:spacing w:val="0"/>
          <w:sz w:val="21"/>
          <w:u w:val="single"/>
          <w:shd w:fill="FFFFFF" w:val="clear"/>
        </w:rPr>
        <w:t>Giornaliero</w:t>
      </w:r>
    </w:p>
    <w:tbl>
      <w:tblPr>
        <w:tblStyle w:val="Tabellagriglia4-colore1"/>
        <w:tblW w:w="10573" w:type="dxa"/>
        <w:jc w:val="left"/>
        <w:tblInd w:w="-291" w:type="dxa"/>
        <w:tblLayout w:type="fixed"/>
        <w:tblCellMar>
          <w:top w:w="0" w:type="dxa"/>
          <w:left w:w="108" w:type="dxa"/>
          <w:bottom w:w="0" w:type="dxa"/>
          <w:right w:w="108" w:type="dxa"/>
        </w:tblCellMar>
        <w:tblLook w:val="04a0" w:noHBand="0" w:noVBand="1" w:firstColumn="1" w:lastRow="0" w:lastColumn="0" w:firstRow="1"/>
      </w:tblPr>
      <w:tblGrid>
        <w:gridCol w:w="988"/>
        <w:gridCol w:w="917"/>
        <w:gridCol w:w="1169"/>
        <w:gridCol w:w="870"/>
        <w:gridCol w:w="1006"/>
        <w:gridCol w:w="1019"/>
        <w:gridCol w:w="855"/>
        <w:gridCol w:w="1503"/>
        <w:gridCol w:w="1002"/>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88"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1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6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5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8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1</w:t>
            </w:r>
          </w:p>
        </w:tc>
        <w:tc>
          <w:tcPr>
            <w:tcW w:w="917"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IT0898A</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116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NA06</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14.25</w:t>
            </w:r>
          </w:p>
        </w:tc>
        <w:tc>
          <w:tcPr>
            <w:tcW w:w="1019"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As in PM10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855"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503"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2023/01/01 23:00:00.000000000</w:t>
            </w:r>
          </w:p>
          <w:p>
            <w:pPr>
              <w:pStyle w:val="Normal"/>
              <w:bidi w:val="0"/>
              <w:jc w:val="left"/>
              <w:rPr>
                <w:rFonts w:ascii="Noto Sans Devanagari" w:hAnsi="Noto Sans Devanagari"/>
                <w:b w:val="false"/>
                <w:i w:val="false"/>
                <w:i w:val="false"/>
                <w:strike w:val="false"/>
                <w:dstrike w:val="false"/>
                <w:outline w:val="false"/>
                <w:shadow w:val="false"/>
                <w:sz w:val="20"/>
                <w:u w:val="none"/>
                <w:em w:val="none"/>
              </w:rPr>
            </w:pPr>
            <w:r>
              <w:rPr>
                <w:rFonts w:ascii="Noto Sans Devanagari" w:hAnsi="Noto Sans Devanagari"/>
                <w:b w:val="false"/>
                <w:i w:val="false"/>
                <w:strike w:val="false"/>
                <w:dstrike w:val="false"/>
                <w:outline w:val="false"/>
                <w:shadow w:val="false"/>
                <w:sz w:val="20"/>
                <w:u w:val="none"/>
                <w:em w:val="none"/>
              </w:rPr>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1002" w:type="dxa"/>
            <w:tcBorders/>
            <w:shd w:color="auto" w:fill="D9E2F3" w:themeFill="accent1" w:themeFillTint="33" w:val="clear"/>
          </w:tcPr>
          <w:p>
            <w:pPr>
              <w:pStyle w:val="Normal"/>
              <w:bidi w:val="0"/>
              <w:spacing w:before="120" w:after="120"/>
              <w:jc w:val="left"/>
              <w:rPr>
                <w:sz w:val="22"/>
              </w:rPr>
            </w:pPr>
            <w:r>
              <w:rPr>
                <w:rFonts w:ascii="Liberation Sans" w:hAnsi="Liberation Sans"/>
                <w:b w:val="false"/>
                <w:i w:val="false"/>
                <w:strike w:val="false"/>
                <w:dstrike w:val="false"/>
                <w:outline w:val="false"/>
                <w:shadow w:val="false"/>
                <w:sz w:val="20"/>
                <w:u w:val="none"/>
                <w:em w:val="none"/>
              </w:rPr>
              <w:t>0,5</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sz w:val="22"/>
                <w:szCs w:val="22"/>
                <w:lang w:val="it-IT" w:bidi="ar-SA"/>
              </w:rPr>
            </w:pPr>
            <w:r>
              <w:rPr>
                <w:rFonts w:eastAsia="Times New Roman" w:cs="Times New Roman" w:ascii="Aptos Narrow" w:hAnsi="Aptos Narrow"/>
                <w:color w:val="000000"/>
                <w:sz w:val="22"/>
                <w:szCs w:val="22"/>
                <w:lang w:val="it-IT" w:bidi="ar-SA"/>
              </w:rPr>
            </w:r>
          </w:p>
        </w:tc>
        <w:tc>
          <w:tcPr>
            <w:tcW w:w="1243"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ng/m3</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r>
      <w:tr>
        <w:trPr>
          <w:trHeight w:val="300" w:hRule="atLeast"/>
        </w:trPr>
        <w:tc>
          <w:tcPr>
            <w:tcW w:w="98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2</w:t>
            </w:r>
          </w:p>
        </w:tc>
        <w:tc>
          <w:tcPr>
            <w:tcW w:w="917"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IT0898A</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116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NA06</w:t>
            </w:r>
          </w:p>
        </w:tc>
        <w:tc>
          <w:tcPr>
            <w:tcW w:w="870"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14.25</w:t>
            </w:r>
          </w:p>
        </w:tc>
        <w:tc>
          <w:tcPr>
            <w:tcW w:w="1019"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As in PM10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855"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503"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2023/01/02 23:00:00.000000000</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1002" w:type="dxa"/>
            <w:tcBorders/>
          </w:tcPr>
          <w:p>
            <w:pPr>
              <w:pStyle w:val="Normal"/>
              <w:bidi w:val="0"/>
              <w:spacing w:before="120" w:after="120"/>
              <w:jc w:val="left"/>
              <w:rPr>
                <w:sz w:val="22"/>
              </w:rPr>
            </w:pPr>
            <w:r>
              <w:rPr>
                <w:rFonts w:ascii="Liberation Sans" w:hAnsi="Liberation Sans"/>
                <w:b w:val="false"/>
                <w:i w:val="false"/>
                <w:strike w:val="false"/>
                <w:dstrike w:val="false"/>
                <w:outline w:val="false"/>
                <w:shadow w:val="false"/>
                <w:sz w:val="20"/>
                <w:u w:val="none"/>
                <w:em w:val="none"/>
              </w:rPr>
              <w:t>-9999</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22"/>
                <w:szCs w:val="22"/>
                <w:lang w:val="it-IT" w:bidi="ar-SA"/>
              </w:rPr>
            </w:pPr>
            <w:r>
              <w:rPr>
                <w:rFonts w:eastAsia="Times New Roman" w:cs="Times New Roman" w:ascii="Aptos Narrow" w:hAnsi="Aptos Narrow"/>
                <w:color w:val="000000"/>
                <w:sz w:val="22"/>
                <w:szCs w:val="22"/>
                <w:lang w:val="it-IT" w:bidi="ar-SA"/>
              </w:rPr>
            </w:r>
          </w:p>
        </w:tc>
        <w:tc>
          <w:tcPr>
            <w:tcW w:w="1243"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ng/m3</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8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3</w:t>
            </w:r>
          </w:p>
        </w:tc>
        <w:tc>
          <w:tcPr>
            <w:tcW w:w="917"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eastAsia="Times New Roman" w:cs="Times New Roman" w:ascii="Liberation Sans" w:hAnsi="Liberation Sans"/>
                <w:b w:val="false"/>
                <w:i w:val="false"/>
                <w:strike w:val="false"/>
                <w:dstrike w:val="false"/>
                <w:outline w:val="false"/>
                <w:shadow w:val="false"/>
                <w:color w:val="000000"/>
                <w:sz w:val="20"/>
                <w:u w:val="none"/>
                <w:em w:val="none"/>
              </w:rPr>
              <w:t>IT0898A</w:t>
            </w:r>
          </w:p>
        </w:tc>
        <w:tc>
          <w:tcPr>
            <w:tcW w:w="1169"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NA06</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14.25</w:t>
            </w:r>
          </w:p>
        </w:tc>
        <w:tc>
          <w:tcPr>
            <w:tcW w:w="1019"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As in PM10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855"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tc>
        <w:tc>
          <w:tcPr>
            <w:tcW w:w="1503"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2023/01/03 23:00:00.000000000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1002" w:type="dxa"/>
            <w:tcBorders/>
            <w:shd w:color="auto" w:fill="D9E2F3" w:themeFill="accent1" w:themeFillTint="33" w:val="clear"/>
          </w:tcPr>
          <w:p>
            <w:pPr>
              <w:pStyle w:val="Normal"/>
              <w:bidi w:val="0"/>
              <w:spacing w:before="120" w:after="120"/>
              <w:jc w:val="left"/>
              <w:rPr>
                <w:sz w:val="22"/>
              </w:rPr>
            </w:pPr>
            <w:r>
              <w:rPr>
                <w:rFonts w:ascii="Liberation Sans" w:hAnsi="Liberation Sans"/>
                <w:b w:val="false"/>
                <w:i w:val="false"/>
                <w:strike w:val="false"/>
                <w:dstrike w:val="false"/>
                <w:outline w:val="false"/>
                <w:shadow w:val="false"/>
                <w:sz w:val="20"/>
                <w:u w:val="none"/>
                <w:em w:val="none"/>
              </w:rPr>
              <w:t>0,5</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sz w:val="22"/>
                <w:szCs w:val="22"/>
                <w:lang w:val="it-IT" w:bidi="ar-SA"/>
              </w:rPr>
            </w:pPr>
            <w:r>
              <w:rPr>
                <w:rFonts w:eastAsia="Times New Roman" w:cs="Times New Roman" w:ascii="Aptos Narrow" w:hAnsi="Aptos Narrow"/>
                <w:color w:val="000000"/>
                <w:sz w:val="22"/>
                <w:szCs w:val="22"/>
                <w:lang w:val="it-IT" w:bidi="ar-SA"/>
              </w:rPr>
            </w:r>
          </w:p>
        </w:tc>
        <w:tc>
          <w:tcPr>
            <w:tcW w:w="1243" w:type="dxa"/>
            <w:tcBorders/>
            <w:shd w:color="auto" w:fill="D9E2F3" w:themeFill="accent1" w:themeFillTint="33" w:val="clear"/>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ng/m3</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r>
      <w:tr>
        <w:trPr>
          <w:trHeight w:val="300" w:hRule="atLeast"/>
        </w:trPr>
        <w:tc>
          <w:tcPr>
            <w:tcW w:w="988"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w:t>
            </w:r>
          </w:p>
        </w:tc>
        <w:tc>
          <w:tcPr>
            <w:tcW w:w="917"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eastAsia="Times New Roman" w:cs="Times New Roman" w:ascii="Liberation Sans" w:hAnsi="Liberation Sans"/>
                <w:b w:val="false"/>
                <w:i w:val="false"/>
                <w:strike w:val="false"/>
                <w:dstrike w:val="false"/>
                <w:outline w:val="false"/>
                <w:shadow w:val="false"/>
                <w:color w:val="000000"/>
                <w:sz w:val="20"/>
                <w:u w:val="none"/>
                <w:em w:val="none"/>
              </w:rPr>
              <w:t>IT0898A</w:t>
            </w:r>
          </w:p>
        </w:tc>
        <w:tc>
          <w:tcPr>
            <w:tcW w:w="116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NA06</w:t>
            </w:r>
          </w:p>
        </w:tc>
        <w:tc>
          <w:tcPr>
            <w:tcW w:w="870"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40.85</w:t>
            </w:r>
          </w:p>
        </w:tc>
        <w:tc>
          <w:tcPr>
            <w:tcW w:w="1006"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14.25</w:t>
            </w:r>
          </w:p>
        </w:tc>
        <w:tc>
          <w:tcPr>
            <w:tcW w:w="1019"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As in PM10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855" w:type="dxa"/>
            <w:tcBorders/>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tc>
        <w:tc>
          <w:tcPr>
            <w:tcW w:w="1503"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2023/01/04 23:00:00.000000000</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c>
          <w:tcPr>
            <w:tcW w:w="1002" w:type="dxa"/>
            <w:tcBorders/>
          </w:tcPr>
          <w:p>
            <w:pPr>
              <w:pStyle w:val="Normal"/>
              <w:bidi w:val="0"/>
              <w:spacing w:before="120" w:after="120"/>
              <w:jc w:val="left"/>
              <w:rPr>
                <w:sz w:val="22"/>
              </w:rPr>
            </w:pPr>
            <w:r>
              <w:rPr>
                <w:rFonts w:eastAsia="Times New Roman" w:cs="Times New Roman" w:ascii="Liberation Sans" w:hAnsi="Liberation Sans"/>
                <w:b w:val="false"/>
                <w:i w:val="false"/>
                <w:strike w:val="false"/>
                <w:dstrike w:val="false"/>
                <w:outline w:val="false"/>
                <w:shadow w:val="false"/>
                <w:color w:val="000000"/>
                <w:sz w:val="20"/>
                <w:u w:val="none"/>
                <w:em w:val="none"/>
              </w:rPr>
              <w:t>-9999</w:t>
            </w:r>
          </w:p>
        </w:tc>
        <w:tc>
          <w:tcPr>
            <w:tcW w:w="1243" w:type="dxa"/>
            <w:tcBorders/>
          </w:tcPr>
          <w:p>
            <w:pPr>
              <w:pStyle w:val="Normal"/>
              <w:bidi w:val="0"/>
              <w:spacing w:before="120" w:after="120"/>
              <w:jc w:val="left"/>
              <w:rPr>
                <w:rFonts w:ascii="Noto Sans Devanagari" w:hAnsi="Noto Sans Devanagari"/>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t>ng/m3</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rPr>
            </w:r>
          </w:p>
        </w:tc>
      </w:tr>
    </w:tbl>
    <w:p>
      <w:pPr>
        <w:pStyle w:val="Normal"/>
        <w:rPr/>
      </w:pPr>
      <w:r>
        <w:rPr/>
      </w:r>
    </w:p>
    <w:p>
      <w:pPr>
        <w:pStyle w:val="Normal"/>
        <w:rPr/>
      </w:pPr>
      <w:r>
        <w:rPr/>
      </w:r>
    </w:p>
    <w:p>
      <w:pPr>
        <w:pStyle w:val="Heading4"/>
        <w:rPr/>
      </w:pPr>
      <w:r>
        <w:rPr/>
        <w:t>CO</w:t>
      </w:r>
    </w:p>
    <w:p>
      <w:pPr>
        <w:pStyle w:val="Normal"/>
        <w:rPr/>
      </w:pPr>
      <w:hyperlink r:id="rId27">
        <w:r>
          <w:rPr>
            <w:rStyle w:val="Hyperlink"/>
          </w:rPr>
          <w:t>https://dati.arpacampania.it/dataset/dati-grezzi-orari-qualita-aria</w:t>
        </w:r>
      </w:hyperlink>
    </w:p>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t>ogni ora</w:t>
      </w:r>
    </w:p>
    <w:tbl>
      <w:tblPr>
        <w:tblStyle w:val="Tabellagriglia4-colore1"/>
        <w:tblW w:w="10122" w:type="dxa"/>
        <w:jc w:val="left"/>
        <w:tblInd w:w="160" w:type="dxa"/>
        <w:tblLayout w:type="fixed"/>
        <w:tblCellMar>
          <w:top w:w="0" w:type="dxa"/>
          <w:left w:w="108" w:type="dxa"/>
          <w:bottom w:w="0" w:type="dxa"/>
          <w:right w:w="108" w:type="dxa"/>
        </w:tblCellMar>
        <w:tblLook w:val="04a0" w:noHBand="0" w:noVBand="1" w:firstColumn="1" w:lastRow="0" w:lastColumn="0" w:firstRow="1"/>
      </w:tblPr>
      <w:tblGrid>
        <w:gridCol w:w="543"/>
        <w:gridCol w:w="915"/>
        <w:gridCol w:w="1159"/>
        <w:gridCol w:w="874"/>
        <w:gridCol w:w="1009"/>
        <w:gridCol w:w="1022"/>
        <w:gridCol w:w="859"/>
        <w:gridCol w:w="1486"/>
        <w:gridCol w:w="1009"/>
        <w:gridCol w:w="1245"/>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_id</w:t>
            </w:r>
          </w:p>
        </w:tc>
        <w:tc>
          <w:tcPr>
            <w:tcW w:w="91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Stazione</w:t>
            </w:r>
          </w:p>
        </w:tc>
        <w:tc>
          <w:tcPr>
            <w:tcW w:w="11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Descrizione</w:t>
            </w:r>
          </w:p>
        </w:tc>
        <w:tc>
          <w:tcPr>
            <w:tcW w:w="87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Latitude</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Longitude</w:t>
            </w:r>
          </w:p>
        </w:tc>
        <w:tc>
          <w:tcPr>
            <w:tcW w:w="102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Data_ora</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Valore</w:t>
            </w:r>
          </w:p>
        </w:tc>
        <w:tc>
          <w:tcPr>
            <w:tcW w:w="12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4</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CO</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00:00:00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0.5</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13</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4"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2"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CO</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01:00:00 +01:00</w:t>
            </w:r>
          </w:p>
        </w:tc>
        <w:tc>
          <w:tcPr>
            <w:tcW w:w="1009"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0.5</w:t>
            </w:r>
          </w:p>
        </w:tc>
        <w:tc>
          <w:tcPr>
            <w:tcW w:w="1245"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14</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CO</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02:00:00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0.5</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Aptos Narrow" w:hAnsi="Aptos Narrow" w:eastAsia="Times New Roman" w:cs="Times New Roman"/>
                <w:color w:val="000000"/>
              </w:rPr>
            </w:pPr>
            <w:r>
              <w:rPr>
                <w:rFonts w:eastAsia="Times New Roman" w:cs="Times New Roman" w:ascii="Aptos Narrow" w:hAnsi="Aptos Narrow"/>
                <w:b/>
                <w:bCs/>
                <w:color w:val="000000"/>
                <w:sz w:val="22"/>
                <w:szCs w:val="22"/>
                <w:lang w:val="it-IT" w:bidi="ar-SA"/>
              </w:rPr>
              <w:t>22</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Napoli NA01 Oss. Astronomico</w:t>
            </w:r>
          </w:p>
        </w:tc>
        <w:tc>
          <w:tcPr>
            <w:tcW w:w="874"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sans-serif" w:hAnsi="sans-serif"/>
                <w:b w:val="false"/>
                <w:i w:val="false"/>
                <w:caps w:val="false"/>
                <w:smallCaps w:val="false"/>
                <w:color w:val="202122"/>
                <w:spacing w:val="0"/>
                <w:sz w:val="21"/>
                <w:szCs w:val="22"/>
                <w:lang w:val="it-IT" w:bidi="ar-SA"/>
              </w:rPr>
              <w:t>14°15′54.00″</w:t>
            </w:r>
          </w:p>
        </w:tc>
        <w:tc>
          <w:tcPr>
            <w:tcW w:w="1022"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b w:val="false"/>
                <w:i w:val="false"/>
                <w:caps w:val="false"/>
                <w:smallCaps w:val="false"/>
                <w:color w:val="000000"/>
                <w:spacing w:val="0"/>
                <w:sz w:val="24"/>
                <w:szCs w:val="22"/>
                <w:lang w:val="it-IT" w:bidi="ar-SA"/>
              </w:rPr>
              <w:t>CO</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Google Sans;Roboto;Arial;sans-serif" w:hAnsi="Google Sans;Roboto;Arial;sans-serif"/>
                <w:b w:val="false"/>
                <w:i w:val="false"/>
                <w:caps w:val="false"/>
                <w:smallCaps w:val="false"/>
                <w:color w:val="001D35"/>
                <w:spacing w:val="0"/>
                <w:sz w:val="24"/>
                <w:szCs w:val="22"/>
                <w:lang w:val="it-IT" w:bidi="ar-SA"/>
              </w:rPr>
              <w:t>063049</w:t>
            </w:r>
          </w:p>
          <w:p>
            <w:pPr>
              <w:pStyle w:val="BodyText"/>
              <w:suppressAutoHyphens w:val="false"/>
              <w:spacing w:lineRule="auto" w:line="240" w:before="0" w:after="0"/>
              <w:jc w:val="left"/>
              <w:rPr>
                <w:rFonts w:ascii="Aptos Narrow" w:hAnsi="Aptos Narrow" w:eastAsia="Times New Roman" w:cs="Times New Roman"/>
                <w:color w:val="000000"/>
              </w:rPr>
            </w:pPr>
            <w:r>
              <w:rPr>
                <w:rFonts w:eastAsia="Times New Roman" w:cs="Times New Roman" w:ascii="Aptos Narrow" w:hAnsi="Aptos Narrow"/>
                <w:color w:val="000000"/>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03-10-2025 03:00:00 +01:00</w:t>
            </w:r>
          </w:p>
        </w:tc>
        <w:tc>
          <w:tcPr>
            <w:tcW w:w="1009"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0.5FS</w:t>
            </w:r>
          </w:p>
        </w:tc>
        <w:tc>
          <w:tcPr>
            <w:tcW w:w="1245" w:type="dxa"/>
            <w:tcBorders/>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Pr>
                <w:rFonts w:eastAsia="Times New Roman" w:cs="Times New Roman" w:ascii="Aptos Narrow" w:hAnsi="Aptos Narrow"/>
                <w:color w:val="000000"/>
                <w:sz w:val="22"/>
                <w:szCs w:val="22"/>
                <w:lang w:val="it-IT" w:bidi="ar-SA"/>
              </w:rPr>
              <w:t>µg/m3</w:t>
            </w:r>
          </w:p>
        </w:tc>
      </w:tr>
    </w:tbl>
    <w:p>
      <w:pPr>
        <w:pStyle w:val="Normal"/>
        <w:rPr>
          <w:sz w:val="22"/>
          <w:szCs w:val="22"/>
          <w:shd w:fill="FFFF00" w:val="clear"/>
          <w:lang w:val="it-IT" w:bidi="ar-SA"/>
        </w:rPr>
      </w:pPr>
      <w:r>
        <w:rPr>
          <w:sz w:val="22"/>
          <w:szCs w:val="22"/>
          <w:shd w:fill="FFFF00" w:val="clear"/>
          <w:lang w:val="it-IT" w:bidi="ar-SA"/>
        </w:rPr>
      </w:r>
    </w:p>
    <w:p>
      <w:pPr>
        <w:pStyle w:val="Normal"/>
        <w:rPr>
          <w:sz w:val="22"/>
          <w:szCs w:val="22"/>
          <w:shd w:fill="FFFF00" w:val="clear"/>
          <w:lang w:val="it-IT" w:bidi="ar-SA"/>
        </w:rPr>
      </w:pPr>
      <w:r>
        <w:rPr>
          <w:sz w:val="22"/>
          <w:szCs w:val="22"/>
          <w:shd w:fill="FFFF00" w:val="clear"/>
          <w:lang w:val="it-IT" w:bidi="ar-SA"/>
        </w:rPr>
      </w:r>
    </w:p>
    <w:p>
      <w:pPr>
        <w:pStyle w:val="Normal"/>
        <w:rPr>
          <w:sz w:val="22"/>
          <w:szCs w:val="22"/>
          <w:shd w:fill="FFFF00" w:val="clear"/>
          <w:lang w:val="it-IT" w:bidi="ar-SA"/>
        </w:rPr>
      </w:pPr>
      <w:r>
        <w:rPr>
          <w:sz w:val="22"/>
          <w:szCs w:val="22"/>
          <w:shd w:fill="FFFF00" w:val="clear"/>
          <w:lang w:val="it-IT" w:bidi="ar-SA"/>
        </w:rPr>
      </w:r>
    </w:p>
    <w:p>
      <w:pPr>
        <w:pStyle w:val="Normal"/>
        <w:rPr/>
      </w:pPr>
      <w:r>
        <w:rPr/>
      </w:r>
    </w:p>
    <w:p>
      <w:pPr>
        <w:pStyle w:val="Normal"/>
        <w:numPr>
          <w:ilvl w:val="3"/>
          <w:numId w:val="1"/>
        </w:numPr>
        <w:rPr>
          <w:sz w:val="22"/>
          <w:szCs w:val="22"/>
        </w:rPr>
      </w:pPr>
      <w:r>
        <w:rPr>
          <w:sz w:val="22"/>
          <w:szCs w:val="22"/>
        </w:rPr>
        <w:t xml:space="preserve">PH di </w:t>
      </w:r>
      <w:r>
        <w:rPr>
          <w:rFonts w:eastAsia="Calibri" w:cs="Calibri" w:ascii="Helvetica Neue;Helvetica;Arial;sans-serif" w:hAnsi="Helvetica Neue;Helvetica;Arial;sans-serif"/>
          <w:b w:val="false"/>
          <w:i w:val="false"/>
          <w:caps w:val="false"/>
          <w:smallCaps w:val="false"/>
          <w:color w:val="333333"/>
          <w:spacing w:val="0"/>
          <w:sz w:val="22"/>
          <w:szCs w:val="22"/>
          <w14:ligatures w14:val="none"/>
        </w:rPr>
        <w:t>acque consumo umano</w:t>
      </w:r>
    </w:p>
    <w:p>
      <w:pPr>
        <w:pStyle w:val="Normal"/>
        <w:rPr/>
      </w:pPr>
      <w:r>
        <w:rPr>
          <w:rStyle w:val="Hyperlink"/>
        </w:rPr>
        <w:t>https://dati.arpacampania.it/de/dataset/monitoraggio-acque-consumo-umano#:~:text=%C3%84nderungsdatum%2016,dell%27Ambiente%20della%20Campania%20IPA%2FIVA%3A%20arlpa</w:t>
      </w:r>
    </w:p>
    <w:p>
      <w:pPr>
        <w:pStyle w:val="Normal"/>
        <w:rPr/>
      </w:pPr>
      <w:r>
        <w:rPr>
          <w:rStyle w:val="Hyperlink"/>
        </w:rPr>
        <w:t>https://dati.puglia.it/ckan/dataset/dati-controlli-qualita-acque-destinate-al-consumo-umano/resource/755b7d20-65e7-426e-881a-862367aff91f</w:t>
      </w:r>
    </w:p>
    <w:p>
      <w:pPr>
        <w:pStyle w:val="Normal"/>
        <w:rPr>
          <w:rStyle w:val="Hyperlink"/>
        </w:rPr>
      </w:pPr>
      <w:r>
        <w:rPr/>
      </w:r>
    </w:p>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tbl>
      <w:tblPr>
        <w:tblW w:w="9133" w:type="dxa"/>
        <w:jc w:val="left"/>
        <w:tblInd w:w="-159" w:type="dxa"/>
        <w:tblLayout w:type="fixed"/>
        <w:tblCellMar>
          <w:top w:w="0" w:type="dxa"/>
          <w:left w:w="30" w:type="dxa"/>
          <w:bottom w:w="0" w:type="dxa"/>
          <w:right w:w="30" w:type="dxa"/>
        </w:tblCellMar>
      </w:tblPr>
      <w:tblGrid>
        <w:gridCol w:w="2201"/>
        <w:gridCol w:w="1084"/>
        <w:gridCol w:w="1100"/>
        <w:gridCol w:w="1100"/>
        <w:gridCol w:w="1084"/>
        <w:gridCol w:w="1100"/>
        <w:gridCol w:w="1463"/>
      </w:tblGrid>
      <w:tr>
        <w:trPr>
          <w:trHeight w:val="1597" w:hRule="atLeast"/>
        </w:trPr>
        <w:tc>
          <w:tcPr>
            <w:tcW w:w="2201" w:type="dxa"/>
            <w:tcBorders/>
            <w:vAlign w:val="center"/>
          </w:tcPr>
          <w:p>
            <w:pPr>
              <w:pStyle w:val="Normal"/>
              <w:tabs>
                <w:tab w:val="clear" w:pos="708"/>
              </w:tabs>
              <w:spacing w:before="120" w:after="120"/>
              <w:jc w:val="center"/>
              <w:rPr/>
            </w:pPr>
            <w:r>
              <w:rPr>
                <w:rFonts w:ascii="Arial" w:hAnsi="Arial"/>
              </w:rPr>
              <w:t>Data</w:t>
            </w:r>
          </w:p>
        </w:tc>
        <w:tc>
          <w:tcPr>
            <w:tcW w:w="1084" w:type="dxa"/>
            <w:tcBorders/>
            <w:vAlign w:val="center"/>
          </w:tcPr>
          <w:p>
            <w:pPr>
              <w:pStyle w:val="TableContents"/>
              <w:spacing w:before="120" w:after="120"/>
              <w:ind w:hanging="0" w:left="0" w:right="0"/>
              <w:jc w:val="center"/>
              <w:rPr/>
            </w:pPr>
            <w:r>
              <w:rPr/>
              <w:t>ASL</w:t>
            </w:r>
          </w:p>
        </w:tc>
        <w:tc>
          <w:tcPr>
            <w:tcW w:w="1100" w:type="dxa"/>
            <w:tcBorders/>
            <w:vAlign w:val="center"/>
          </w:tcPr>
          <w:p>
            <w:pPr>
              <w:pStyle w:val="TableContents"/>
              <w:spacing w:before="120" w:after="120"/>
              <w:ind w:hanging="0" w:left="0" w:right="0"/>
              <w:jc w:val="center"/>
              <w:rPr/>
            </w:pPr>
            <w:r>
              <w:rPr/>
              <w:t>Comune</w:t>
            </w:r>
          </w:p>
        </w:tc>
        <w:tc>
          <w:tcPr>
            <w:tcW w:w="1100" w:type="dxa"/>
            <w:tcBorders/>
            <w:vAlign w:val="center"/>
          </w:tcPr>
          <w:p>
            <w:pPr>
              <w:pStyle w:val="TableContents"/>
              <w:spacing w:before="120" w:after="120"/>
              <w:ind w:hanging="0" w:left="0" w:right="0"/>
              <w:jc w:val="center"/>
              <w:rPr/>
            </w:pPr>
            <w:r>
              <w:rPr/>
              <w:t>Parametro</w:t>
            </w:r>
          </w:p>
        </w:tc>
        <w:tc>
          <w:tcPr>
            <w:tcW w:w="1084" w:type="dxa"/>
            <w:tcBorders/>
            <w:vAlign w:val="center"/>
          </w:tcPr>
          <w:p>
            <w:pPr>
              <w:pStyle w:val="Normal"/>
              <w:bidi w:val="0"/>
              <w:spacing w:before="120" w:after="120"/>
              <w:jc w:val="left"/>
              <w:rPr>
                <w:sz w:val="22"/>
                <w:szCs w:val="22"/>
              </w:rPr>
            </w:pPr>
            <w:r>
              <w:rPr>
                <w:rFonts w:ascii="Liberation Sans" w:hAnsi="Liberation Sans"/>
                <w:b w:val="false"/>
                <w:i w:val="false"/>
                <w:strike w:val="false"/>
                <w:dstrike w:val="false"/>
                <w:outline w:val="false"/>
                <w:shadow w:val="false"/>
                <w:sz w:val="22"/>
                <w:szCs w:val="22"/>
                <w:u w:val="none"/>
                <w:em w:val="none"/>
              </w:rPr>
              <w:t>Unità di misura</w:t>
            </w:r>
          </w:p>
          <w:p>
            <w:pPr>
              <w:pStyle w:val="Normal"/>
              <w:spacing w:before="120" w:after="120"/>
              <w:ind w:hanging="0" w:left="0" w:right="0"/>
              <w:jc w:val="center"/>
              <w:rPr>
                <w:sz w:val="22"/>
                <w:szCs w:val="22"/>
              </w:rPr>
            </w:pPr>
            <w:r>
              <w:rPr>
                <w:sz w:val="22"/>
                <w:szCs w:val="22"/>
              </w:rPr>
            </w:r>
          </w:p>
        </w:tc>
        <w:tc>
          <w:tcPr>
            <w:tcW w:w="1100" w:type="dxa"/>
            <w:tcBorders/>
            <w:vAlign w:val="center"/>
          </w:tcPr>
          <w:p>
            <w:pPr>
              <w:pStyle w:val="Normal"/>
              <w:bidi w:val="0"/>
              <w:spacing w:before="120" w:after="120"/>
              <w:jc w:val="left"/>
              <w:rPr>
                <w:sz w:val="22"/>
                <w:szCs w:val="22"/>
              </w:rPr>
            </w:pPr>
            <w:r>
              <w:rPr>
                <w:rFonts w:ascii="Liberation Sans" w:hAnsi="Liberation Sans"/>
                <w:b w:val="false"/>
                <w:i w:val="false"/>
                <w:strike w:val="false"/>
                <w:dstrike w:val="false"/>
                <w:outline w:val="false"/>
                <w:shadow w:val="false"/>
                <w:sz w:val="22"/>
                <w:szCs w:val="22"/>
                <w:u w:val="none"/>
                <w:em w:val="none"/>
              </w:rPr>
              <w:t>Risultato</w:t>
            </w:r>
          </w:p>
          <w:p>
            <w:pPr>
              <w:pStyle w:val="Normal"/>
              <w:spacing w:before="120" w:after="120"/>
              <w:ind w:hanging="0" w:left="0" w:right="0"/>
              <w:jc w:val="center"/>
              <w:rPr>
                <w:sz w:val="22"/>
                <w:szCs w:val="22"/>
              </w:rPr>
            </w:pPr>
            <w:r>
              <w:rPr>
                <w:sz w:val="22"/>
                <w:szCs w:val="22"/>
              </w:rPr>
            </w:r>
          </w:p>
        </w:tc>
        <w:tc>
          <w:tcPr>
            <w:tcW w:w="1463" w:type="dxa"/>
            <w:tcBorders/>
            <w:vAlign w:val="center"/>
          </w:tcPr>
          <w:p>
            <w:pPr>
              <w:pStyle w:val="Normal"/>
              <w:bidi w:val="0"/>
              <w:spacing w:before="120" w:after="120"/>
              <w:jc w:val="left"/>
              <w:rPr>
                <w:sz w:val="22"/>
                <w:szCs w:val="22"/>
              </w:rPr>
            </w:pPr>
            <w:r>
              <w:rPr>
                <w:rFonts w:ascii="Liberation Sans" w:hAnsi="Liberation Sans"/>
                <w:b w:val="false"/>
                <w:i w:val="false"/>
                <w:strike w:val="false"/>
                <w:dstrike w:val="false"/>
                <w:outline w:val="false"/>
                <w:shadow w:val="false"/>
                <w:sz w:val="22"/>
                <w:szCs w:val="22"/>
                <w:u w:val="none"/>
                <w:em w:val="none"/>
              </w:rPr>
              <w:t>Punto Prelievo</w:t>
            </w:r>
          </w:p>
          <w:p>
            <w:pPr>
              <w:pStyle w:val="Normal"/>
              <w:spacing w:before="120" w:after="120"/>
              <w:ind w:hanging="0" w:left="0" w:right="0"/>
              <w:jc w:val="center"/>
              <w:rPr>
                <w:sz w:val="22"/>
                <w:szCs w:val="22"/>
              </w:rPr>
            </w:pPr>
            <w:r>
              <w:rPr>
                <w:sz w:val="22"/>
                <w:szCs w:val="22"/>
              </w:rPr>
            </w:r>
          </w:p>
        </w:tc>
      </w:tr>
      <w:tr>
        <w:trPr>
          <w:trHeight w:val="255" w:hRule="atLeast"/>
        </w:trPr>
        <w:tc>
          <w:tcPr>
            <w:tcW w:w="2201" w:type="dxa"/>
            <w:tcBorders/>
            <w:vAlign w:val="center"/>
          </w:tcPr>
          <w:p>
            <w:pPr>
              <w:pStyle w:val="TableContents"/>
              <w:spacing w:before="120" w:after="120"/>
              <w:jc w:val="left"/>
              <w:rPr/>
            </w:pPr>
            <w:r>
              <w:rPr/>
              <w:t>1/1/2023</w:t>
            </w:r>
          </w:p>
        </w:tc>
        <w:tc>
          <w:tcPr>
            <w:tcW w:w="1084" w:type="dxa"/>
            <w:tcBorders/>
            <w:vAlign w:val="center"/>
          </w:tcPr>
          <w:p>
            <w:pPr>
              <w:pStyle w:val="TableContents"/>
              <w:spacing w:before="120" w:after="120"/>
              <w:jc w:val="left"/>
              <w:rPr/>
            </w:pPr>
            <w:r>
              <w:rPr/>
              <w:t>FOGGIA</w:t>
            </w:r>
          </w:p>
        </w:tc>
        <w:tc>
          <w:tcPr>
            <w:tcW w:w="1100" w:type="dxa"/>
            <w:tcBorders/>
            <w:vAlign w:val="center"/>
          </w:tcPr>
          <w:p>
            <w:pPr>
              <w:pStyle w:val="TableContents"/>
              <w:spacing w:before="120" w:after="120"/>
              <w:jc w:val="left"/>
              <w:rPr/>
            </w:pPr>
            <w:r>
              <w:rPr/>
              <w:t>Roseto Valfortore</w:t>
            </w:r>
          </w:p>
        </w:tc>
        <w:tc>
          <w:tcPr>
            <w:tcW w:w="1100" w:type="dxa"/>
            <w:tcBorders/>
            <w:vAlign w:val="center"/>
          </w:tcPr>
          <w:p>
            <w:pPr>
              <w:pStyle w:val="TableContents"/>
              <w:spacing w:before="120" w:after="120"/>
              <w:jc w:val="left"/>
              <w:rPr/>
            </w:pPr>
            <w:r>
              <w:rPr/>
              <w:t>pH</w:t>
            </w:r>
          </w:p>
        </w:tc>
        <w:tc>
          <w:tcPr>
            <w:tcW w:w="1084" w:type="dxa"/>
            <w:tcBorders/>
            <w:vAlign w:val="center"/>
          </w:tcPr>
          <w:p>
            <w:pPr>
              <w:pStyle w:val="TableContents"/>
              <w:spacing w:before="120" w:after="120"/>
              <w:jc w:val="left"/>
              <w:rPr/>
            </w:pPr>
            <w:r>
              <w:rPr/>
              <w:t>UNITA' DI pH</w:t>
            </w:r>
          </w:p>
        </w:tc>
        <w:tc>
          <w:tcPr>
            <w:tcW w:w="1100" w:type="dxa"/>
            <w:tcBorders/>
            <w:vAlign w:val="center"/>
          </w:tcPr>
          <w:p>
            <w:pPr>
              <w:pStyle w:val="TableContents"/>
              <w:spacing w:before="120" w:after="120"/>
              <w:jc w:val="left"/>
              <w:rPr/>
            </w:pPr>
            <w:r>
              <w:rPr/>
              <w:t>8,2</w:t>
            </w:r>
          </w:p>
        </w:tc>
        <w:tc>
          <w:tcPr>
            <w:tcW w:w="1463" w:type="dxa"/>
            <w:tcBorders/>
            <w:vAlign w:val="center"/>
          </w:tcPr>
          <w:p>
            <w:pPr>
              <w:pStyle w:val="TableContents"/>
              <w:spacing w:before="120" w:after="120"/>
              <w:jc w:val="left"/>
              <w:rPr/>
            </w:pPr>
            <w:r>
              <w:rPr/>
              <w:t>via/loc. II vico col. D'Avanzo, n° 25</w:t>
            </w:r>
          </w:p>
        </w:tc>
      </w:tr>
      <w:tr>
        <w:trPr>
          <w:trHeight w:val="255" w:hRule="atLeast"/>
        </w:trPr>
        <w:tc>
          <w:tcPr>
            <w:tcW w:w="2201" w:type="dxa"/>
            <w:tcBorders/>
            <w:vAlign w:val="center"/>
          </w:tcPr>
          <w:p>
            <w:pPr>
              <w:pStyle w:val="TableContents"/>
              <w:spacing w:before="120" w:after="120"/>
              <w:jc w:val="left"/>
              <w:rPr/>
            </w:pPr>
            <w:r>
              <w:rPr/>
              <w:t>2/1/2023</w:t>
            </w:r>
          </w:p>
        </w:tc>
        <w:tc>
          <w:tcPr>
            <w:tcW w:w="1084" w:type="dxa"/>
            <w:tcBorders/>
            <w:vAlign w:val="center"/>
          </w:tcPr>
          <w:p>
            <w:pPr>
              <w:pStyle w:val="TableContents"/>
              <w:spacing w:before="120" w:after="120"/>
              <w:jc w:val="left"/>
              <w:rPr/>
            </w:pPr>
            <w:r>
              <w:rPr/>
              <w:t>FOGGIA</w:t>
            </w:r>
          </w:p>
        </w:tc>
        <w:tc>
          <w:tcPr>
            <w:tcW w:w="1100" w:type="dxa"/>
            <w:tcBorders/>
            <w:vAlign w:val="center"/>
          </w:tcPr>
          <w:p>
            <w:pPr>
              <w:pStyle w:val="TableContents"/>
              <w:spacing w:before="120" w:after="120"/>
              <w:jc w:val="left"/>
              <w:rPr/>
            </w:pPr>
            <w:r>
              <w:rPr/>
              <w:t>Troia</w:t>
            </w:r>
          </w:p>
        </w:tc>
        <w:tc>
          <w:tcPr>
            <w:tcW w:w="1100" w:type="dxa"/>
            <w:tcBorders/>
            <w:vAlign w:val="center"/>
          </w:tcPr>
          <w:p>
            <w:pPr>
              <w:pStyle w:val="TableContents"/>
              <w:spacing w:before="120" w:after="120"/>
              <w:jc w:val="left"/>
              <w:rPr/>
            </w:pPr>
            <w:r>
              <w:rPr/>
              <w:t>pH</w:t>
            </w:r>
          </w:p>
        </w:tc>
        <w:tc>
          <w:tcPr>
            <w:tcW w:w="1084" w:type="dxa"/>
            <w:tcBorders/>
            <w:vAlign w:val="center"/>
          </w:tcPr>
          <w:p>
            <w:pPr>
              <w:pStyle w:val="TableContents"/>
              <w:spacing w:before="120" w:after="120"/>
              <w:jc w:val="left"/>
              <w:rPr/>
            </w:pPr>
            <w:r>
              <w:rPr/>
              <w:t>UNITA' DI pH</w:t>
            </w:r>
          </w:p>
        </w:tc>
        <w:tc>
          <w:tcPr>
            <w:tcW w:w="1100" w:type="dxa"/>
            <w:tcBorders/>
            <w:vAlign w:val="center"/>
          </w:tcPr>
          <w:p>
            <w:pPr>
              <w:pStyle w:val="TableContents"/>
              <w:spacing w:before="120" w:after="120"/>
              <w:jc w:val="left"/>
              <w:rPr/>
            </w:pPr>
            <w:r>
              <w:rPr/>
              <w:t>8</w:t>
            </w:r>
          </w:p>
        </w:tc>
        <w:tc>
          <w:tcPr>
            <w:tcW w:w="1463" w:type="dxa"/>
            <w:tcBorders/>
            <w:vAlign w:val="center"/>
          </w:tcPr>
          <w:p>
            <w:pPr>
              <w:pStyle w:val="TableContents"/>
              <w:spacing w:before="120" w:after="120"/>
              <w:jc w:val="left"/>
              <w:rPr/>
            </w:pPr>
            <w:r>
              <w:rPr/>
              <w:t>Murales del millennio</w:t>
            </w:r>
          </w:p>
        </w:tc>
      </w:tr>
      <w:tr>
        <w:trPr>
          <w:trHeight w:val="255" w:hRule="atLeast"/>
        </w:trPr>
        <w:tc>
          <w:tcPr>
            <w:tcW w:w="2201" w:type="dxa"/>
            <w:tcBorders/>
            <w:vAlign w:val="center"/>
          </w:tcPr>
          <w:p>
            <w:pPr>
              <w:pStyle w:val="TableContents"/>
              <w:spacing w:before="120" w:after="120"/>
              <w:jc w:val="left"/>
              <w:rPr/>
            </w:pPr>
            <w:r>
              <w:rPr/>
              <w:t>3/1/2023</w:t>
            </w:r>
          </w:p>
        </w:tc>
        <w:tc>
          <w:tcPr>
            <w:tcW w:w="1084" w:type="dxa"/>
            <w:tcBorders/>
            <w:vAlign w:val="center"/>
          </w:tcPr>
          <w:p>
            <w:pPr>
              <w:pStyle w:val="TableContents"/>
              <w:spacing w:before="120" w:after="120"/>
              <w:jc w:val="left"/>
              <w:rPr/>
            </w:pPr>
            <w:r>
              <w:rPr/>
              <w:t>FOGGIA</w:t>
            </w:r>
          </w:p>
        </w:tc>
        <w:tc>
          <w:tcPr>
            <w:tcW w:w="1100" w:type="dxa"/>
            <w:tcBorders/>
            <w:vAlign w:val="center"/>
          </w:tcPr>
          <w:p>
            <w:pPr>
              <w:pStyle w:val="TableContents"/>
              <w:spacing w:before="120" w:after="120"/>
              <w:jc w:val="left"/>
              <w:rPr/>
            </w:pPr>
            <w:r>
              <w:rPr/>
              <w:t>Castelluccio Valmaggiore</w:t>
            </w:r>
          </w:p>
        </w:tc>
        <w:tc>
          <w:tcPr>
            <w:tcW w:w="1100" w:type="dxa"/>
            <w:tcBorders/>
            <w:vAlign w:val="center"/>
          </w:tcPr>
          <w:p>
            <w:pPr>
              <w:pStyle w:val="TableContents"/>
              <w:spacing w:before="120" w:after="120"/>
              <w:jc w:val="left"/>
              <w:rPr/>
            </w:pPr>
            <w:r>
              <w:rPr/>
              <w:t>pH</w:t>
            </w:r>
          </w:p>
        </w:tc>
        <w:tc>
          <w:tcPr>
            <w:tcW w:w="1084" w:type="dxa"/>
            <w:tcBorders/>
            <w:vAlign w:val="center"/>
          </w:tcPr>
          <w:p>
            <w:pPr>
              <w:pStyle w:val="TableContents"/>
              <w:spacing w:before="120" w:after="120"/>
              <w:jc w:val="left"/>
              <w:rPr/>
            </w:pPr>
            <w:r>
              <w:rPr/>
              <w:t>UNITA' DI pH</w:t>
            </w:r>
          </w:p>
        </w:tc>
        <w:tc>
          <w:tcPr>
            <w:tcW w:w="1100" w:type="dxa"/>
            <w:tcBorders/>
            <w:vAlign w:val="center"/>
          </w:tcPr>
          <w:p>
            <w:pPr>
              <w:pStyle w:val="TableContents"/>
              <w:spacing w:before="120" w:after="120"/>
              <w:jc w:val="left"/>
              <w:rPr/>
            </w:pPr>
            <w:r>
              <w:rPr/>
              <w:t>8</w:t>
            </w:r>
          </w:p>
        </w:tc>
        <w:tc>
          <w:tcPr>
            <w:tcW w:w="1463" w:type="dxa"/>
            <w:tcBorders/>
            <w:vAlign w:val="center"/>
          </w:tcPr>
          <w:p>
            <w:pPr>
              <w:pStyle w:val="TableContents"/>
              <w:spacing w:before="120" w:after="120"/>
              <w:jc w:val="left"/>
              <w:rPr/>
            </w:pPr>
            <w:r>
              <w:rPr/>
              <w:t>Scuola P. Luisi (infanzia)</w:t>
            </w:r>
          </w:p>
        </w:tc>
      </w:tr>
      <w:tr>
        <w:trPr>
          <w:trHeight w:val="255" w:hRule="atLeast"/>
        </w:trPr>
        <w:tc>
          <w:tcPr>
            <w:tcW w:w="2201" w:type="dxa"/>
            <w:tcBorders/>
            <w:vAlign w:val="center"/>
          </w:tcPr>
          <w:p>
            <w:pPr>
              <w:pStyle w:val="TableContents"/>
              <w:spacing w:before="120" w:after="120"/>
              <w:jc w:val="left"/>
              <w:rPr/>
            </w:pPr>
            <w:r>
              <w:rPr/>
              <w:t>4/1/2023</w:t>
            </w:r>
          </w:p>
        </w:tc>
        <w:tc>
          <w:tcPr>
            <w:tcW w:w="1084" w:type="dxa"/>
            <w:tcBorders/>
            <w:vAlign w:val="center"/>
          </w:tcPr>
          <w:p>
            <w:pPr>
              <w:pStyle w:val="TableContents"/>
              <w:spacing w:before="120" w:after="120"/>
              <w:jc w:val="left"/>
              <w:rPr/>
            </w:pPr>
            <w:r>
              <w:rPr/>
              <w:t>FOGGIA</w:t>
            </w:r>
          </w:p>
        </w:tc>
        <w:tc>
          <w:tcPr>
            <w:tcW w:w="1100" w:type="dxa"/>
            <w:tcBorders/>
            <w:vAlign w:val="center"/>
          </w:tcPr>
          <w:p>
            <w:pPr>
              <w:pStyle w:val="TableContents"/>
              <w:spacing w:before="120" w:after="120"/>
              <w:jc w:val="left"/>
              <w:rPr/>
            </w:pPr>
            <w:r>
              <w:rPr/>
              <w:t>Torremaggiore</w:t>
            </w:r>
          </w:p>
        </w:tc>
        <w:tc>
          <w:tcPr>
            <w:tcW w:w="1100" w:type="dxa"/>
            <w:tcBorders/>
            <w:vAlign w:val="center"/>
          </w:tcPr>
          <w:p>
            <w:pPr>
              <w:pStyle w:val="TableContents"/>
              <w:spacing w:before="120" w:after="120"/>
              <w:jc w:val="left"/>
              <w:rPr/>
            </w:pPr>
            <w:r>
              <w:rPr/>
              <w:t>pH</w:t>
            </w:r>
          </w:p>
        </w:tc>
        <w:tc>
          <w:tcPr>
            <w:tcW w:w="1084" w:type="dxa"/>
            <w:tcBorders/>
            <w:vAlign w:val="center"/>
          </w:tcPr>
          <w:p>
            <w:pPr>
              <w:pStyle w:val="TableContents"/>
              <w:spacing w:before="120" w:after="120"/>
              <w:jc w:val="left"/>
              <w:rPr/>
            </w:pPr>
            <w:r>
              <w:rPr/>
              <w:t>UNITA' DI pH</w:t>
            </w:r>
          </w:p>
        </w:tc>
        <w:tc>
          <w:tcPr>
            <w:tcW w:w="1100" w:type="dxa"/>
            <w:tcBorders/>
            <w:vAlign w:val="center"/>
          </w:tcPr>
          <w:p>
            <w:pPr>
              <w:pStyle w:val="TableContents"/>
              <w:spacing w:before="120" w:after="120"/>
              <w:jc w:val="left"/>
              <w:rPr/>
            </w:pPr>
            <w:r>
              <w:rPr/>
              <w:t>8</w:t>
            </w:r>
          </w:p>
        </w:tc>
        <w:tc>
          <w:tcPr>
            <w:tcW w:w="1463" w:type="dxa"/>
            <w:tcBorders/>
            <w:vAlign w:val="center"/>
          </w:tcPr>
          <w:p>
            <w:pPr>
              <w:pStyle w:val="TableContents"/>
              <w:spacing w:before="120" w:after="120"/>
              <w:jc w:val="left"/>
              <w:rPr/>
            </w:pPr>
            <w:r>
              <w:rPr/>
              <w:t>c/o Pineta Comunale</w:t>
            </w:r>
          </w:p>
        </w:tc>
      </w:tr>
    </w:tbl>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p>
      <w:pPr>
        <w:pStyle w:val="Normal"/>
        <w:numPr>
          <w:ilvl w:val="3"/>
          <w:numId w:val="1"/>
        </w:numPr>
        <w:rPr>
          <w:sz w:val="22"/>
          <w:szCs w:val="22"/>
        </w:rPr>
      </w:pPr>
      <w:r>
        <w:rPr>
          <w:sz w:val="22"/>
          <w:szCs w:val="22"/>
        </w:rPr>
        <w:t xml:space="preserve">E. Coli in </w:t>
      </w:r>
      <w:r>
        <w:rPr>
          <w:rFonts w:eastAsia="Calibri" w:cs="Calibri" w:ascii="Helvetica Neue;Helvetica;Arial;sans-serif" w:hAnsi="Helvetica Neue;Helvetica;Arial;sans-serif"/>
          <w:b w:val="false"/>
          <w:i w:val="false"/>
          <w:caps w:val="false"/>
          <w:smallCaps w:val="false"/>
          <w:color w:val="333333"/>
          <w:spacing w:val="0"/>
          <w:sz w:val="22"/>
          <w:szCs w:val="22"/>
          <w14:ligatures w14:val="none"/>
        </w:rPr>
        <w:t>acque consumo umano</w:t>
      </w:r>
    </w:p>
    <w:p>
      <w:pPr>
        <w:pStyle w:val="Normal"/>
        <w:rPr/>
      </w:pPr>
      <w:r>
        <w:rPr>
          <w:rStyle w:val="Hyperlink"/>
        </w:rPr>
        <w:t>https://dati.arpacampania.it/de/dataset/monitoraggio-acque-consumo-umano#:~:text=%C3%84nderungsdatum%2016,dell%27Ambiente%20della%20Campania%20IPA%2FIVA%3A%20arlpa</w:t>
      </w:r>
    </w:p>
    <w:p>
      <w:pPr>
        <w:pStyle w:val="Normal"/>
        <w:rPr/>
      </w:pPr>
      <w:r>
        <w:rPr>
          <w:rStyle w:val="Hyperlink"/>
        </w:rPr>
        <w:t>https://dati.puglia.it/ckan/dataset/dati-controlli-qualita-acque-destinate-al-consumo-umano/resource/755b7d20-65e7-426e-881a-862367aff91f</w:t>
      </w:r>
    </w:p>
    <w:tbl>
      <w:tblPr>
        <w:tblW w:w="10020" w:type="dxa"/>
        <w:jc w:val="left"/>
        <w:tblInd w:w="-159" w:type="dxa"/>
        <w:tblLayout w:type="fixed"/>
        <w:tblCellMar>
          <w:top w:w="0" w:type="dxa"/>
          <w:left w:w="30" w:type="dxa"/>
          <w:bottom w:w="0" w:type="dxa"/>
          <w:right w:w="30" w:type="dxa"/>
        </w:tblCellMar>
      </w:tblPr>
      <w:tblGrid>
        <w:gridCol w:w="2414"/>
        <w:gridCol w:w="1190"/>
        <w:gridCol w:w="1207"/>
        <w:gridCol w:w="1615"/>
        <w:gridCol w:w="1385"/>
        <w:gridCol w:w="746"/>
        <w:gridCol w:w="1462"/>
      </w:tblGrid>
      <w:tr>
        <w:trPr>
          <w:trHeight w:val="1597" w:hRule="atLeast"/>
        </w:trPr>
        <w:tc>
          <w:tcPr>
            <w:tcW w:w="2414" w:type="dxa"/>
            <w:tcBorders/>
            <w:vAlign w:val="center"/>
          </w:tcPr>
          <w:p>
            <w:pPr>
              <w:pStyle w:val="Normal"/>
              <w:tabs>
                <w:tab w:val="clear" w:pos="708"/>
              </w:tabs>
              <w:spacing w:before="120" w:after="120"/>
              <w:jc w:val="center"/>
              <w:rPr/>
            </w:pPr>
            <w:r>
              <w:rPr>
                <w:rFonts w:ascii="Arial" w:hAnsi="Arial"/>
              </w:rPr>
              <w:t>Data</w:t>
            </w:r>
          </w:p>
        </w:tc>
        <w:tc>
          <w:tcPr>
            <w:tcW w:w="1190" w:type="dxa"/>
            <w:tcBorders/>
            <w:vAlign w:val="center"/>
          </w:tcPr>
          <w:p>
            <w:pPr>
              <w:pStyle w:val="TableContents"/>
              <w:spacing w:before="120" w:after="120"/>
              <w:ind w:hanging="0" w:left="0" w:right="0"/>
              <w:jc w:val="center"/>
              <w:rPr/>
            </w:pPr>
            <w:r>
              <w:rPr/>
              <w:t>ASL</w:t>
            </w:r>
          </w:p>
        </w:tc>
        <w:tc>
          <w:tcPr>
            <w:tcW w:w="1207" w:type="dxa"/>
            <w:tcBorders/>
            <w:vAlign w:val="center"/>
          </w:tcPr>
          <w:p>
            <w:pPr>
              <w:pStyle w:val="TableContents"/>
              <w:spacing w:before="120" w:after="120"/>
              <w:ind w:hanging="0" w:left="0" w:right="0"/>
              <w:jc w:val="center"/>
              <w:rPr/>
            </w:pPr>
            <w:r>
              <w:rPr/>
              <w:t>Comune</w:t>
            </w:r>
          </w:p>
        </w:tc>
        <w:tc>
          <w:tcPr>
            <w:tcW w:w="1615" w:type="dxa"/>
            <w:tcBorders/>
            <w:vAlign w:val="center"/>
          </w:tcPr>
          <w:p>
            <w:pPr>
              <w:pStyle w:val="TableContents"/>
              <w:spacing w:before="120" w:after="120"/>
              <w:ind w:hanging="0" w:left="0" w:right="0"/>
              <w:jc w:val="center"/>
              <w:rPr/>
            </w:pPr>
            <w:r>
              <w:rPr/>
              <w:t>Parametro</w:t>
            </w:r>
          </w:p>
        </w:tc>
        <w:tc>
          <w:tcPr>
            <w:tcW w:w="1385" w:type="dxa"/>
            <w:tcBorders/>
            <w:vAlign w:val="center"/>
          </w:tcPr>
          <w:p>
            <w:pPr>
              <w:pStyle w:val="Normal"/>
              <w:bidi w:val="0"/>
              <w:spacing w:before="120" w:after="120"/>
              <w:jc w:val="left"/>
              <w:rPr>
                <w:sz w:val="22"/>
                <w:szCs w:val="22"/>
              </w:rPr>
            </w:pPr>
            <w:r>
              <w:rPr>
                <w:rFonts w:ascii="Liberation Sans" w:hAnsi="Liberation Sans"/>
                <w:b w:val="false"/>
                <w:i w:val="false"/>
                <w:strike w:val="false"/>
                <w:dstrike w:val="false"/>
                <w:outline w:val="false"/>
                <w:shadow w:val="false"/>
                <w:sz w:val="22"/>
                <w:szCs w:val="22"/>
                <w:u w:val="none"/>
                <w:em w:val="none"/>
              </w:rPr>
              <w:t>Unità di misura</w:t>
            </w:r>
          </w:p>
          <w:p>
            <w:pPr>
              <w:pStyle w:val="Normal"/>
              <w:spacing w:before="120" w:after="120"/>
              <w:ind w:hanging="0" w:left="0" w:right="0"/>
              <w:jc w:val="center"/>
              <w:rPr>
                <w:sz w:val="22"/>
                <w:szCs w:val="22"/>
              </w:rPr>
            </w:pPr>
            <w:r>
              <w:rPr>
                <w:sz w:val="22"/>
                <w:szCs w:val="22"/>
              </w:rPr>
            </w:r>
          </w:p>
        </w:tc>
        <w:tc>
          <w:tcPr>
            <w:tcW w:w="746" w:type="dxa"/>
            <w:tcBorders/>
            <w:vAlign w:val="center"/>
          </w:tcPr>
          <w:p>
            <w:pPr>
              <w:pStyle w:val="Normal"/>
              <w:bidi w:val="0"/>
              <w:spacing w:before="120" w:after="120"/>
              <w:jc w:val="left"/>
              <w:rPr>
                <w:sz w:val="22"/>
                <w:szCs w:val="22"/>
              </w:rPr>
            </w:pPr>
            <w:r>
              <w:rPr>
                <w:rFonts w:ascii="Liberation Sans" w:hAnsi="Liberation Sans"/>
                <w:b w:val="false"/>
                <w:i w:val="false"/>
                <w:strike w:val="false"/>
                <w:dstrike w:val="false"/>
                <w:outline w:val="false"/>
                <w:shadow w:val="false"/>
                <w:sz w:val="22"/>
                <w:szCs w:val="22"/>
                <w:u w:val="none"/>
                <w:em w:val="none"/>
              </w:rPr>
              <w:t>Risultato</w:t>
            </w:r>
          </w:p>
          <w:p>
            <w:pPr>
              <w:pStyle w:val="Normal"/>
              <w:spacing w:before="120" w:after="120"/>
              <w:ind w:hanging="0" w:left="0" w:right="0"/>
              <w:jc w:val="center"/>
              <w:rPr>
                <w:sz w:val="22"/>
                <w:szCs w:val="22"/>
              </w:rPr>
            </w:pPr>
            <w:r>
              <w:rPr>
                <w:sz w:val="22"/>
                <w:szCs w:val="22"/>
              </w:rPr>
            </w:r>
          </w:p>
        </w:tc>
        <w:tc>
          <w:tcPr>
            <w:tcW w:w="1462" w:type="dxa"/>
            <w:tcBorders/>
            <w:vAlign w:val="center"/>
          </w:tcPr>
          <w:p>
            <w:pPr>
              <w:pStyle w:val="Normal"/>
              <w:bidi w:val="0"/>
              <w:spacing w:before="120" w:after="120"/>
              <w:jc w:val="left"/>
              <w:rPr>
                <w:sz w:val="22"/>
                <w:szCs w:val="22"/>
              </w:rPr>
            </w:pPr>
            <w:r>
              <w:rPr>
                <w:rFonts w:ascii="Liberation Sans" w:hAnsi="Liberation Sans"/>
                <w:b w:val="false"/>
                <w:i w:val="false"/>
                <w:strike w:val="false"/>
                <w:dstrike w:val="false"/>
                <w:outline w:val="false"/>
                <w:shadow w:val="false"/>
                <w:sz w:val="22"/>
                <w:szCs w:val="22"/>
                <w:u w:val="none"/>
                <w:em w:val="none"/>
              </w:rPr>
              <w:t>Punto Prelievo</w:t>
            </w:r>
          </w:p>
          <w:p>
            <w:pPr>
              <w:pStyle w:val="Normal"/>
              <w:spacing w:before="120" w:after="120"/>
              <w:ind w:hanging="0" w:left="0" w:right="0"/>
              <w:jc w:val="center"/>
              <w:rPr>
                <w:sz w:val="22"/>
                <w:szCs w:val="22"/>
              </w:rPr>
            </w:pPr>
            <w:r>
              <w:rPr>
                <w:sz w:val="22"/>
                <w:szCs w:val="22"/>
              </w:rPr>
            </w:r>
          </w:p>
        </w:tc>
      </w:tr>
      <w:tr>
        <w:trPr>
          <w:trHeight w:val="255" w:hRule="atLeast"/>
        </w:trPr>
        <w:tc>
          <w:tcPr>
            <w:tcW w:w="2414" w:type="dxa"/>
            <w:tcBorders/>
            <w:vAlign w:val="center"/>
          </w:tcPr>
          <w:p>
            <w:pPr>
              <w:pStyle w:val="TableContents"/>
              <w:spacing w:before="120" w:after="120"/>
              <w:jc w:val="left"/>
              <w:rPr/>
            </w:pPr>
            <w:r>
              <w:rPr/>
              <w:t>1/1/2023</w:t>
            </w:r>
          </w:p>
        </w:tc>
        <w:tc>
          <w:tcPr>
            <w:tcW w:w="1190" w:type="dxa"/>
            <w:tcBorders/>
            <w:vAlign w:val="center"/>
          </w:tcPr>
          <w:p>
            <w:pPr>
              <w:pStyle w:val="TableContents"/>
              <w:spacing w:before="120" w:after="120"/>
              <w:jc w:val="left"/>
              <w:rPr/>
            </w:pPr>
            <w:r>
              <w:rPr/>
              <w:t>FOGGIA</w:t>
            </w:r>
          </w:p>
        </w:tc>
        <w:tc>
          <w:tcPr>
            <w:tcW w:w="1207" w:type="dxa"/>
            <w:tcBorders/>
            <w:vAlign w:val="center"/>
          </w:tcPr>
          <w:p>
            <w:pPr>
              <w:pStyle w:val="TableContents"/>
              <w:spacing w:before="120" w:after="120"/>
              <w:jc w:val="left"/>
              <w:rPr/>
            </w:pPr>
            <w:r>
              <w:rPr/>
              <w:t>Foggia</w:t>
            </w:r>
          </w:p>
        </w:tc>
        <w:tc>
          <w:tcPr>
            <w:tcW w:w="1615" w:type="dxa"/>
            <w:tcBorders/>
            <w:vAlign w:val="center"/>
          </w:tcPr>
          <w:p>
            <w:pPr>
              <w:pStyle w:val="TableContents"/>
              <w:spacing w:before="120" w:after="120"/>
              <w:jc w:val="left"/>
              <w:rPr/>
            </w:pPr>
            <w:r>
              <w:rPr/>
              <w:t>Conta di Escherichia coli</w:t>
            </w:r>
          </w:p>
        </w:tc>
        <w:tc>
          <w:tcPr>
            <w:tcW w:w="1385" w:type="dxa"/>
            <w:tcBorders/>
            <w:vAlign w:val="center"/>
          </w:tcPr>
          <w:p>
            <w:pPr>
              <w:pStyle w:val="TableContents"/>
              <w:spacing w:before="120" w:after="120"/>
              <w:jc w:val="left"/>
              <w:rPr/>
            </w:pPr>
            <w:r>
              <w:rPr/>
              <w:t>Conta di Escherichia coli</w:t>
            </w:r>
          </w:p>
        </w:tc>
        <w:tc>
          <w:tcPr>
            <w:tcW w:w="746" w:type="dxa"/>
            <w:tcBorders/>
            <w:vAlign w:val="center"/>
          </w:tcPr>
          <w:p>
            <w:pPr>
              <w:pStyle w:val="TableContents"/>
              <w:spacing w:before="120" w:after="120"/>
              <w:jc w:val="right"/>
              <w:rPr/>
            </w:pPr>
            <w:r>
              <w:rPr/>
              <w:t>0</w:t>
            </w:r>
          </w:p>
        </w:tc>
        <w:tc>
          <w:tcPr>
            <w:tcW w:w="1462" w:type="dxa"/>
            <w:tcBorders/>
            <w:vAlign w:val="center"/>
          </w:tcPr>
          <w:p>
            <w:pPr>
              <w:pStyle w:val="TableContents"/>
              <w:spacing w:before="120" w:after="120"/>
              <w:jc w:val="left"/>
              <w:rPr/>
            </w:pPr>
            <w:r>
              <w:rPr/>
              <w:t>Corso del Mezzogiorno n 13</w:t>
            </w:r>
          </w:p>
        </w:tc>
      </w:tr>
      <w:tr>
        <w:trPr>
          <w:trHeight w:val="255" w:hRule="atLeast"/>
        </w:trPr>
        <w:tc>
          <w:tcPr>
            <w:tcW w:w="2414" w:type="dxa"/>
            <w:tcBorders/>
            <w:vAlign w:val="center"/>
          </w:tcPr>
          <w:p>
            <w:pPr>
              <w:pStyle w:val="TableContents"/>
              <w:spacing w:before="120" w:after="120"/>
              <w:jc w:val="left"/>
              <w:rPr/>
            </w:pPr>
            <w:r>
              <w:rPr/>
              <w:t>2/1/2023</w:t>
            </w:r>
          </w:p>
        </w:tc>
        <w:tc>
          <w:tcPr>
            <w:tcW w:w="1190" w:type="dxa"/>
            <w:tcBorders/>
            <w:vAlign w:val="center"/>
          </w:tcPr>
          <w:p>
            <w:pPr>
              <w:pStyle w:val="TableContents"/>
              <w:spacing w:before="120" w:after="120"/>
              <w:jc w:val="left"/>
              <w:rPr/>
            </w:pPr>
            <w:r>
              <w:rPr/>
              <w:t>FOGGIA</w:t>
            </w:r>
          </w:p>
        </w:tc>
        <w:tc>
          <w:tcPr>
            <w:tcW w:w="1207" w:type="dxa"/>
            <w:tcBorders/>
            <w:vAlign w:val="center"/>
          </w:tcPr>
          <w:p>
            <w:pPr>
              <w:pStyle w:val="TableContents"/>
              <w:spacing w:before="120" w:after="120"/>
              <w:jc w:val="left"/>
              <w:rPr/>
            </w:pPr>
            <w:r>
              <w:rPr/>
              <w:t>Foggia</w:t>
            </w:r>
          </w:p>
        </w:tc>
        <w:tc>
          <w:tcPr>
            <w:tcW w:w="1615" w:type="dxa"/>
            <w:tcBorders/>
            <w:vAlign w:val="center"/>
          </w:tcPr>
          <w:p>
            <w:pPr>
              <w:pStyle w:val="TableContents"/>
              <w:spacing w:before="120" w:after="120"/>
              <w:jc w:val="left"/>
              <w:rPr/>
            </w:pPr>
            <w:r>
              <w:rPr/>
              <w:t>Conta di Escherichia coli</w:t>
            </w:r>
          </w:p>
        </w:tc>
        <w:tc>
          <w:tcPr>
            <w:tcW w:w="1385" w:type="dxa"/>
            <w:tcBorders/>
            <w:vAlign w:val="center"/>
          </w:tcPr>
          <w:p>
            <w:pPr>
              <w:pStyle w:val="TableContents"/>
              <w:spacing w:before="120" w:after="120"/>
              <w:jc w:val="left"/>
              <w:rPr/>
            </w:pPr>
            <w:r>
              <w:rPr/>
              <w:t>Conta di Escherichia coli</w:t>
            </w:r>
          </w:p>
        </w:tc>
        <w:tc>
          <w:tcPr>
            <w:tcW w:w="746" w:type="dxa"/>
            <w:tcBorders/>
            <w:vAlign w:val="center"/>
          </w:tcPr>
          <w:p>
            <w:pPr>
              <w:pStyle w:val="TableContents"/>
              <w:spacing w:before="120" w:after="120"/>
              <w:jc w:val="right"/>
              <w:rPr/>
            </w:pPr>
            <w:r>
              <w:rPr/>
              <w:t>0</w:t>
            </w:r>
          </w:p>
        </w:tc>
        <w:tc>
          <w:tcPr>
            <w:tcW w:w="1462" w:type="dxa"/>
            <w:tcBorders/>
            <w:vAlign w:val="center"/>
          </w:tcPr>
          <w:p>
            <w:pPr>
              <w:pStyle w:val="TableContents"/>
              <w:spacing w:before="120" w:after="120"/>
              <w:jc w:val="left"/>
              <w:rPr/>
            </w:pPr>
            <w:r>
              <w:rPr/>
              <w:t>Rione Preti 23 RU</w:t>
            </w:r>
          </w:p>
        </w:tc>
      </w:tr>
      <w:tr>
        <w:trPr>
          <w:trHeight w:val="255" w:hRule="atLeast"/>
        </w:trPr>
        <w:tc>
          <w:tcPr>
            <w:tcW w:w="2414" w:type="dxa"/>
            <w:tcBorders/>
            <w:vAlign w:val="center"/>
          </w:tcPr>
          <w:p>
            <w:pPr>
              <w:pStyle w:val="TableContents"/>
              <w:spacing w:before="120" w:after="120"/>
              <w:jc w:val="left"/>
              <w:rPr/>
            </w:pPr>
            <w:r>
              <w:rPr/>
              <w:t>3/1/2023</w:t>
            </w:r>
          </w:p>
        </w:tc>
        <w:tc>
          <w:tcPr>
            <w:tcW w:w="1190" w:type="dxa"/>
            <w:tcBorders/>
            <w:vAlign w:val="center"/>
          </w:tcPr>
          <w:p>
            <w:pPr>
              <w:pStyle w:val="TableContents"/>
              <w:spacing w:before="120" w:after="120"/>
              <w:jc w:val="left"/>
              <w:rPr/>
            </w:pPr>
            <w:r>
              <w:rPr/>
              <w:t>FOGGIA</w:t>
            </w:r>
          </w:p>
        </w:tc>
        <w:tc>
          <w:tcPr>
            <w:tcW w:w="1207" w:type="dxa"/>
            <w:tcBorders/>
            <w:vAlign w:val="center"/>
          </w:tcPr>
          <w:p>
            <w:pPr>
              <w:pStyle w:val="TableContents"/>
              <w:spacing w:before="120" w:after="120"/>
              <w:jc w:val="left"/>
              <w:rPr/>
            </w:pPr>
            <w:r>
              <w:rPr/>
              <w:t>Foggia</w:t>
            </w:r>
          </w:p>
        </w:tc>
        <w:tc>
          <w:tcPr>
            <w:tcW w:w="1615" w:type="dxa"/>
            <w:tcBorders/>
            <w:vAlign w:val="center"/>
          </w:tcPr>
          <w:p>
            <w:pPr>
              <w:pStyle w:val="TableContents"/>
              <w:spacing w:before="120" w:after="120"/>
              <w:jc w:val="left"/>
              <w:rPr/>
            </w:pPr>
            <w:r>
              <w:rPr/>
              <w:t>Conta di Escherichia coli</w:t>
            </w:r>
          </w:p>
        </w:tc>
        <w:tc>
          <w:tcPr>
            <w:tcW w:w="1385" w:type="dxa"/>
            <w:tcBorders/>
            <w:vAlign w:val="center"/>
          </w:tcPr>
          <w:p>
            <w:pPr>
              <w:pStyle w:val="TableContents"/>
              <w:spacing w:before="120" w:after="120"/>
              <w:jc w:val="left"/>
              <w:rPr/>
            </w:pPr>
            <w:r>
              <w:rPr/>
              <w:t>Conta di Escherichia coli</w:t>
            </w:r>
          </w:p>
        </w:tc>
        <w:tc>
          <w:tcPr>
            <w:tcW w:w="746" w:type="dxa"/>
            <w:tcBorders/>
            <w:vAlign w:val="center"/>
          </w:tcPr>
          <w:p>
            <w:pPr>
              <w:pStyle w:val="TableContents"/>
              <w:spacing w:before="120" w:after="120"/>
              <w:jc w:val="right"/>
              <w:rPr/>
            </w:pPr>
            <w:r>
              <w:rPr/>
              <w:t>0</w:t>
            </w:r>
          </w:p>
        </w:tc>
        <w:tc>
          <w:tcPr>
            <w:tcW w:w="1462" w:type="dxa"/>
            <w:tcBorders/>
            <w:vAlign w:val="center"/>
          </w:tcPr>
          <w:p>
            <w:pPr>
              <w:pStyle w:val="TableContents"/>
              <w:spacing w:before="120" w:after="120"/>
              <w:jc w:val="left"/>
              <w:rPr/>
            </w:pPr>
            <w:r>
              <w:rPr/>
              <w:t>c/o Santuario Incoronata</w:t>
            </w:r>
          </w:p>
        </w:tc>
      </w:tr>
      <w:tr>
        <w:trPr>
          <w:trHeight w:val="255" w:hRule="atLeast"/>
        </w:trPr>
        <w:tc>
          <w:tcPr>
            <w:tcW w:w="2414" w:type="dxa"/>
            <w:tcBorders/>
            <w:vAlign w:val="center"/>
          </w:tcPr>
          <w:p>
            <w:pPr>
              <w:pStyle w:val="TableContents"/>
              <w:spacing w:before="120" w:after="120"/>
              <w:jc w:val="left"/>
              <w:rPr/>
            </w:pPr>
            <w:r>
              <w:rPr/>
              <w:t>4/1/2023</w:t>
            </w:r>
          </w:p>
        </w:tc>
        <w:tc>
          <w:tcPr>
            <w:tcW w:w="1190" w:type="dxa"/>
            <w:tcBorders/>
            <w:vAlign w:val="center"/>
          </w:tcPr>
          <w:p>
            <w:pPr>
              <w:pStyle w:val="TableContents"/>
              <w:spacing w:before="120" w:after="120"/>
              <w:jc w:val="left"/>
              <w:rPr/>
            </w:pPr>
            <w:r>
              <w:rPr/>
              <w:t>FOGGIA</w:t>
            </w:r>
          </w:p>
        </w:tc>
        <w:tc>
          <w:tcPr>
            <w:tcW w:w="1207" w:type="dxa"/>
            <w:tcBorders/>
            <w:vAlign w:val="center"/>
          </w:tcPr>
          <w:p>
            <w:pPr>
              <w:pStyle w:val="TableContents"/>
              <w:spacing w:before="120" w:after="120"/>
              <w:jc w:val="left"/>
              <w:rPr/>
            </w:pPr>
            <w:r>
              <w:rPr/>
              <w:t>Foggia</w:t>
            </w:r>
          </w:p>
        </w:tc>
        <w:tc>
          <w:tcPr>
            <w:tcW w:w="1615" w:type="dxa"/>
            <w:tcBorders/>
            <w:vAlign w:val="center"/>
          </w:tcPr>
          <w:p>
            <w:pPr>
              <w:pStyle w:val="TableContents"/>
              <w:spacing w:before="120" w:after="120"/>
              <w:jc w:val="left"/>
              <w:rPr/>
            </w:pPr>
            <w:r>
              <w:rPr/>
              <w:t>Conta di Escherichia coli</w:t>
            </w:r>
          </w:p>
        </w:tc>
        <w:tc>
          <w:tcPr>
            <w:tcW w:w="1385" w:type="dxa"/>
            <w:tcBorders/>
            <w:vAlign w:val="center"/>
          </w:tcPr>
          <w:p>
            <w:pPr>
              <w:pStyle w:val="TableContents"/>
              <w:spacing w:before="120" w:after="120"/>
              <w:jc w:val="left"/>
              <w:rPr/>
            </w:pPr>
            <w:r>
              <w:rPr/>
              <w:t>Conta di Escherichia coli</w:t>
            </w:r>
          </w:p>
        </w:tc>
        <w:tc>
          <w:tcPr>
            <w:tcW w:w="746" w:type="dxa"/>
            <w:tcBorders/>
            <w:vAlign w:val="center"/>
          </w:tcPr>
          <w:p>
            <w:pPr>
              <w:pStyle w:val="TableContents"/>
              <w:spacing w:before="120" w:after="120"/>
              <w:jc w:val="right"/>
              <w:rPr/>
            </w:pPr>
            <w:r>
              <w:rPr/>
              <w:t>0</w:t>
            </w:r>
          </w:p>
        </w:tc>
        <w:tc>
          <w:tcPr>
            <w:tcW w:w="1462" w:type="dxa"/>
            <w:tcBorders/>
            <w:vAlign w:val="center"/>
          </w:tcPr>
          <w:p>
            <w:pPr>
              <w:pStyle w:val="TableContents"/>
              <w:spacing w:before="120" w:after="120"/>
              <w:jc w:val="left"/>
              <w:rPr/>
            </w:pPr>
            <w:r>
              <w:rPr/>
              <w:t>viale degli aviatori "Brico"</w:t>
            </w:r>
          </w:p>
        </w:tc>
      </w:tr>
    </w:tbl>
    <w:p>
      <w:pPr>
        <w:pStyle w:val="Normal"/>
        <w:rPr>
          <w:rFonts w:ascii="Helvetica Neue;Helvetica;Arial;sans-serif" w:hAnsi="Helvetica Neue;Helvetica;Arial;sans-serif"/>
          <w:b w:val="false"/>
          <w:bCs w:val="false"/>
          <w:i w:val="false"/>
          <w:i w:val="false"/>
          <w:caps w:val="false"/>
          <w:smallCaps w:val="false"/>
          <w:color w:val="333333"/>
          <w:spacing w:val="0"/>
          <w:sz w:val="22"/>
          <w:szCs w:val="22"/>
        </w:rPr>
      </w:pPr>
      <w:r>
        <w:rPr>
          <w:rFonts w:ascii="Helvetica Neue;Helvetica;Arial;sans-serif" w:hAnsi="Helvetica Neue;Helvetica;Arial;sans-serif"/>
          <w:b w:val="false"/>
          <w:bCs w:val="false"/>
          <w:i w:val="false"/>
          <w:caps w:val="false"/>
          <w:smallCaps w:val="false"/>
          <w:color w:val="333333"/>
          <w:spacing w:val="0"/>
          <w:sz w:val="22"/>
          <w:szCs w:val="22"/>
        </w:rPr>
      </w:r>
    </w:p>
    <w:p>
      <w:pPr>
        <w:pStyle w:val="Normal"/>
        <w:rPr/>
      </w:pPr>
      <w:r>
        <w:rPr/>
      </w:r>
    </w:p>
    <w:p>
      <w:pPr>
        <w:pStyle w:val="Normal"/>
        <w:rPr/>
      </w:pPr>
      <w:r>
        <w:rPr/>
      </w:r>
    </w:p>
    <w:p>
      <w:pPr>
        <w:pStyle w:val="Normal"/>
        <w:rPr/>
      </w:pPr>
      <w:r>
        <w:rPr/>
      </w:r>
    </w:p>
    <w:p>
      <w:pPr>
        <w:pStyle w:val="Normal"/>
        <w:rPr/>
      </w:pPr>
      <w:r>
        <w:rPr/>
      </w:r>
    </w:p>
    <w:tbl>
      <w:tblPr>
        <w:tblStyle w:val="Grigliatabella"/>
        <w:tblW w:w="96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3972"/>
        <w:gridCol w:w="2551"/>
        <w:gridCol w:w="1440"/>
      </w:tblGrid>
      <w:tr>
        <w:trPr/>
        <w:tc>
          <w:tcPr>
            <w:tcW w:w="9657" w:type="dxa"/>
            <w:gridSpan w:val="4"/>
            <w:tcBorders/>
          </w:tcPr>
          <w:p>
            <w:pPr>
              <w:pStyle w:val="Normal"/>
              <w:widowControl/>
              <w:suppressAutoHyphens w:val="true"/>
              <w:spacing w:before="120" w:after="120"/>
              <w:jc w:val="center"/>
              <w:rPr>
                <w:sz w:val="22"/>
                <w:szCs w:val="22"/>
                <w:lang w:val="it-IT" w:bidi="ar-SA"/>
              </w:rPr>
            </w:pPr>
            <w:r>
              <w:rPr>
                <w:b/>
                <w:bCs/>
                <w:sz w:val="22"/>
                <w:szCs w:val="22"/>
                <w:lang w:val="it-IT" w:bidi="ar-SA"/>
              </w:rPr>
              <w:t>Dati Ambientali</w:t>
            </w:r>
          </w:p>
        </w:tc>
      </w:tr>
      <w:tr>
        <w:trPr/>
        <w:tc>
          <w:tcPr>
            <w:tcW w:w="1694" w:type="dxa"/>
            <w:tcBorders/>
          </w:tcPr>
          <w:p>
            <w:pPr>
              <w:pStyle w:val="Normal"/>
              <w:widowControl/>
              <w:suppressAutoHyphens w:val="true"/>
              <w:spacing w:before="120" w:after="120"/>
              <w:rPr>
                <w:sz w:val="22"/>
                <w:szCs w:val="22"/>
                <w:lang w:val="it-IT" w:bidi="ar-SA"/>
              </w:rPr>
            </w:pPr>
            <w:r>
              <w:rPr>
                <w:b/>
                <w:bCs/>
                <w:sz w:val="22"/>
                <w:szCs w:val="22"/>
                <w:lang w:val="it-IT" w:bidi="ar-SA"/>
              </w:rPr>
              <w:t>Tipo di dato Ambientale</w:t>
            </w:r>
          </w:p>
        </w:tc>
        <w:tc>
          <w:tcPr>
            <w:tcW w:w="3972" w:type="dxa"/>
            <w:tcBorders/>
          </w:tcPr>
          <w:p>
            <w:pPr>
              <w:pStyle w:val="Normal"/>
              <w:widowControl/>
              <w:suppressAutoHyphens w:val="true"/>
              <w:spacing w:before="120" w:after="120"/>
              <w:rPr>
                <w:b/>
                <w:bCs/>
              </w:rPr>
            </w:pPr>
            <w:r>
              <w:rPr>
                <w:b/>
                <w:bCs/>
                <w:sz w:val="22"/>
                <w:szCs w:val="22"/>
                <w:lang w:val="it-IT" w:bidi="ar-SA"/>
              </w:rPr>
              <w:t>Link/Dataset</w:t>
            </w:r>
          </w:p>
        </w:tc>
        <w:tc>
          <w:tcPr>
            <w:tcW w:w="2551" w:type="dxa"/>
            <w:tcBorders/>
          </w:tcPr>
          <w:p>
            <w:pPr>
              <w:pStyle w:val="Normal"/>
              <w:widowControl/>
              <w:suppressAutoHyphens w:val="true"/>
              <w:spacing w:before="120" w:after="120"/>
              <w:rPr>
                <w:b/>
                <w:bCs/>
              </w:rPr>
            </w:pPr>
            <w:r>
              <w:rPr>
                <w:b/>
                <w:bCs/>
                <w:sz w:val="22"/>
                <w:szCs w:val="22"/>
                <w:lang w:val="it-IT" w:bidi="ar-SA"/>
              </w:rPr>
              <w:t>Tipo di Granularità</w:t>
            </w:r>
          </w:p>
        </w:tc>
        <w:tc>
          <w:tcPr>
            <w:tcW w:w="1440" w:type="dxa"/>
            <w:tcBorders/>
          </w:tcPr>
          <w:p>
            <w:pPr>
              <w:pStyle w:val="Normal"/>
              <w:widowControl/>
              <w:suppressAutoHyphens w:val="true"/>
              <w:spacing w:before="120" w:after="120"/>
              <w:rPr>
                <w:b/>
                <w:bCs/>
              </w:rPr>
            </w:pPr>
            <w:r>
              <w:rPr>
                <w:b/>
                <w:bCs/>
                <w:sz w:val="22"/>
                <w:szCs w:val="22"/>
                <w:lang w:val="it-IT" w:bidi="ar-SA"/>
              </w:rPr>
              <w:t>Zona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Temperatura</w:t>
            </w:r>
          </w:p>
          <w:p>
            <w:pPr>
              <w:pStyle w:val="Normal"/>
              <w:widowControl/>
              <w:suppressAutoHyphens w:val="true"/>
              <w:spacing w:before="120" w:after="120"/>
              <w:rPr>
                <w:sz w:val="22"/>
                <w:szCs w:val="22"/>
                <w:lang w:val="it-IT" w:bidi="ar-SA"/>
              </w:rPr>
            </w:pPr>
            <w:r>
              <w:rPr>
                <w:sz w:val="22"/>
                <w:szCs w:val="22"/>
                <w:lang w:val="it-IT" w:bidi="ar-SA"/>
              </w:rPr>
              <w:t>(MAX, min, media)</w:t>
            </w:r>
          </w:p>
        </w:tc>
        <w:tc>
          <w:tcPr>
            <w:tcW w:w="3972" w:type="dxa"/>
            <w:tcBorders/>
          </w:tcPr>
          <w:p>
            <w:pPr>
              <w:pStyle w:val="Normal"/>
              <w:widowControl/>
              <w:suppressAutoHyphens w:val="true"/>
              <w:spacing w:before="120" w:after="120"/>
              <w:rPr>
                <w:sz w:val="22"/>
                <w:szCs w:val="22"/>
                <w:lang w:val="it-IT" w:bidi="ar-SA"/>
              </w:rPr>
            </w:pPr>
            <w:hyperlink r:id="rId28">
              <w:r>
                <w:rPr>
                  <w:rStyle w:val="Hyperlink"/>
                  <w:sz w:val="22"/>
                  <w:szCs w:val="22"/>
                  <w:lang w:val="it-IT" w:bidi="ar-SA"/>
                </w:rPr>
                <w:t>https://www.istat.it/tavole-di-dati/temperatura-e-precipitazione-nei-comuni-capoluogo-di-provincia-anno-2021-serie-storica-2006-2021-normale-climatologica-1981-2010/</w:t>
              </w:r>
            </w:hyperlink>
          </w:p>
          <w:p>
            <w:pPr>
              <w:pStyle w:val="Normal"/>
              <w:widowControl/>
              <w:suppressAutoHyphens w:val="true"/>
              <w:rPr>
                <w:sz w:val="22"/>
                <w:szCs w:val="22"/>
                <w:lang w:val="it-IT" w:bidi="ar-SA"/>
              </w:rPr>
            </w:pPr>
            <w:hyperlink r:id="rId29">
              <w:r>
                <w:rPr>
                  <w:rStyle w:val="Hyperlink"/>
                  <w:sz w:val="22"/>
                  <w:szCs w:val="22"/>
                  <w:lang w:val="it-IT" w:bidi="ar-SA"/>
                </w:rPr>
                <w:t>http://www.lineameteo.it/index.php?page=68</w:t>
              </w:r>
            </w:hyperlink>
          </w:p>
          <w:p>
            <w:pPr>
              <w:pStyle w:val="Normal"/>
              <w:widowControl/>
              <w:suppressAutoHyphens w:val="true"/>
              <w:rPr>
                <w:sz w:val="22"/>
                <w:szCs w:val="22"/>
                <w:lang w:val="it-IT" w:bidi="ar-SA"/>
              </w:rPr>
            </w:pPr>
            <w:hyperlink r:id="rId30">
              <w:r>
                <w:rPr>
                  <w:rStyle w:val="Hyperlink"/>
                  <w:sz w:val="22"/>
                  <w:szCs w:val="22"/>
                  <w:lang w:val="it-IT" w:bidi="ar-SA"/>
                </w:rPr>
                <w:t>https://www.ilmeteo.it/portale/archivio-meteo/</w:t>
              </w:r>
            </w:hyperlink>
          </w:p>
          <w:p>
            <w:pPr>
              <w:pStyle w:val="Normal"/>
              <w:widowControl/>
              <w:suppressAutoHyphens w:val="true"/>
              <w:spacing w:before="120" w:after="120"/>
              <w:rPr>
                <w:shd w:fill="FFFF00" w:val="clear"/>
              </w:rPr>
            </w:pPr>
            <w:hyperlink r:id="rId31">
              <w:r>
                <w:rPr>
                  <w:rStyle w:val="Hyperlink"/>
                  <w:sz w:val="22"/>
                  <w:szCs w:val="22"/>
                  <w:shd w:fill="FFFF00" w:val="clear"/>
                  <w:lang w:val="it-IT" w:bidi="ar-SA"/>
                </w:rPr>
                <w:t>https://agricoltura.regione.campania.it/meteo/archivio_meteo.html</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rPr>
                <w:sz w:val="22"/>
                <w:szCs w:val="22"/>
                <w:lang w:val="it-IT" w:bidi="ar-SA"/>
              </w:rPr>
            </w:pPr>
            <w:r>
              <w:rPr>
                <w:sz w:val="22"/>
                <w:szCs w:val="22"/>
                <w:lang w:val="it-IT" w:bidi="ar-SA"/>
              </w:rPr>
              <w:t>Media Annuale</w:t>
            </w:r>
          </w:p>
          <w:p>
            <w:pPr>
              <w:pStyle w:val="Normal"/>
              <w:widowControl/>
              <w:suppressAutoHyphens w:val="true"/>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rPr>
                <w:sz w:val="22"/>
                <w:szCs w:val="22"/>
                <w:lang w:val="it-IT" w:bidi="ar-SA"/>
              </w:rPr>
            </w:pPr>
            <w:r>
              <w:rPr>
                <w:sz w:val="22"/>
                <w:szCs w:val="22"/>
                <w:lang w:val="it-IT" w:bidi="ar-SA"/>
              </w:rPr>
              <w:t>Provincia</w:t>
            </w:r>
          </w:p>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Vento</w:t>
            </w:r>
          </w:p>
        </w:tc>
        <w:tc>
          <w:tcPr>
            <w:tcW w:w="3972" w:type="dxa"/>
            <w:tcBorders/>
          </w:tcPr>
          <w:p>
            <w:pPr>
              <w:pStyle w:val="Normal"/>
              <w:widowControl/>
              <w:suppressAutoHyphens w:val="true"/>
              <w:spacing w:before="120" w:after="120"/>
              <w:rPr>
                <w:sz w:val="22"/>
                <w:szCs w:val="22"/>
                <w:lang w:val="it-IT" w:bidi="ar-SA"/>
              </w:rPr>
            </w:pPr>
            <w:hyperlink r:id="rId32">
              <w:r>
                <w:rPr>
                  <w:rStyle w:val="Hyperlink"/>
                  <w:sz w:val="22"/>
                  <w:szCs w:val="22"/>
                  <w:lang w:val="it-IT" w:bidi="ar-SA"/>
                </w:rPr>
                <w:t>http://www.lineameteo.it/index.php?page=68</w:t>
              </w:r>
            </w:hyperlink>
          </w:p>
          <w:p>
            <w:pPr>
              <w:pStyle w:val="Normal"/>
              <w:widowControl/>
              <w:suppressAutoHyphens w:val="true"/>
              <w:rPr>
                <w:sz w:val="22"/>
                <w:szCs w:val="22"/>
                <w:lang w:val="it-IT" w:bidi="ar-SA"/>
              </w:rPr>
            </w:pPr>
            <w:hyperlink r:id="rId33">
              <w:r>
                <w:rPr>
                  <w:rStyle w:val="Hyperlink"/>
                  <w:sz w:val="22"/>
                  <w:szCs w:val="22"/>
                  <w:lang w:val="it-IT" w:bidi="ar-SA"/>
                </w:rPr>
                <w:t>https://www.ilmeteo.it/portale/archivio-meteo/</w:t>
              </w:r>
            </w:hyperlink>
          </w:p>
          <w:p>
            <w:pPr>
              <w:pStyle w:val="Normal"/>
              <w:widowControl/>
              <w:suppressAutoHyphens w:val="true"/>
              <w:spacing w:before="120" w:after="120"/>
              <w:rPr>
                <w:sz w:val="22"/>
                <w:szCs w:val="22"/>
                <w:lang w:val="it-IT" w:bidi="ar-SA"/>
              </w:rPr>
            </w:pPr>
            <w:hyperlink r:id="rId34">
              <w:r>
                <w:rPr>
                  <w:rStyle w:val="Hyperlink"/>
                  <w:sz w:val="22"/>
                  <w:szCs w:val="22"/>
                  <w:shd w:fill="FFFF00" w:val="clear"/>
                  <w:lang w:val="it-IT" w:bidi="ar-SA"/>
                </w:rPr>
                <w:t>https://agricoltura.regione.campania.it/meteo/archivio_meteo.html</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rPr>
                <w:sz w:val="22"/>
                <w:szCs w:val="22"/>
                <w:lang w:val="it-IT" w:bidi="ar-SA"/>
              </w:rPr>
            </w:pPr>
            <w:r>
              <w:rPr>
                <w:sz w:val="22"/>
                <w:szCs w:val="22"/>
                <w:lang w:val="it-IT" w:bidi="ar-SA"/>
              </w:rPr>
              <w:t>Provincia</w:t>
            </w:r>
          </w:p>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Radiazione Solare (UV)</w:t>
            </w:r>
          </w:p>
        </w:tc>
        <w:tc>
          <w:tcPr>
            <w:tcW w:w="3972" w:type="dxa"/>
            <w:tcBorders/>
          </w:tcPr>
          <w:p>
            <w:pPr>
              <w:pStyle w:val="Normal"/>
              <w:widowControl/>
              <w:suppressAutoHyphens w:val="true"/>
              <w:spacing w:before="120" w:after="120"/>
              <w:rPr>
                <w:sz w:val="22"/>
                <w:szCs w:val="22"/>
                <w:lang w:val="it-IT" w:bidi="ar-SA"/>
              </w:rPr>
            </w:pPr>
            <w:hyperlink r:id="rId35">
              <w:r>
                <w:rPr>
                  <w:rStyle w:val="Hyperlink"/>
                  <w:sz w:val="22"/>
                  <w:szCs w:val="22"/>
                  <w:lang w:val="it-IT" w:bidi="ar-SA"/>
                </w:rPr>
                <w:t>https://www.solaritaly.enea.it/TabelleRad/TabelleRadIt.php</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Umidità</w:t>
            </w:r>
          </w:p>
        </w:tc>
        <w:tc>
          <w:tcPr>
            <w:tcW w:w="3972" w:type="dxa"/>
            <w:tcBorders/>
          </w:tcPr>
          <w:p>
            <w:pPr>
              <w:pStyle w:val="Normal"/>
              <w:widowControl/>
              <w:suppressAutoHyphens w:val="true"/>
              <w:spacing w:before="120" w:after="120"/>
              <w:rPr>
                <w:sz w:val="22"/>
                <w:szCs w:val="22"/>
                <w:lang w:val="it-IT" w:bidi="ar-SA"/>
              </w:rPr>
            </w:pPr>
            <w:hyperlink r:id="rId36">
              <w:r>
                <w:rPr>
                  <w:rStyle w:val="Hyperlink"/>
                  <w:sz w:val="22"/>
                  <w:szCs w:val="22"/>
                  <w:lang w:val="it-IT" w:bidi="ar-SA"/>
                </w:rPr>
                <w:t>https://www.ilmeteo.it/portale/archivio-meteo/</w:t>
              </w:r>
            </w:hyperlink>
          </w:p>
          <w:p>
            <w:pPr>
              <w:pStyle w:val="Normal"/>
              <w:widowControl/>
              <w:suppressAutoHyphens w:val="true"/>
              <w:spacing w:before="120" w:after="120"/>
              <w:rPr>
                <w:shd w:fill="FFFF00" w:val="clear"/>
              </w:rPr>
            </w:pPr>
            <w:hyperlink r:id="rId37">
              <w:r>
                <w:rPr>
                  <w:rStyle w:val="Hyperlink"/>
                  <w:sz w:val="22"/>
                  <w:szCs w:val="22"/>
                  <w:shd w:fill="FFFF00" w:val="clear"/>
                  <w:lang w:val="it-IT" w:bidi="ar-SA"/>
                </w:rPr>
                <w:t>https://agricoltura.regione.campania.it/meteo/archivio_meteo.html</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Precipitazioni</w:t>
            </w:r>
          </w:p>
        </w:tc>
        <w:tc>
          <w:tcPr>
            <w:tcW w:w="3972" w:type="dxa"/>
            <w:tcBorders/>
          </w:tcPr>
          <w:p>
            <w:pPr>
              <w:pStyle w:val="Normal"/>
              <w:widowControl/>
              <w:suppressAutoHyphens w:val="true"/>
              <w:spacing w:before="120" w:after="120"/>
              <w:rPr>
                <w:sz w:val="22"/>
                <w:szCs w:val="22"/>
                <w:lang w:val="it-IT" w:bidi="ar-SA"/>
              </w:rPr>
            </w:pPr>
            <w:hyperlink r:id="rId38">
              <w:r>
                <w:rPr>
                  <w:rStyle w:val="Hyperlink"/>
                  <w:sz w:val="22"/>
                  <w:szCs w:val="22"/>
                  <w:lang w:val="it-IT" w:bidi="ar-SA"/>
                </w:rPr>
                <w:t>http://www.lineameteo.it/index.php?page=68</w:t>
              </w:r>
            </w:hyperlink>
          </w:p>
          <w:p>
            <w:pPr>
              <w:pStyle w:val="Normal"/>
              <w:widowControl/>
              <w:suppressAutoHyphens w:val="true"/>
              <w:rPr>
                <w:sz w:val="22"/>
                <w:szCs w:val="22"/>
                <w:lang w:val="it-IT" w:bidi="ar-SA"/>
              </w:rPr>
            </w:pPr>
            <w:hyperlink r:id="rId39">
              <w:r>
                <w:rPr>
                  <w:rStyle w:val="Hyperlink"/>
                  <w:sz w:val="22"/>
                  <w:szCs w:val="22"/>
                  <w:lang w:val="it-IT" w:bidi="ar-SA"/>
                </w:rPr>
                <w:t>https://www.ilmeteo.it/portale/archivio-meteo/</w:t>
              </w:r>
            </w:hyperlink>
          </w:p>
          <w:p>
            <w:pPr>
              <w:pStyle w:val="Normal"/>
              <w:widowControl/>
              <w:suppressAutoHyphens w:val="true"/>
              <w:spacing w:before="120" w:after="120"/>
              <w:rPr>
                <w:shd w:fill="FFFF00" w:val="clear"/>
              </w:rPr>
            </w:pPr>
            <w:hyperlink r:id="rId40">
              <w:r>
                <w:rPr>
                  <w:rStyle w:val="Hyperlink"/>
                  <w:sz w:val="22"/>
                  <w:szCs w:val="22"/>
                  <w:shd w:fill="FFFF00" w:val="clear"/>
                  <w:lang w:val="it-IT" w:bidi="ar-SA"/>
                </w:rPr>
                <w:t>https://agricoltura.regione.campania.it/meteo/archivio_meteo.html</w:t>
              </w:r>
            </w:hyperlink>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Pressione Atmosferica</w:t>
            </w:r>
          </w:p>
          <w:p>
            <w:pPr>
              <w:pStyle w:val="Normal"/>
              <w:widowControl/>
              <w:suppressAutoHyphens w:val="true"/>
              <w:spacing w:before="120" w:after="120"/>
              <w:rPr>
                <w:sz w:val="22"/>
                <w:szCs w:val="22"/>
                <w:lang w:val="it-IT" w:bidi="ar-SA"/>
              </w:rPr>
            </w:pPr>
            <w:r>
              <w:rPr>
                <w:sz w:val="22"/>
                <w:szCs w:val="22"/>
                <w:lang w:val="it-IT" w:bidi="ar-SA"/>
              </w:rPr>
              <w:t>(MAX, min)</w:t>
            </w:r>
          </w:p>
        </w:tc>
        <w:tc>
          <w:tcPr>
            <w:tcW w:w="3972" w:type="dxa"/>
            <w:tcBorders/>
          </w:tcPr>
          <w:p>
            <w:pPr>
              <w:pStyle w:val="Normal"/>
              <w:widowControl/>
              <w:suppressAutoHyphens w:val="true"/>
              <w:spacing w:before="120" w:after="120"/>
              <w:rPr>
                <w:sz w:val="22"/>
                <w:szCs w:val="22"/>
                <w:lang w:val="it-IT" w:bidi="ar-SA"/>
              </w:rPr>
            </w:pPr>
            <w:r>
              <w:rPr>
                <w:sz w:val="22"/>
                <w:szCs w:val="22"/>
                <w:lang w:val="it-IT" w:bidi="ar-SA"/>
              </w:rPr>
              <w:t>http://www.lineameteo.it/index.php?page=68</w:t>
            </w:r>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rFonts w:ascii="Calibri" w:hAnsi="Calibri"/>
                <w:sz w:val="22"/>
                <w:szCs w:val="22"/>
              </w:rPr>
            </w:pPr>
            <w:r>
              <w:rPr>
                <w:sz w:val="22"/>
                <w:szCs w:val="22"/>
                <w:lang w:val="it-IT" w:bidi="ar-SA"/>
              </w:rPr>
              <w:t xml:space="preserve">La quialita di </w:t>
            </w:r>
            <w:r>
              <w:rPr>
                <w:rFonts w:eastAsia="Calibri" w:cs="Calibri"/>
                <w:b w:val="false"/>
                <w:i w:val="false"/>
                <w:caps w:val="false"/>
                <w:smallCaps w:val="false"/>
                <w:color w:val="333333"/>
                <w:spacing w:val="0"/>
                <w:sz w:val="22"/>
                <w:szCs w:val="22"/>
                <w14:ligatures w14:val="none"/>
              </w:rPr>
              <w:t>acque consumo umano</w:t>
            </w:r>
          </w:p>
          <w:p>
            <w:pPr>
              <w:pStyle w:val="Normal"/>
              <w:widowControl/>
              <w:suppressAutoHyphens w:val="true"/>
              <w:spacing w:before="120" w:after="120"/>
              <w:rPr>
                <w:rFonts w:ascii="Calibri" w:hAnsi="Calibri"/>
                <w:sz w:val="22"/>
                <w:szCs w:val="22"/>
                <w:lang w:val="it-IT" w:bidi="ar-SA"/>
              </w:rPr>
            </w:pPr>
            <w:r>
              <w:rPr>
                <w:sz w:val="22"/>
                <w:szCs w:val="22"/>
                <w:lang w:val="it-IT" w:bidi="ar-SA"/>
              </w:rPr>
            </w:r>
          </w:p>
        </w:tc>
        <w:tc>
          <w:tcPr>
            <w:tcW w:w="3972" w:type="dxa"/>
            <w:tcBorders/>
          </w:tcPr>
          <w:p>
            <w:pPr>
              <w:pStyle w:val="Normal"/>
              <w:spacing w:before="120" w:after="120"/>
              <w:rPr>
                <w:sz w:val="22"/>
              </w:rPr>
            </w:pPr>
            <w:r>
              <w:rPr>
                <w:rStyle w:val="Hyperlink"/>
                <w:sz w:val="22"/>
              </w:rPr>
              <w:t>https://dati.arpacampania.it/de/dataset/monitoraggio-acque-consumo-umano#:~:text=%C3%84nderungsdatum%2016,dell%27Ambiente%20della%20Campania%20IPA%2FIVA%3A%20arlpa</w:t>
            </w:r>
          </w:p>
          <w:p>
            <w:pPr>
              <w:pStyle w:val="Normal"/>
              <w:spacing w:before="120" w:after="120"/>
              <w:rPr>
                <w:sz w:val="22"/>
              </w:rPr>
            </w:pPr>
            <w:r>
              <w:rPr>
                <w:rStyle w:val="Hyperlink"/>
                <w:sz w:val="22"/>
                <w:szCs w:val="22"/>
                <w:shd w:fill="FFFF00" w:val="clear"/>
                <w:lang w:val="it-IT" w:bidi="ar-SA"/>
              </w:rPr>
              <w:t>https://dati.puglia.it/ckan/dataset/dati-controlli-qualita-acque-destinate-al-consumo-umano/resource/755b7d20-65e7-426e-881a-862367aff91f</w:t>
            </w:r>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bl>
    <w:p>
      <w:pPr>
        <w:pStyle w:val="Normal"/>
        <w:rPr/>
      </w:pPr>
      <w:r>
        <w:rPr/>
      </w:r>
    </w:p>
    <w:p>
      <w:pPr>
        <w:pStyle w:val="Normal"/>
        <w:rPr/>
      </w:pPr>
      <w:r>
        <w:rPr/>
      </w:r>
    </w:p>
    <w:tbl>
      <w:tblPr>
        <w:tblStyle w:val="Grigliatabella"/>
        <w:tblW w:w="96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3972"/>
        <w:gridCol w:w="2551"/>
        <w:gridCol w:w="1440"/>
      </w:tblGrid>
      <w:tr>
        <w:trPr/>
        <w:tc>
          <w:tcPr>
            <w:tcW w:w="9657" w:type="dxa"/>
            <w:gridSpan w:val="4"/>
            <w:tcBorders/>
          </w:tcPr>
          <w:p>
            <w:pPr>
              <w:pStyle w:val="Normal"/>
              <w:widowControl/>
              <w:suppressAutoHyphens w:val="true"/>
              <w:spacing w:before="120" w:after="120"/>
              <w:jc w:val="center"/>
              <w:rPr>
                <w:b/>
                <w:bCs/>
              </w:rPr>
            </w:pPr>
            <w:r>
              <w:rPr>
                <w:b/>
                <w:bCs/>
                <w:sz w:val="22"/>
                <w:szCs w:val="22"/>
                <w:lang w:val="it-IT" w:bidi="ar-SA"/>
              </w:rPr>
              <w:t>Dati Antropici</w:t>
            </w:r>
          </w:p>
        </w:tc>
      </w:tr>
      <w:tr>
        <w:trPr/>
        <w:tc>
          <w:tcPr>
            <w:tcW w:w="1694" w:type="dxa"/>
            <w:tcBorders/>
          </w:tcPr>
          <w:p>
            <w:pPr>
              <w:pStyle w:val="Normal"/>
              <w:widowControl/>
              <w:suppressAutoHyphens w:val="true"/>
              <w:spacing w:before="120" w:after="120"/>
              <w:rPr>
                <w:sz w:val="22"/>
                <w:szCs w:val="22"/>
                <w:lang w:val="it-IT" w:bidi="ar-SA"/>
              </w:rPr>
            </w:pPr>
            <w:r>
              <w:rPr>
                <w:b/>
                <w:bCs/>
                <w:sz w:val="22"/>
                <w:szCs w:val="22"/>
                <w:lang w:val="it-IT" w:bidi="ar-SA"/>
              </w:rPr>
              <w:t>Tipo di dato Antropico</w:t>
            </w:r>
          </w:p>
        </w:tc>
        <w:tc>
          <w:tcPr>
            <w:tcW w:w="3972" w:type="dxa"/>
            <w:tcBorders/>
          </w:tcPr>
          <w:p>
            <w:pPr>
              <w:pStyle w:val="Normal"/>
              <w:widowControl/>
              <w:suppressAutoHyphens w:val="true"/>
              <w:spacing w:before="120" w:after="120"/>
              <w:rPr>
                <w:sz w:val="22"/>
                <w:szCs w:val="22"/>
                <w:lang w:val="it-IT" w:bidi="ar-SA"/>
              </w:rPr>
            </w:pPr>
            <w:r>
              <w:rPr>
                <w:b/>
                <w:bCs/>
                <w:sz w:val="22"/>
                <w:szCs w:val="22"/>
                <w:lang w:val="it-IT" w:bidi="ar-SA"/>
              </w:rPr>
              <w:t>Link/Dataset</w:t>
            </w:r>
          </w:p>
        </w:tc>
        <w:tc>
          <w:tcPr>
            <w:tcW w:w="2551" w:type="dxa"/>
            <w:tcBorders/>
          </w:tcPr>
          <w:p>
            <w:pPr>
              <w:pStyle w:val="Normal"/>
              <w:widowControl/>
              <w:suppressAutoHyphens w:val="true"/>
              <w:spacing w:before="120" w:after="120"/>
              <w:rPr>
                <w:sz w:val="22"/>
                <w:szCs w:val="22"/>
                <w:lang w:val="it-IT" w:bidi="ar-SA"/>
              </w:rPr>
            </w:pPr>
            <w:r>
              <w:rPr>
                <w:b/>
                <w:bCs/>
                <w:sz w:val="22"/>
                <w:szCs w:val="22"/>
                <w:lang w:val="it-IT" w:bidi="ar-SA"/>
              </w:rPr>
              <w:t>Tipo di Informazione</w:t>
            </w:r>
          </w:p>
        </w:tc>
        <w:tc>
          <w:tcPr>
            <w:tcW w:w="1440" w:type="dxa"/>
            <w:tcBorders/>
          </w:tcPr>
          <w:p>
            <w:pPr>
              <w:pStyle w:val="Normal"/>
              <w:widowControl/>
              <w:suppressAutoHyphens w:val="true"/>
              <w:spacing w:before="120" w:after="120"/>
              <w:rPr>
                <w:b/>
                <w:bCs/>
              </w:rPr>
            </w:pPr>
            <w:r>
              <w:rPr>
                <w:b/>
                <w:bCs/>
                <w:sz w:val="22"/>
                <w:szCs w:val="22"/>
                <w:lang w:val="it-IT" w:bidi="ar-SA"/>
              </w:rPr>
              <w:t>Zona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Presenza di Miniere</w:t>
            </w:r>
          </w:p>
        </w:tc>
        <w:tc>
          <w:tcPr>
            <w:tcW w:w="3972" w:type="dxa"/>
            <w:tcBorders/>
          </w:tcPr>
          <w:p>
            <w:pPr>
              <w:pStyle w:val="Normal"/>
              <w:widowControl/>
              <w:suppressAutoHyphens w:val="true"/>
              <w:spacing w:before="120" w:after="120"/>
              <w:rPr>
                <w:shd w:fill="FFFF00" w:val="clear"/>
              </w:rPr>
            </w:pPr>
            <w:r>
              <w:fldChar w:fldCharType="begin"/>
            </w:r>
            <w:r>
              <w:rPr>
                <w:rStyle w:val="Hyperlink"/>
                <w:sz w:val="22"/>
                <w:shd w:fill="FFFF00" w:val="clear"/>
                <w:szCs w:val="22"/>
                <w:lang w:val="it-IT" w:bidi="ar-SA"/>
              </w:rPr>
              <w:instrText xml:space="preserve"> HYPERLINK "https://sinacloud.isprambiente.it/portal/apps/sites/" \l "/miniere"</w:instrText>
            </w:r>
            <w:r>
              <w:rPr>
                <w:rStyle w:val="Hyperlink"/>
                <w:sz w:val="22"/>
                <w:shd w:fill="FFFF00" w:val="clear"/>
                <w:szCs w:val="22"/>
                <w:lang w:val="it-IT" w:bidi="ar-SA"/>
              </w:rPr>
              <w:fldChar w:fldCharType="separate"/>
            </w:r>
            <w:r>
              <w:rPr>
                <w:rStyle w:val="Hyperlink"/>
                <w:sz w:val="22"/>
                <w:szCs w:val="22"/>
                <w:shd w:fill="FFFF00" w:val="clear"/>
                <w:lang w:val="it-IT" w:bidi="ar-SA"/>
              </w:rPr>
              <w:t>https://sinacloud.isprambiente.it/portal/apps/sites/#/miniere</w:t>
            </w:r>
            <w:r>
              <w:rPr>
                <w:rStyle w:val="Hyperlink"/>
                <w:sz w:val="22"/>
                <w:shd w:fill="FFFF00" w:val="clear"/>
                <w:szCs w:val="22"/>
                <w:lang w:val="it-IT" w:bidi="ar-SA"/>
              </w:rPr>
              <w:fldChar w:fldCharType="end"/>
            </w:r>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Si/No</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Comune</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Presenza industrie (cementificio, ecc…)</w:t>
            </w:r>
          </w:p>
        </w:tc>
        <w:tc>
          <w:tcPr>
            <w:tcW w:w="3972" w:type="dxa"/>
            <w:tcBorders/>
          </w:tcPr>
          <w:p>
            <w:pPr>
              <w:pStyle w:val="Normal"/>
              <w:widowControl/>
              <w:suppressAutoHyphens w:val="true"/>
              <w:spacing w:before="120" w:after="120"/>
              <w:rPr>
                <w:shd w:fill="FFFF00" w:val="clear"/>
              </w:rPr>
            </w:pPr>
            <w:r>
              <w:fldChar w:fldCharType="begin"/>
            </w:r>
            <w:r>
              <w:rPr>
                <w:rStyle w:val="Hyperlink"/>
                <w:sz w:val="22"/>
                <w:shd w:fill="FFFF00" w:val="clear"/>
                <w:szCs w:val="22"/>
                <w:lang w:val="it-IT" w:bidi="ar-SA"/>
              </w:rPr>
              <w:instrText xml:space="preserve"> HYPERLINK "https://dati.arpacampania.it/dataset/agenti-fisici-cem-controlli" \l ":~:text=*%20%20Controlli"</w:instrText>
            </w:r>
            <w:r>
              <w:rPr>
                <w:rStyle w:val="Hyperlink"/>
                <w:sz w:val="22"/>
                <w:shd w:fill="FFFF00" w:val="clear"/>
                <w:szCs w:val="22"/>
                <w:lang w:val="it-IT" w:bidi="ar-SA"/>
              </w:rPr>
              <w:fldChar w:fldCharType="separate"/>
            </w:r>
            <w:r>
              <w:rPr>
                <w:rStyle w:val="Hyperlink"/>
                <w:sz w:val="22"/>
                <w:szCs w:val="22"/>
                <w:shd w:fill="FFFF00" w:val="clear"/>
                <w:lang w:val="it-IT" w:bidi="ar-SA"/>
              </w:rPr>
              <w:t>https://dati.arpacampania.it/dataset/agenti-fisici-cem-controlli#:~:text=%2A%20%20Controlli</w:t>
            </w:r>
            <w:r>
              <w:rPr>
                <w:rStyle w:val="Hyperlink"/>
                <w:sz w:val="22"/>
                <w:shd w:fill="FFFF00" w:val="clear"/>
                <w:szCs w:val="22"/>
                <w:lang w:val="it-IT" w:bidi="ar-SA"/>
              </w:rPr>
              <w:fldChar w:fldCharType="end"/>
            </w:r>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Si/No</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Comune</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Tipo di zona</w:t>
            </w:r>
          </w:p>
        </w:tc>
        <w:tc>
          <w:tcPr>
            <w:tcW w:w="3972"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2551" w:type="dxa"/>
            <w:tcBorders/>
          </w:tcPr>
          <w:p>
            <w:pPr>
              <w:pStyle w:val="Normal"/>
              <w:widowControl/>
              <w:suppressAutoHyphens w:val="true"/>
              <w:spacing w:before="120" w:after="120"/>
              <w:rPr>
                <w:sz w:val="22"/>
                <w:szCs w:val="22"/>
                <w:lang w:val="it-IT" w:bidi="ar-SA"/>
              </w:rPr>
            </w:pPr>
            <w:r>
              <w:rPr>
                <w:sz w:val="22"/>
                <w:szCs w:val="22"/>
                <w:lang w:val="it-IT" w:bidi="ar-SA"/>
              </w:rPr>
              <w:t>Urbana</w:t>
            </w:r>
          </w:p>
          <w:p>
            <w:pPr>
              <w:pStyle w:val="Normal"/>
              <w:widowControl/>
              <w:suppressAutoHyphens w:val="true"/>
              <w:rPr>
                <w:sz w:val="22"/>
                <w:szCs w:val="22"/>
                <w:lang w:val="it-IT" w:bidi="ar-SA"/>
              </w:rPr>
            </w:pPr>
            <w:r>
              <w:rPr>
                <w:sz w:val="22"/>
                <w:szCs w:val="22"/>
                <w:lang w:val="it-IT" w:bidi="ar-SA"/>
              </w:rPr>
              <w:t>Paludosa</w:t>
            </w:r>
          </w:p>
          <w:p>
            <w:pPr>
              <w:pStyle w:val="Normal"/>
              <w:widowControl/>
              <w:suppressAutoHyphens w:val="true"/>
              <w:rPr>
                <w:sz w:val="22"/>
                <w:szCs w:val="22"/>
                <w:lang w:val="it-IT" w:bidi="ar-SA"/>
              </w:rPr>
            </w:pPr>
            <w:r>
              <w:rPr>
                <w:sz w:val="22"/>
                <w:szCs w:val="22"/>
                <w:lang w:val="it-IT" w:bidi="ar-SA"/>
              </w:rPr>
              <w:t>Pascolo/Allevamento</w:t>
            </w:r>
          </w:p>
          <w:p>
            <w:pPr>
              <w:pStyle w:val="Normal"/>
              <w:widowControl/>
              <w:suppressAutoHyphens w:val="true"/>
              <w:spacing w:before="120" w:after="120"/>
              <w:rPr>
                <w:sz w:val="22"/>
                <w:szCs w:val="22"/>
                <w:lang w:val="it-IT" w:bidi="ar-SA"/>
              </w:rPr>
            </w:pPr>
            <w:r>
              <w:rPr>
                <w:sz w:val="22"/>
                <w:szCs w:val="22"/>
                <w:lang w:val="it-IT" w:bidi="ar-SA"/>
              </w:rPr>
              <w:t>Agricola</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Comune</w:t>
            </w:r>
          </w:p>
        </w:tc>
      </w:tr>
    </w:tbl>
    <w:p>
      <w:pPr>
        <w:pStyle w:val="Normal"/>
        <w:rPr/>
      </w:pPr>
      <w:r>
        <w:rPr/>
      </w:r>
    </w:p>
    <w:p>
      <w:pPr>
        <w:pStyle w:val="Normal"/>
        <w:rPr/>
      </w:pPr>
      <w:r>
        <w:rPr/>
      </w:r>
    </w:p>
    <w:p>
      <w:pPr>
        <w:pStyle w:val="Heading3"/>
        <w:rPr/>
      </w:pPr>
      <w:r>
        <w:rPr/>
        <w:t>Data Source Model</w:t>
      </w:r>
    </w:p>
    <w:p>
      <w:pPr>
        <w:pStyle w:val="Heading3"/>
        <w:rPr>
          <w:b/>
          <w:bCs/>
          <w:sz w:val="22"/>
          <w:szCs w:val="22"/>
          <w:lang w:val="it-IT" w:bidi="ar-SA"/>
        </w:rPr>
      </w:pPr>
      <w:r>
        <w:rPr>
          <w:b/>
          <w:bCs/>
          <w:sz w:val="22"/>
          <w:szCs w:val="22"/>
          <w:lang w:val="it-IT" w:bidi="ar-SA"/>
        </w:rPr>
        <w:t>Dati Ambientali</w:t>
      </w:r>
    </w:p>
    <w:p>
      <w:pPr>
        <w:pStyle w:val="Normal"/>
        <w:rPr/>
      </w:pPr>
      <w:hyperlink r:id="rId41">
        <w:r>
          <w:rPr>
            <w:rStyle w:val="Hyperlink"/>
          </w:rPr>
          <w:t>https://agricoltura.regione.campania.it/meteo/archivio_meteo.html</w:t>
        </w:r>
      </w:hyperlink>
    </w:p>
    <w:p>
      <w:pPr>
        <w:pStyle w:val="Normal"/>
        <w:rPr/>
      </w:pPr>
      <w:r>
        <w:rPr>
          <w:rStyle w:val="Hyperlink"/>
          <w:rFonts w:ascii="Helvetica Neue;Helvetica;Arial;sans-serif" w:hAnsi="Helvetica Neue;Helvetica;Arial;sans-serif"/>
          <w:b w:val="false"/>
          <w:i w:val="false"/>
          <w:caps w:val="false"/>
          <w:smallCaps w:val="false"/>
          <w:color w:val="113845"/>
          <w:spacing w:val="0"/>
          <w:sz w:val="21"/>
          <w:u w:val="single"/>
          <w:shd w:fill="FFFFFF" w:val="clear"/>
        </w:rPr>
        <w:t>Giornaliero</w:t>
      </w:r>
    </w:p>
    <w:tbl>
      <w:tblPr>
        <w:tblW w:w="8974" w:type="dxa"/>
        <w:jc w:val="left"/>
        <w:tblInd w:w="0" w:type="dxa"/>
        <w:tblLayout w:type="fixed"/>
        <w:tblCellMar>
          <w:top w:w="0" w:type="dxa"/>
          <w:left w:w="30" w:type="dxa"/>
          <w:bottom w:w="0" w:type="dxa"/>
          <w:right w:w="30" w:type="dxa"/>
        </w:tblCellMar>
      </w:tblPr>
      <w:tblGrid>
        <w:gridCol w:w="1869"/>
        <w:gridCol w:w="1015"/>
        <w:gridCol w:w="1015"/>
        <w:gridCol w:w="1015"/>
        <w:gridCol w:w="1016"/>
        <w:gridCol w:w="1014"/>
        <w:gridCol w:w="1015"/>
        <w:gridCol w:w="1014"/>
      </w:tblGrid>
      <w:tr>
        <w:trPr>
          <w:trHeight w:val="1597" w:hRule="atLeast"/>
        </w:trPr>
        <w:tc>
          <w:tcPr>
            <w:tcW w:w="1869" w:type="dxa"/>
            <w:tcBorders/>
            <w:vAlign w:val="center"/>
          </w:tcPr>
          <w:p>
            <w:pPr>
              <w:pStyle w:val="Normal"/>
              <w:tabs>
                <w:tab w:val="clear" w:pos="708"/>
              </w:tabs>
              <w:spacing w:before="120" w:after="120"/>
              <w:jc w:val="center"/>
              <w:rPr/>
            </w:pPr>
            <w:r>
              <w:rPr>
                <w:rFonts w:ascii="Arial" w:hAnsi="Arial"/>
              </w:rPr>
              <w:t>Data</w:t>
            </w:r>
          </w:p>
        </w:tc>
        <w:tc>
          <w:tcPr>
            <w:tcW w:w="1015" w:type="dxa"/>
            <w:tcBorders/>
            <w:vAlign w:val="center"/>
          </w:tcPr>
          <w:p>
            <w:pPr>
              <w:pStyle w:val="Normal"/>
              <w:tabs>
                <w:tab w:val="clear" w:pos="708"/>
              </w:tabs>
              <w:spacing w:before="120" w:after="120"/>
              <w:jc w:val="center"/>
              <w:rPr/>
            </w:pPr>
            <w:r>
              <w:rPr>
                <w:rFonts w:ascii="Arial" w:hAnsi="Arial"/>
              </w:rPr>
              <w:t>Acerra 26 - Bagnatura fogliare - Min (min)</w:t>
            </w:r>
          </w:p>
        </w:tc>
        <w:tc>
          <w:tcPr>
            <w:tcW w:w="1015" w:type="dxa"/>
            <w:tcBorders/>
            <w:vAlign w:val="center"/>
          </w:tcPr>
          <w:p>
            <w:pPr>
              <w:pStyle w:val="Normal"/>
              <w:tabs>
                <w:tab w:val="clear" w:pos="708"/>
              </w:tabs>
              <w:spacing w:before="120" w:after="120"/>
              <w:jc w:val="center"/>
              <w:rPr/>
            </w:pPr>
            <w:r>
              <w:rPr>
                <w:rFonts w:ascii="Arial" w:hAnsi="Arial"/>
              </w:rPr>
              <w:t>Acerra 26 - Bagnatura fogliare - Max (min)</w:t>
            </w:r>
          </w:p>
        </w:tc>
        <w:tc>
          <w:tcPr>
            <w:tcW w:w="1015" w:type="dxa"/>
            <w:tcBorders/>
            <w:vAlign w:val="center"/>
          </w:tcPr>
          <w:p>
            <w:pPr>
              <w:pStyle w:val="Normal"/>
              <w:tabs>
                <w:tab w:val="clear" w:pos="708"/>
              </w:tabs>
              <w:spacing w:before="120" w:after="120"/>
              <w:jc w:val="center"/>
              <w:rPr/>
            </w:pPr>
            <w:r>
              <w:rPr>
                <w:rFonts w:ascii="Arial" w:hAnsi="Arial"/>
              </w:rPr>
              <w:t>Acerra 26 - Bagnatura Fogliare - Grezzo (min)</w:t>
            </w:r>
          </w:p>
        </w:tc>
        <w:tc>
          <w:tcPr>
            <w:tcW w:w="1016" w:type="dxa"/>
            <w:tcBorders/>
            <w:vAlign w:val="center"/>
          </w:tcPr>
          <w:p>
            <w:pPr>
              <w:pStyle w:val="Normal"/>
              <w:tabs>
                <w:tab w:val="clear" w:pos="708"/>
              </w:tabs>
              <w:spacing w:before="120" w:after="120"/>
              <w:jc w:val="center"/>
              <w:rPr/>
            </w:pPr>
            <w:r>
              <w:rPr>
                <w:rFonts w:ascii="Arial" w:hAnsi="Arial"/>
              </w:rPr>
              <w:t>Acerra 26 - Direzione vento - Min (°N)</w:t>
            </w:r>
          </w:p>
        </w:tc>
        <w:tc>
          <w:tcPr>
            <w:tcW w:w="1014" w:type="dxa"/>
            <w:tcBorders/>
            <w:vAlign w:val="center"/>
          </w:tcPr>
          <w:p>
            <w:pPr>
              <w:pStyle w:val="Normal"/>
              <w:tabs>
                <w:tab w:val="clear" w:pos="708"/>
              </w:tabs>
              <w:spacing w:before="120" w:after="120"/>
              <w:jc w:val="center"/>
              <w:rPr/>
            </w:pPr>
            <w:r>
              <w:rPr>
                <w:rFonts w:ascii="Arial" w:hAnsi="Arial"/>
              </w:rPr>
              <w:t>Acerra 26 - Direzione vento - Max (°N)</w:t>
            </w:r>
          </w:p>
        </w:tc>
        <w:tc>
          <w:tcPr>
            <w:tcW w:w="1015" w:type="dxa"/>
            <w:tcBorders/>
            <w:vAlign w:val="center"/>
          </w:tcPr>
          <w:p>
            <w:pPr>
              <w:pStyle w:val="Normal"/>
              <w:tabs>
                <w:tab w:val="clear" w:pos="708"/>
              </w:tabs>
              <w:spacing w:before="120" w:after="120"/>
              <w:jc w:val="center"/>
              <w:rPr/>
            </w:pPr>
            <w:r>
              <w:rPr>
                <w:rFonts w:ascii="Arial" w:hAnsi="Arial"/>
              </w:rPr>
              <w:t>Acerra 26 - Direzione vento - Grezzo (°N)</w:t>
            </w:r>
          </w:p>
        </w:tc>
        <w:tc>
          <w:tcPr>
            <w:tcW w:w="1014" w:type="dxa"/>
            <w:tcBorders/>
            <w:vAlign w:val="center"/>
          </w:tcPr>
          <w:p>
            <w:pPr>
              <w:pStyle w:val="Normal"/>
              <w:tabs>
                <w:tab w:val="clear" w:pos="708"/>
              </w:tabs>
              <w:spacing w:before="120" w:after="120"/>
              <w:jc w:val="center"/>
              <w:rPr/>
            </w:pPr>
            <w:r>
              <w:rPr>
                <w:rFonts w:ascii="Arial" w:hAnsi="Arial"/>
              </w:rPr>
              <w:t>Acerra 26 - Precipitazione- Min (mm)</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1/1/2025</w:t>
            </w:r>
          </w:p>
        </w:tc>
        <w:tc>
          <w:tcPr>
            <w:tcW w:w="1015" w:type="dxa"/>
            <w:tcBorders/>
            <w:vAlign w:val="center"/>
          </w:tcPr>
          <w:p>
            <w:pPr>
              <w:pStyle w:val="Normal"/>
              <w:tabs>
                <w:tab w:val="clear" w:pos="708"/>
              </w:tabs>
              <w:spacing w:before="120" w:after="120"/>
              <w:jc w:val="center"/>
              <w:rPr/>
            </w:pPr>
            <w:r>
              <w:rPr>
                <w:rFonts w:ascii="Arial" w:hAnsi="Arial"/>
              </w:rPr>
              <w:t>0.0</w:t>
            </w:r>
          </w:p>
        </w:tc>
        <w:tc>
          <w:tcPr>
            <w:tcW w:w="1015" w:type="dxa"/>
            <w:tcBorders/>
            <w:vAlign w:val="center"/>
          </w:tcPr>
          <w:p>
            <w:pPr>
              <w:pStyle w:val="Normal"/>
              <w:tabs>
                <w:tab w:val="clear" w:pos="708"/>
              </w:tabs>
              <w:spacing w:before="120" w:after="120"/>
              <w:jc w:val="center"/>
              <w:rPr/>
            </w:pPr>
            <w:r>
              <w:rPr>
                <w:rFonts w:ascii="Arial" w:hAnsi="Arial"/>
              </w:rPr>
              <w:t>10.0</w:t>
            </w:r>
          </w:p>
        </w:tc>
        <w:tc>
          <w:tcPr>
            <w:tcW w:w="1015" w:type="dxa"/>
            <w:tcBorders/>
            <w:vAlign w:val="center"/>
          </w:tcPr>
          <w:p>
            <w:pPr>
              <w:pStyle w:val="Normal"/>
              <w:tabs>
                <w:tab w:val="clear" w:pos="708"/>
              </w:tabs>
              <w:spacing w:before="120" w:after="120"/>
              <w:jc w:val="center"/>
              <w:rPr/>
            </w:pPr>
            <w:r>
              <w:rPr>
                <w:rFonts w:ascii="Arial" w:hAnsi="Arial"/>
              </w:rPr>
              <w:t>1,026.0</w:t>
            </w:r>
          </w:p>
        </w:tc>
        <w:tc>
          <w:tcPr>
            <w:tcW w:w="1016" w:type="dxa"/>
            <w:tcBorders/>
            <w:vAlign w:val="center"/>
          </w:tcPr>
          <w:p>
            <w:pPr>
              <w:pStyle w:val="Normal"/>
              <w:tabs>
                <w:tab w:val="clear" w:pos="708"/>
              </w:tabs>
              <w:spacing w:before="120" w:after="120"/>
              <w:jc w:val="center"/>
              <w:rPr/>
            </w:pPr>
            <w:r>
              <w:rPr>
                <w:rFonts w:ascii="Arial" w:hAnsi="Arial"/>
              </w:rPr>
              <w:t>100.0</w:t>
            </w:r>
          </w:p>
        </w:tc>
        <w:tc>
          <w:tcPr>
            <w:tcW w:w="1014" w:type="dxa"/>
            <w:tcBorders/>
            <w:vAlign w:val="center"/>
          </w:tcPr>
          <w:p>
            <w:pPr>
              <w:pStyle w:val="Normal"/>
              <w:tabs>
                <w:tab w:val="clear" w:pos="708"/>
              </w:tabs>
              <w:spacing w:before="120" w:after="120"/>
              <w:jc w:val="center"/>
              <w:rPr/>
            </w:pPr>
            <w:r>
              <w:rPr>
                <w:rFonts w:ascii="Arial" w:hAnsi="Arial"/>
              </w:rPr>
              <w:t>100.0</w:t>
            </w:r>
          </w:p>
        </w:tc>
        <w:tc>
          <w:tcPr>
            <w:tcW w:w="1015" w:type="dxa"/>
            <w:tcBorders/>
            <w:vAlign w:val="center"/>
          </w:tcPr>
          <w:p>
            <w:pPr>
              <w:pStyle w:val="Normal"/>
              <w:tabs>
                <w:tab w:val="clear" w:pos="708"/>
              </w:tabs>
              <w:spacing w:before="120" w:after="120"/>
              <w:jc w:val="center"/>
              <w:rPr/>
            </w:pPr>
            <w:r>
              <w:rPr>
                <w:rFonts w:ascii="Arial" w:hAnsi="Arial"/>
              </w:rPr>
              <w:t>100.0</w:t>
            </w:r>
          </w:p>
        </w:tc>
        <w:tc>
          <w:tcPr>
            <w:tcW w:w="1014" w:type="dxa"/>
            <w:tcBorders/>
            <w:vAlign w:val="center"/>
          </w:tcPr>
          <w:p>
            <w:pPr>
              <w:pStyle w:val="Normal"/>
              <w:tabs>
                <w:tab w:val="clear" w:pos="708"/>
              </w:tabs>
              <w:spacing w:before="120" w:after="120"/>
              <w:jc w:val="center"/>
              <w:rPr/>
            </w:pPr>
            <w:r>
              <w:rPr>
                <w:rFonts w:ascii="Arial" w:hAnsi="Arial"/>
              </w:rPr>
              <w:t>0.0</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1/2/2025</w:t>
            </w:r>
          </w:p>
        </w:tc>
        <w:tc>
          <w:tcPr>
            <w:tcW w:w="1015" w:type="dxa"/>
            <w:tcBorders/>
            <w:vAlign w:val="center"/>
          </w:tcPr>
          <w:p>
            <w:pPr>
              <w:pStyle w:val="Normal"/>
              <w:tabs>
                <w:tab w:val="clear" w:pos="708"/>
              </w:tabs>
              <w:spacing w:before="120" w:after="120"/>
              <w:jc w:val="center"/>
              <w:rPr/>
            </w:pPr>
            <w:r>
              <w:rPr>
                <w:rFonts w:ascii="Arial" w:hAnsi="Arial"/>
              </w:rPr>
              <w:t>0.0</w:t>
            </w:r>
          </w:p>
        </w:tc>
        <w:tc>
          <w:tcPr>
            <w:tcW w:w="1015" w:type="dxa"/>
            <w:tcBorders/>
            <w:vAlign w:val="center"/>
          </w:tcPr>
          <w:p>
            <w:pPr>
              <w:pStyle w:val="Normal"/>
              <w:tabs>
                <w:tab w:val="clear" w:pos="708"/>
              </w:tabs>
              <w:spacing w:before="120" w:after="120"/>
              <w:jc w:val="center"/>
              <w:rPr/>
            </w:pPr>
            <w:r>
              <w:rPr>
                <w:rFonts w:ascii="Arial" w:hAnsi="Arial"/>
              </w:rPr>
              <w:t>10.0</w:t>
            </w:r>
          </w:p>
        </w:tc>
        <w:tc>
          <w:tcPr>
            <w:tcW w:w="1015" w:type="dxa"/>
            <w:tcBorders/>
            <w:vAlign w:val="center"/>
          </w:tcPr>
          <w:p>
            <w:pPr>
              <w:pStyle w:val="Normal"/>
              <w:tabs>
                <w:tab w:val="clear" w:pos="708"/>
              </w:tabs>
              <w:spacing w:before="120" w:after="120"/>
              <w:jc w:val="center"/>
              <w:rPr/>
            </w:pPr>
            <w:r>
              <w:rPr>
                <w:rFonts w:ascii="Arial" w:hAnsi="Arial"/>
              </w:rPr>
              <w:t>995.8</w:t>
            </w:r>
          </w:p>
        </w:tc>
        <w:tc>
          <w:tcPr>
            <w:tcW w:w="1016" w:type="dxa"/>
            <w:tcBorders/>
            <w:vAlign w:val="center"/>
          </w:tcPr>
          <w:p>
            <w:pPr>
              <w:pStyle w:val="Normal"/>
              <w:tabs>
                <w:tab w:val="clear" w:pos="708"/>
              </w:tabs>
              <w:spacing w:before="120" w:after="120"/>
              <w:jc w:val="center"/>
              <w:rPr/>
            </w:pPr>
            <w:r>
              <w:rPr>
                <w:rFonts w:ascii="Arial" w:hAnsi="Arial"/>
              </w:rPr>
              <w:t>6.0</w:t>
            </w:r>
          </w:p>
        </w:tc>
        <w:tc>
          <w:tcPr>
            <w:tcW w:w="1014" w:type="dxa"/>
            <w:tcBorders/>
            <w:vAlign w:val="center"/>
          </w:tcPr>
          <w:p>
            <w:pPr>
              <w:pStyle w:val="Normal"/>
              <w:tabs>
                <w:tab w:val="clear" w:pos="708"/>
              </w:tabs>
              <w:spacing w:before="120" w:after="120"/>
              <w:jc w:val="center"/>
              <w:rPr/>
            </w:pPr>
            <w:r>
              <w:rPr>
                <w:rFonts w:ascii="Arial" w:hAnsi="Arial"/>
              </w:rPr>
              <w:t>356.0</w:t>
            </w:r>
          </w:p>
        </w:tc>
        <w:tc>
          <w:tcPr>
            <w:tcW w:w="1015" w:type="dxa"/>
            <w:tcBorders/>
            <w:vAlign w:val="center"/>
          </w:tcPr>
          <w:p>
            <w:pPr>
              <w:pStyle w:val="Normal"/>
              <w:tabs>
                <w:tab w:val="clear" w:pos="708"/>
              </w:tabs>
              <w:spacing w:before="120" w:after="120"/>
              <w:jc w:val="center"/>
              <w:rPr/>
            </w:pPr>
            <w:r>
              <w:rPr>
                <w:rFonts w:ascii="Arial" w:hAnsi="Arial"/>
              </w:rPr>
              <w:t>357.0</w:t>
            </w:r>
          </w:p>
        </w:tc>
        <w:tc>
          <w:tcPr>
            <w:tcW w:w="1014" w:type="dxa"/>
            <w:tcBorders/>
            <w:vAlign w:val="center"/>
          </w:tcPr>
          <w:p>
            <w:pPr>
              <w:pStyle w:val="Normal"/>
              <w:tabs>
                <w:tab w:val="clear" w:pos="708"/>
              </w:tabs>
              <w:spacing w:before="120" w:after="120"/>
              <w:jc w:val="center"/>
              <w:rPr/>
            </w:pPr>
            <w:r>
              <w:rPr>
                <w:rFonts w:ascii="Arial" w:hAnsi="Arial"/>
              </w:rPr>
              <w:t>0.0</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1/3/2025</w:t>
            </w:r>
          </w:p>
        </w:tc>
        <w:tc>
          <w:tcPr>
            <w:tcW w:w="1015" w:type="dxa"/>
            <w:tcBorders/>
            <w:vAlign w:val="center"/>
          </w:tcPr>
          <w:p>
            <w:pPr>
              <w:pStyle w:val="Normal"/>
              <w:tabs>
                <w:tab w:val="clear" w:pos="708"/>
              </w:tabs>
              <w:spacing w:before="120" w:after="120"/>
              <w:jc w:val="center"/>
              <w:rPr/>
            </w:pPr>
            <w:r>
              <w:rPr>
                <w:rFonts w:ascii="Arial" w:hAnsi="Arial"/>
              </w:rPr>
              <w:t>0.0</w:t>
            </w:r>
          </w:p>
        </w:tc>
        <w:tc>
          <w:tcPr>
            <w:tcW w:w="1015" w:type="dxa"/>
            <w:tcBorders/>
            <w:vAlign w:val="center"/>
          </w:tcPr>
          <w:p>
            <w:pPr>
              <w:pStyle w:val="Normal"/>
              <w:tabs>
                <w:tab w:val="clear" w:pos="708"/>
              </w:tabs>
              <w:spacing w:before="120" w:after="120"/>
              <w:jc w:val="center"/>
              <w:rPr/>
            </w:pPr>
            <w:r>
              <w:rPr>
                <w:rFonts w:ascii="Arial" w:hAnsi="Arial"/>
              </w:rPr>
              <w:t>10.0</w:t>
            </w:r>
          </w:p>
        </w:tc>
        <w:tc>
          <w:tcPr>
            <w:tcW w:w="1015" w:type="dxa"/>
            <w:tcBorders/>
            <w:vAlign w:val="center"/>
          </w:tcPr>
          <w:p>
            <w:pPr>
              <w:pStyle w:val="Normal"/>
              <w:tabs>
                <w:tab w:val="clear" w:pos="708"/>
              </w:tabs>
              <w:spacing w:before="120" w:after="120"/>
              <w:jc w:val="center"/>
              <w:rPr/>
            </w:pPr>
            <w:r>
              <w:rPr>
                <w:rFonts w:ascii="Arial" w:hAnsi="Arial"/>
              </w:rPr>
              <w:t>600.2</w:t>
            </w:r>
          </w:p>
        </w:tc>
        <w:tc>
          <w:tcPr>
            <w:tcW w:w="1016" w:type="dxa"/>
            <w:tcBorders/>
            <w:vAlign w:val="center"/>
          </w:tcPr>
          <w:p>
            <w:pPr>
              <w:pStyle w:val="Normal"/>
              <w:tabs>
                <w:tab w:val="clear" w:pos="708"/>
              </w:tabs>
              <w:spacing w:before="120" w:after="120"/>
              <w:jc w:val="center"/>
              <w:rPr/>
            </w:pPr>
            <w:r>
              <w:rPr>
                <w:rFonts w:ascii="Arial" w:hAnsi="Arial"/>
              </w:rPr>
              <w:t>34.0</w:t>
            </w:r>
          </w:p>
        </w:tc>
        <w:tc>
          <w:tcPr>
            <w:tcW w:w="1014" w:type="dxa"/>
            <w:tcBorders/>
            <w:vAlign w:val="center"/>
          </w:tcPr>
          <w:p>
            <w:pPr>
              <w:pStyle w:val="Normal"/>
              <w:tabs>
                <w:tab w:val="clear" w:pos="708"/>
              </w:tabs>
              <w:spacing w:before="120" w:after="120"/>
              <w:jc w:val="center"/>
              <w:rPr/>
            </w:pPr>
            <w:r>
              <w:rPr>
                <w:rFonts w:ascii="Arial" w:hAnsi="Arial"/>
              </w:rPr>
              <w:t>347.0</w:t>
            </w:r>
          </w:p>
        </w:tc>
        <w:tc>
          <w:tcPr>
            <w:tcW w:w="1015" w:type="dxa"/>
            <w:tcBorders/>
            <w:vAlign w:val="center"/>
          </w:tcPr>
          <w:p>
            <w:pPr>
              <w:pStyle w:val="Normal"/>
              <w:tabs>
                <w:tab w:val="clear" w:pos="708"/>
              </w:tabs>
              <w:spacing w:before="120" w:after="120"/>
              <w:jc w:val="center"/>
              <w:rPr/>
            </w:pPr>
            <w:r>
              <w:rPr>
                <w:rFonts w:ascii="Arial" w:hAnsi="Arial"/>
              </w:rPr>
              <w:t>226.0</w:t>
            </w:r>
          </w:p>
        </w:tc>
        <w:tc>
          <w:tcPr>
            <w:tcW w:w="1014" w:type="dxa"/>
            <w:tcBorders/>
            <w:vAlign w:val="center"/>
          </w:tcPr>
          <w:p>
            <w:pPr>
              <w:pStyle w:val="Normal"/>
              <w:tabs>
                <w:tab w:val="clear" w:pos="708"/>
              </w:tabs>
              <w:spacing w:before="120" w:after="120"/>
              <w:jc w:val="center"/>
              <w:rPr/>
            </w:pPr>
            <w:r>
              <w:rPr>
                <w:rFonts w:ascii="Arial" w:hAnsi="Arial"/>
              </w:rPr>
              <w:t>0.0</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1/4/2025</w:t>
            </w:r>
          </w:p>
        </w:tc>
        <w:tc>
          <w:tcPr>
            <w:tcW w:w="1015" w:type="dxa"/>
            <w:tcBorders/>
            <w:vAlign w:val="center"/>
          </w:tcPr>
          <w:p>
            <w:pPr>
              <w:pStyle w:val="Normal"/>
              <w:tabs>
                <w:tab w:val="clear" w:pos="708"/>
              </w:tabs>
              <w:spacing w:before="120" w:after="120"/>
              <w:jc w:val="center"/>
              <w:rPr/>
            </w:pPr>
            <w:r>
              <w:rPr>
                <w:rFonts w:ascii="Arial" w:hAnsi="Arial"/>
              </w:rPr>
              <w:t>0.0</w:t>
            </w:r>
          </w:p>
        </w:tc>
        <w:tc>
          <w:tcPr>
            <w:tcW w:w="1015" w:type="dxa"/>
            <w:tcBorders/>
            <w:vAlign w:val="center"/>
          </w:tcPr>
          <w:p>
            <w:pPr>
              <w:pStyle w:val="Normal"/>
              <w:tabs>
                <w:tab w:val="clear" w:pos="708"/>
              </w:tabs>
              <w:spacing w:before="120" w:after="120"/>
              <w:jc w:val="center"/>
              <w:rPr/>
            </w:pPr>
            <w:r>
              <w:rPr>
                <w:rFonts w:ascii="Arial" w:hAnsi="Arial"/>
              </w:rPr>
              <w:t>10.0</w:t>
            </w:r>
          </w:p>
        </w:tc>
        <w:tc>
          <w:tcPr>
            <w:tcW w:w="1015" w:type="dxa"/>
            <w:tcBorders/>
            <w:vAlign w:val="center"/>
          </w:tcPr>
          <w:p>
            <w:pPr>
              <w:pStyle w:val="Normal"/>
              <w:tabs>
                <w:tab w:val="clear" w:pos="708"/>
              </w:tabs>
              <w:spacing w:before="120" w:after="120"/>
              <w:jc w:val="center"/>
              <w:rPr/>
            </w:pPr>
            <w:r>
              <w:rPr>
                <w:rFonts w:ascii="Arial" w:hAnsi="Arial"/>
              </w:rPr>
              <w:t>650.4</w:t>
            </w:r>
          </w:p>
        </w:tc>
        <w:tc>
          <w:tcPr>
            <w:tcW w:w="1016" w:type="dxa"/>
            <w:tcBorders/>
            <w:vAlign w:val="center"/>
          </w:tcPr>
          <w:p>
            <w:pPr>
              <w:pStyle w:val="Normal"/>
              <w:tabs>
                <w:tab w:val="clear" w:pos="708"/>
              </w:tabs>
              <w:spacing w:before="120" w:after="120"/>
              <w:jc w:val="center"/>
              <w:rPr/>
            </w:pPr>
            <w:r>
              <w:rPr>
                <w:rFonts w:ascii="Arial" w:hAnsi="Arial"/>
              </w:rPr>
              <w:t>58.0</w:t>
            </w:r>
          </w:p>
        </w:tc>
        <w:tc>
          <w:tcPr>
            <w:tcW w:w="1014" w:type="dxa"/>
            <w:tcBorders/>
            <w:vAlign w:val="center"/>
          </w:tcPr>
          <w:p>
            <w:pPr>
              <w:pStyle w:val="Normal"/>
              <w:tabs>
                <w:tab w:val="clear" w:pos="708"/>
              </w:tabs>
              <w:spacing w:before="120" w:after="120"/>
              <w:jc w:val="center"/>
              <w:rPr/>
            </w:pPr>
            <w:r>
              <w:rPr>
                <w:rFonts w:ascii="Arial" w:hAnsi="Arial"/>
              </w:rPr>
              <w:t>354.0</w:t>
            </w:r>
          </w:p>
        </w:tc>
        <w:tc>
          <w:tcPr>
            <w:tcW w:w="1015" w:type="dxa"/>
            <w:tcBorders/>
            <w:vAlign w:val="center"/>
          </w:tcPr>
          <w:p>
            <w:pPr>
              <w:pStyle w:val="Normal"/>
              <w:tabs>
                <w:tab w:val="clear" w:pos="708"/>
              </w:tabs>
              <w:spacing w:before="120" w:after="120"/>
              <w:jc w:val="center"/>
              <w:rPr/>
            </w:pPr>
            <w:r>
              <w:rPr>
                <w:rFonts w:ascii="Arial" w:hAnsi="Arial"/>
              </w:rPr>
              <w:t>85.0</w:t>
            </w:r>
          </w:p>
        </w:tc>
        <w:tc>
          <w:tcPr>
            <w:tcW w:w="1014" w:type="dxa"/>
            <w:tcBorders/>
            <w:vAlign w:val="center"/>
          </w:tcPr>
          <w:p>
            <w:pPr>
              <w:pStyle w:val="Normal"/>
              <w:tabs>
                <w:tab w:val="clear" w:pos="708"/>
              </w:tabs>
              <w:spacing w:before="120" w:after="120"/>
              <w:jc w:val="center"/>
              <w:rPr/>
            </w:pPr>
            <w:r>
              <w:rPr>
                <w:rFonts w:ascii="Arial" w:hAnsi="Arial"/>
              </w:rPr>
              <w:t>0.0</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1/5/2025</w:t>
            </w:r>
          </w:p>
        </w:tc>
        <w:tc>
          <w:tcPr>
            <w:tcW w:w="1015" w:type="dxa"/>
            <w:tcBorders/>
            <w:vAlign w:val="center"/>
          </w:tcPr>
          <w:p>
            <w:pPr>
              <w:pStyle w:val="Normal"/>
              <w:tabs>
                <w:tab w:val="clear" w:pos="708"/>
              </w:tabs>
              <w:spacing w:before="120" w:after="120"/>
              <w:jc w:val="center"/>
              <w:rPr/>
            </w:pPr>
            <w:r>
              <w:rPr>
                <w:rFonts w:ascii="Arial" w:hAnsi="Arial"/>
              </w:rPr>
              <w:t>0.0</w:t>
            </w:r>
          </w:p>
        </w:tc>
        <w:tc>
          <w:tcPr>
            <w:tcW w:w="1015" w:type="dxa"/>
            <w:tcBorders/>
            <w:vAlign w:val="center"/>
          </w:tcPr>
          <w:p>
            <w:pPr>
              <w:pStyle w:val="Normal"/>
              <w:tabs>
                <w:tab w:val="clear" w:pos="708"/>
              </w:tabs>
              <w:spacing w:before="120" w:after="120"/>
              <w:jc w:val="center"/>
              <w:rPr/>
            </w:pPr>
            <w:r>
              <w:rPr>
                <w:rFonts w:ascii="Arial" w:hAnsi="Arial"/>
              </w:rPr>
              <w:t>10.0</w:t>
            </w:r>
          </w:p>
        </w:tc>
        <w:tc>
          <w:tcPr>
            <w:tcW w:w="1015" w:type="dxa"/>
            <w:tcBorders/>
            <w:vAlign w:val="center"/>
          </w:tcPr>
          <w:p>
            <w:pPr>
              <w:pStyle w:val="Normal"/>
              <w:tabs>
                <w:tab w:val="clear" w:pos="708"/>
              </w:tabs>
              <w:spacing w:before="120" w:after="120"/>
              <w:jc w:val="center"/>
              <w:rPr/>
            </w:pPr>
            <w:r>
              <w:rPr>
                <w:rFonts w:ascii="Arial" w:hAnsi="Arial"/>
              </w:rPr>
              <w:t>660.2</w:t>
            </w:r>
          </w:p>
        </w:tc>
        <w:tc>
          <w:tcPr>
            <w:tcW w:w="1016" w:type="dxa"/>
            <w:tcBorders/>
            <w:vAlign w:val="center"/>
          </w:tcPr>
          <w:p>
            <w:pPr>
              <w:pStyle w:val="Normal"/>
              <w:tabs>
                <w:tab w:val="clear" w:pos="708"/>
              </w:tabs>
              <w:spacing w:before="120" w:after="120"/>
              <w:jc w:val="center"/>
              <w:rPr/>
            </w:pPr>
            <w:r>
              <w:rPr>
                <w:rFonts w:ascii="Arial" w:hAnsi="Arial"/>
              </w:rPr>
              <w:t>99.0</w:t>
            </w:r>
          </w:p>
        </w:tc>
        <w:tc>
          <w:tcPr>
            <w:tcW w:w="1014" w:type="dxa"/>
            <w:tcBorders/>
            <w:vAlign w:val="center"/>
          </w:tcPr>
          <w:p>
            <w:pPr>
              <w:pStyle w:val="Normal"/>
              <w:tabs>
                <w:tab w:val="clear" w:pos="708"/>
              </w:tabs>
              <w:spacing w:before="120" w:after="120"/>
              <w:jc w:val="center"/>
              <w:rPr/>
            </w:pPr>
            <w:r>
              <w:rPr>
                <w:rFonts w:ascii="Arial" w:hAnsi="Arial"/>
              </w:rPr>
              <w:t>176.0</w:t>
            </w:r>
          </w:p>
        </w:tc>
        <w:tc>
          <w:tcPr>
            <w:tcW w:w="1015" w:type="dxa"/>
            <w:tcBorders/>
            <w:vAlign w:val="center"/>
          </w:tcPr>
          <w:p>
            <w:pPr>
              <w:pStyle w:val="Normal"/>
              <w:tabs>
                <w:tab w:val="clear" w:pos="708"/>
              </w:tabs>
              <w:spacing w:before="120" w:after="120"/>
              <w:jc w:val="center"/>
              <w:rPr/>
            </w:pPr>
            <w:r>
              <w:rPr>
                <w:rFonts w:ascii="Arial" w:hAnsi="Arial"/>
              </w:rPr>
              <w:t>124.0</w:t>
            </w:r>
          </w:p>
        </w:tc>
        <w:tc>
          <w:tcPr>
            <w:tcW w:w="1014" w:type="dxa"/>
            <w:tcBorders/>
            <w:vAlign w:val="center"/>
          </w:tcPr>
          <w:p>
            <w:pPr>
              <w:pStyle w:val="Normal"/>
              <w:tabs>
                <w:tab w:val="clear" w:pos="708"/>
              </w:tabs>
              <w:spacing w:before="120" w:after="120"/>
              <w:jc w:val="center"/>
              <w:rPr/>
            </w:pPr>
            <w:r>
              <w:rPr>
                <w:rFonts w:ascii="Arial" w:hAnsi="Arial"/>
              </w:rPr>
              <w:t>0.0</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1/6/2025</w:t>
            </w:r>
          </w:p>
        </w:tc>
        <w:tc>
          <w:tcPr>
            <w:tcW w:w="1015" w:type="dxa"/>
            <w:tcBorders/>
            <w:vAlign w:val="center"/>
          </w:tcPr>
          <w:p>
            <w:pPr>
              <w:pStyle w:val="Normal"/>
              <w:tabs>
                <w:tab w:val="clear" w:pos="708"/>
              </w:tabs>
              <w:spacing w:before="120" w:after="120"/>
              <w:jc w:val="center"/>
              <w:rPr/>
            </w:pPr>
            <w:r>
              <w:rPr>
                <w:rFonts w:ascii="Arial" w:hAnsi="Arial"/>
              </w:rPr>
              <w:t>0.0</w:t>
            </w:r>
          </w:p>
        </w:tc>
        <w:tc>
          <w:tcPr>
            <w:tcW w:w="1015" w:type="dxa"/>
            <w:tcBorders/>
            <w:vAlign w:val="center"/>
          </w:tcPr>
          <w:p>
            <w:pPr>
              <w:pStyle w:val="Normal"/>
              <w:tabs>
                <w:tab w:val="clear" w:pos="708"/>
              </w:tabs>
              <w:spacing w:before="120" w:after="120"/>
              <w:jc w:val="center"/>
              <w:rPr/>
            </w:pPr>
            <w:r>
              <w:rPr>
                <w:rFonts w:ascii="Arial" w:hAnsi="Arial"/>
              </w:rPr>
              <w:t>10.0</w:t>
            </w:r>
          </w:p>
        </w:tc>
        <w:tc>
          <w:tcPr>
            <w:tcW w:w="1015" w:type="dxa"/>
            <w:tcBorders/>
            <w:vAlign w:val="center"/>
          </w:tcPr>
          <w:p>
            <w:pPr>
              <w:pStyle w:val="Normal"/>
              <w:tabs>
                <w:tab w:val="clear" w:pos="708"/>
              </w:tabs>
              <w:spacing w:before="120" w:after="120"/>
              <w:jc w:val="center"/>
              <w:rPr/>
            </w:pPr>
            <w:r>
              <w:rPr>
                <w:rFonts w:ascii="Arial" w:hAnsi="Arial"/>
              </w:rPr>
              <w:t>310.0</w:t>
            </w:r>
          </w:p>
        </w:tc>
        <w:tc>
          <w:tcPr>
            <w:tcW w:w="1016" w:type="dxa"/>
            <w:tcBorders/>
            <w:vAlign w:val="center"/>
          </w:tcPr>
          <w:p>
            <w:pPr>
              <w:pStyle w:val="Normal"/>
              <w:tabs>
                <w:tab w:val="clear" w:pos="708"/>
              </w:tabs>
              <w:spacing w:before="120" w:after="120"/>
              <w:jc w:val="center"/>
              <w:rPr/>
            </w:pPr>
            <w:r>
              <w:rPr>
                <w:rFonts w:ascii="Arial" w:hAnsi="Arial"/>
              </w:rPr>
              <w:t>1.0</w:t>
            </w:r>
          </w:p>
        </w:tc>
        <w:tc>
          <w:tcPr>
            <w:tcW w:w="1014" w:type="dxa"/>
            <w:tcBorders/>
            <w:vAlign w:val="center"/>
          </w:tcPr>
          <w:p>
            <w:pPr>
              <w:pStyle w:val="Normal"/>
              <w:tabs>
                <w:tab w:val="clear" w:pos="708"/>
              </w:tabs>
              <w:spacing w:before="120" w:after="120"/>
              <w:jc w:val="center"/>
              <w:rPr/>
            </w:pPr>
            <w:r>
              <w:rPr>
                <w:rFonts w:ascii="Arial" w:hAnsi="Arial"/>
              </w:rPr>
              <w:t>280.0</w:t>
            </w:r>
          </w:p>
        </w:tc>
        <w:tc>
          <w:tcPr>
            <w:tcW w:w="1015" w:type="dxa"/>
            <w:tcBorders/>
            <w:vAlign w:val="center"/>
          </w:tcPr>
          <w:p>
            <w:pPr>
              <w:pStyle w:val="Normal"/>
              <w:tabs>
                <w:tab w:val="clear" w:pos="708"/>
              </w:tabs>
              <w:spacing w:before="120" w:after="120"/>
              <w:jc w:val="center"/>
              <w:rPr/>
            </w:pPr>
            <w:r>
              <w:rPr>
                <w:rFonts w:ascii="Arial" w:hAnsi="Arial"/>
              </w:rPr>
              <w:t>83.0</w:t>
            </w:r>
          </w:p>
        </w:tc>
        <w:tc>
          <w:tcPr>
            <w:tcW w:w="1014" w:type="dxa"/>
            <w:tcBorders/>
            <w:vAlign w:val="center"/>
          </w:tcPr>
          <w:p>
            <w:pPr>
              <w:pStyle w:val="Normal"/>
              <w:tabs>
                <w:tab w:val="clear" w:pos="708"/>
              </w:tabs>
              <w:spacing w:before="120" w:after="120"/>
              <w:jc w:val="center"/>
              <w:rPr/>
            </w:pPr>
            <w:r>
              <w:rPr>
                <w:rFonts w:ascii="Arial" w:hAnsi="Arial"/>
              </w:rPr>
              <w:t>0.0</w:t>
            </w:r>
          </w:p>
        </w:tc>
      </w:tr>
    </w:tbl>
    <w:p>
      <w:pPr>
        <w:pStyle w:val="Normal"/>
        <w:rPr/>
      </w:pPr>
      <w:r>
        <w:rPr/>
      </w:r>
    </w:p>
    <w:p>
      <w:pPr>
        <w:pStyle w:val="Normal"/>
        <w:rPr/>
      </w:pPr>
      <w:r>
        <w:rPr/>
      </w:r>
    </w:p>
    <w:tbl>
      <w:tblPr>
        <w:tblW w:w="8974" w:type="dxa"/>
        <w:jc w:val="left"/>
        <w:tblInd w:w="0" w:type="dxa"/>
        <w:tblLayout w:type="fixed"/>
        <w:tblCellMar>
          <w:top w:w="0" w:type="dxa"/>
          <w:left w:w="30" w:type="dxa"/>
          <w:bottom w:w="0" w:type="dxa"/>
          <w:right w:w="30" w:type="dxa"/>
        </w:tblCellMar>
      </w:tblPr>
      <w:tblGrid>
        <w:gridCol w:w="1869"/>
        <w:gridCol w:w="1015"/>
        <w:gridCol w:w="1015"/>
        <w:gridCol w:w="1015"/>
        <w:gridCol w:w="1016"/>
        <w:gridCol w:w="1014"/>
        <w:gridCol w:w="1015"/>
        <w:gridCol w:w="1014"/>
      </w:tblGrid>
      <w:tr>
        <w:trPr>
          <w:trHeight w:val="1597" w:hRule="atLeast"/>
        </w:trPr>
        <w:tc>
          <w:tcPr>
            <w:tcW w:w="1869" w:type="dxa"/>
            <w:tcBorders/>
            <w:vAlign w:val="center"/>
          </w:tcPr>
          <w:p>
            <w:pPr>
              <w:pStyle w:val="Normal"/>
              <w:tabs>
                <w:tab w:val="clear" w:pos="708"/>
              </w:tabs>
              <w:spacing w:before="120" w:after="120"/>
              <w:jc w:val="center"/>
              <w:rPr/>
            </w:pPr>
            <w:r>
              <w:rPr>
                <w:rFonts w:ascii="Arial" w:hAnsi="Arial"/>
              </w:rPr>
              <w:t>Data</w:t>
            </w:r>
          </w:p>
        </w:tc>
        <w:tc>
          <w:tcPr>
            <w:tcW w:w="1015" w:type="dxa"/>
            <w:tcBorders/>
            <w:vAlign w:val="center"/>
          </w:tcPr>
          <w:p>
            <w:pPr>
              <w:pStyle w:val="TableContents"/>
              <w:spacing w:before="120" w:after="120"/>
              <w:ind w:hanging="0" w:left="0" w:right="0"/>
              <w:jc w:val="center"/>
              <w:rPr/>
            </w:pPr>
            <w:r>
              <w:rPr/>
              <w:t>Acerra 26 - Precipitazione - Max (mm)</w:t>
            </w:r>
          </w:p>
        </w:tc>
        <w:tc>
          <w:tcPr>
            <w:tcW w:w="1015" w:type="dxa"/>
            <w:tcBorders/>
            <w:vAlign w:val="center"/>
          </w:tcPr>
          <w:p>
            <w:pPr>
              <w:pStyle w:val="TableContents"/>
              <w:spacing w:before="120" w:after="120"/>
              <w:ind w:hanging="0" w:left="0" w:right="0"/>
              <w:jc w:val="center"/>
              <w:rPr/>
            </w:pPr>
            <w:r>
              <w:rPr/>
              <w:t>Acerra 26 - Precipitazione - Grezzo (mm)</w:t>
            </w:r>
          </w:p>
        </w:tc>
        <w:tc>
          <w:tcPr>
            <w:tcW w:w="1015" w:type="dxa"/>
            <w:tcBorders/>
            <w:vAlign w:val="center"/>
          </w:tcPr>
          <w:p>
            <w:pPr>
              <w:pStyle w:val="TableContents"/>
              <w:spacing w:before="120" w:after="120"/>
              <w:ind w:hanging="0" w:left="0" w:right="0"/>
              <w:jc w:val="center"/>
              <w:rPr/>
            </w:pPr>
            <w:r>
              <w:rPr/>
              <w:t>Acerra 26 - Raffica vento - Min (m/s)</w:t>
            </w:r>
          </w:p>
        </w:tc>
        <w:tc>
          <w:tcPr>
            <w:tcW w:w="1016" w:type="dxa"/>
            <w:tcBorders/>
            <w:vAlign w:val="center"/>
          </w:tcPr>
          <w:p>
            <w:pPr>
              <w:pStyle w:val="TableContents"/>
              <w:spacing w:before="120" w:after="120"/>
              <w:ind w:hanging="0" w:left="0" w:right="0"/>
              <w:jc w:val="center"/>
              <w:rPr/>
            </w:pPr>
            <w:r>
              <w:rPr/>
              <w:t>Acerra 26 - Raffica vento - Max (m/s)</w:t>
            </w:r>
          </w:p>
        </w:tc>
        <w:tc>
          <w:tcPr>
            <w:tcW w:w="1014" w:type="dxa"/>
            <w:tcBorders/>
            <w:vAlign w:val="center"/>
          </w:tcPr>
          <w:p>
            <w:pPr>
              <w:pStyle w:val="TableContents"/>
              <w:spacing w:before="120" w:after="120"/>
              <w:ind w:hanging="0" w:left="0" w:right="0"/>
              <w:jc w:val="center"/>
              <w:rPr/>
            </w:pPr>
            <w:r>
              <w:rPr/>
              <w:t>Acerra 26 - Raffica vento - Grezzo (m/s)</w:t>
            </w:r>
          </w:p>
        </w:tc>
        <w:tc>
          <w:tcPr>
            <w:tcW w:w="1015" w:type="dxa"/>
            <w:tcBorders/>
            <w:vAlign w:val="center"/>
          </w:tcPr>
          <w:p>
            <w:pPr>
              <w:pStyle w:val="TableContents"/>
              <w:spacing w:before="120" w:after="120"/>
              <w:ind w:hanging="0" w:left="0" w:right="0"/>
              <w:jc w:val="center"/>
              <w:rPr/>
            </w:pPr>
            <w:r>
              <w:rPr/>
              <w:t>Acerra 26 - Temperatura aria - Min (°C)</w:t>
            </w:r>
          </w:p>
        </w:tc>
        <w:tc>
          <w:tcPr>
            <w:tcW w:w="1014" w:type="dxa"/>
            <w:tcBorders/>
            <w:vAlign w:val="center"/>
          </w:tcPr>
          <w:p>
            <w:pPr>
              <w:pStyle w:val="TableContents"/>
              <w:spacing w:before="120" w:after="120"/>
              <w:ind w:hanging="0" w:left="0" w:right="0"/>
              <w:jc w:val="center"/>
              <w:rPr/>
            </w:pPr>
            <w:r>
              <w:rPr/>
              <w:t>Acerra 26 - Temperatura aria - Max (°C)</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1/1/2025</w:t>
            </w:r>
          </w:p>
        </w:tc>
        <w:tc>
          <w:tcPr>
            <w:tcW w:w="1015" w:type="dxa"/>
            <w:tcBorders/>
            <w:vAlign w:val="center"/>
          </w:tcPr>
          <w:p>
            <w:pPr>
              <w:pStyle w:val="TableContents"/>
              <w:spacing w:before="120" w:after="120"/>
              <w:ind w:hanging="0" w:left="0" w:right="0"/>
              <w:jc w:val="center"/>
              <w:rPr/>
            </w:pPr>
            <w:r>
              <w:rPr/>
              <w:t>0.2</w:t>
            </w:r>
          </w:p>
        </w:tc>
        <w:tc>
          <w:tcPr>
            <w:tcW w:w="1015" w:type="dxa"/>
            <w:tcBorders/>
            <w:vAlign w:val="center"/>
          </w:tcPr>
          <w:p>
            <w:pPr>
              <w:pStyle w:val="TableContents"/>
              <w:spacing w:before="120" w:after="120"/>
              <w:ind w:hanging="0" w:left="0" w:right="0"/>
              <w:jc w:val="center"/>
              <w:rPr/>
            </w:pPr>
            <w:r>
              <w:rPr/>
              <w:t>0.2</w:t>
            </w:r>
          </w:p>
        </w:tc>
        <w:tc>
          <w:tcPr>
            <w:tcW w:w="1015" w:type="dxa"/>
            <w:tcBorders/>
            <w:vAlign w:val="center"/>
          </w:tcPr>
          <w:p>
            <w:pPr>
              <w:pStyle w:val="TableContents"/>
              <w:spacing w:before="120" w:after="120"/>
              <w:ind w:hanging="0" w:left="0" w:right="0"/>
              <w:jc w:val="center"/>
              <w:rPr/>
            </w:pPr>
            <w:r>
              <w:rPr/>
              <w:t>0.0</w:t>
            </w:r>
          </w:p>
        </w:tc>
        <w:tc>
          <w:tcPr>
            <w:tcW w:w="1016" w:type="dxa"/>
            <w:tcBorders/>
            <w:vAlign w:val="center"/>
          </w:tcPr>
          <w:p>
            <w:pPr>
              <w:pStyle w:val="TableContents"/>
              <w:spacing w:before="120" w:after="120"/>
              <w:ind w:hanging="0" w:left="0" w:right="0"/>
              <w:jc w:val="center"/>
              <w:rPr/>
            </w:pPr>
            <w:r>
              <w:rPr/>
              <w:t>2.2</w:t>
            </w:r>
          </w:p>
        </w:tc>
        <w:tc>
          <w:tcPr>
            <w:tcW w:w="1014"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-1.2</w:t>
            </w:r>
          </w:p>
        </w:tc>
        <w:tc>
          <w:tcPr>
            <w:tcW w:w="1014" w:type="dxa"/>
            <w:tcBorders/>
            <w:vAlign w:val="center"/>
          </w:tcPr>
          <w:p>
            <w:pPr>
              <w:pStyle w:val="TableContents"/>
              <w:spacing w:before="120" w:after="120"/>
              <w:ind w:hanging="0" w:left="0" w:right="0"/>
              <w:jc w:val="center"/>
              <w:rPr/>
            </w:pPr>
            <w:r>
              <w:rPr/>
              <w:t>14.4</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1/2/2025</w:t>
            </w:r>
          </w:p>
        </w:tc>
        <w:tc>
          <w:tcPr>
            <w:tcW w:w="1015" w:type="dxa"/>
            <w:tcBorders/>
            <w:vAlign w:val="center"/>
          </w:tcPr>
          <w:p>
            <w:pPr>
              <w:pStyle w:val="TableContents"/>
              <w:spacing w:before="120" w:after="120"/>
              <w:ind w:hanging="0" w:left="0" w:right="0"/>
              <w:jc w:val="center"/>
              <w:rPr/>
            </w:pPr>
            <w:r>
              <w:rPr/>
              <w:t>0.2</w:t>
            </w:r>
          </w:p>
        </w:tc>
        <w:tc>
          <w:tcPr>
            <w:tcW w:w="1015" w:type="dxa"/>
            <w:tcBorders/>
            <w:vAlign w:val="center"/>
          </w:tcPr>
          <w:p>
            <w:pPr>
              <w:pStyle w:val="TableContents"/>
              <w:spacing w:before="120" w:after="120"/>
              <w:ind w:hanging="0" w:left="0" w:right="0"/>
              <w:jc w:val="center"/>
              <w:rPr/>
            </w:pPr>
            <w:r>
              <w:rPr/>
              <w:t>0.2</w:t>
            </w:r>
          </w:p>
        </w:tc>
        <w:tc>
          <w:tcPr>
            <w:tcW w:w="1015" w:type="dxa"/>
            <w:tcBorders/>
            <w:vAlign w:val="center"/>
          </w:tcPr>
          <w:p>
            <w:pPr>
              <w:pStyle w:val="TableContents"/>
              <w:spacing w:before="120" w:after="120"/>
              <w:ind w:hanging="0" w:left="0" w:right="0"/>
              <w:jc w:val="center"/>
              <w:rPr/>
            </w:pPr>
            <w:r>
              <w:rPr/>
              <w:t>0.0</w:t>
            </w:r>
          </w:p>
        </w:tc>
        <w:tc>
          <w:tcPr>
            <w:tcW w:w="1016" w:type="dxa"/>
            <w:tcBorders/>
            <w:vAlign w:val="center"/>
          </w:tcPr>
          <w:p>
            <w:pPr>
              <w:pStyle w:val="TableContents"/>
              <w:spacing w:before="120" w:after="120"/>
              <w:ind w:hanging="0" w:left="0" w:right="0"/>
              <w:jc w:val="center"/>
              <w:rPr/>
            </w:pPr>
            <w:r>
              <w:rPr/>
              <w:t>2.9</w:t>
            </w:r>
          </w:p>
        </w:tc>
        <w:tc>
          <w:tcPr>
            <w:tcW w:w="1014" w:type="dxa"/>
            <w:tcBorders/>
            <w:vAlign w:val="center"/>
          </w:tcPr>
          <w:p>
            <w:pPr>
              <w:pStyle w:val="TableContents"/>
              <w:spacing w:before="120" w:after="120"/>
              <w:ind w:hanging="0" w:left="0" w:right="0"/>
              <w:jc w:val="center"/>
              <w:rPr/>
            </w:pPr>
            <w:r>
              <w:rPr/>
              <w:t>0.5</w:t>
            </w:r>
          </w:p>
        </w:tc>
        <w:tc>
          <w:tcPr>
            <w:tcW w:w="1015" w:type="dxa"/>
            <w:tcBorders/>
            <w:vAlign w:val="center"/>
          </w:tcPr>
          <w:p>
            <w:pPr>
              <w:pStyle w:val="TableContents"/>
              <w:spacing w:before="120" w:after="120"/>
              <w:ind w:hanging="0" w:left="0" w:right="0"/>
              <w:jc w:val="center"/>
              <w:rPr/>
            </w:pPr>
            <w:r>
              <w:rPr/>
              <w:t>-0.1</w:t>
            </w:r>
          </w:p>
        </w:tc>
        <w:tc>
          <w:tcPr>
            <w:tcW w:w="1014" w:type="dxa"/>
            <w:tcBorders/>
            <w:vAlign w:val="center"/>
          </w:tcPr>
          <w:p>
            <w:pPr>
              <w:pStyle w:val="TableContents"/>
              <w:spacing w:before="120" w:after="120"/>
              <w:ind w:hanging="0" w:left="0" w:right="0"/>
              <w:jc w:val="center"/>
              <w:rPr/>
            </w:pPr>
            <w:r>
              <w:rPr/>
              <w:t>14.4</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1/3/2025</w:t>
            </w:r>
          </w:p>
        </w:tc>
        <w:tc>
          <w:tcPr>
            <w:tcW w:w="1015" w:type="dxa"/>
            <w:tcBorders/>
            <w:vAlign w:val="center"/>
          </w:tcPr>
          <w:p>
            <w:pPr>
              <w:pStyle w:val="TableContents"/>
              <w:spacing w:before="120" w:after="120"/>
              <w:ind w:hanging="0" w:left="0" w:right="0"/>
              <w:jc w:val="center"/>
              <w:rPr/>
            </w:pPr>
            <w:r>
              <w:rPr/>
              <w:t>1.0</w:t>
            </w:r>
          </w:p>
        </w:tc>
        <w:tc>
          <w:tcPr>
            <w:tcW w:w="1015" w:type="dxa"/>
            <w:tcBorders/>
            <w:vAlign w:val="center"/>
          </w:tcPr>
          <w:p>
            <w:pPr>
              <w:pStyle w:val="TableContents"/>
              <w:spacing w:before="120" w:after="120"/>
              <w:ind w:hanging="0" w:left="0" w:right="0"/>
              <w:jc w:val="center"/>
              <w:rPr/>
            </w:pPr>
            <w:r>
              <w:rPr/>
              <w:t>6.2</w:t>
            </w:r>
          </w:p>
        </w:tc>
        <w:tc>
          <w:tcPr>
            <w:tcW w:w="1015" w:type="dxa"/>
            <w:tcBorders/>
            <w:vAlign w:val="center"/>
          </w:tcPr>
          <w:p>
            <w:pPr>
              <w:pStyle w:val="TableContents"/>
              <w:spacing w:before="120" w:after="120"/>
              <w:ind w:hanging="0" w:left="0" w:right="0"/>
              <w:jc w:val="center"/>
              <w:rPr/>
            </w:pPr>
            <w:r>
              <w:rPr/>
              <w:t>0.0</w:t>
            </w:r>
          </w:p>
        </w:tc>
        <w:tc>
          <w:tcPr>
            <w:tcW w:w="1016" w:type="dxa"/>
            <w:tcBorders/>
            <w:vAlign w:val="center"/>
          </w:tcPr>
          <w:p>
            <w:pPr>
              <w:pStyle w:val="TableContents"/>
              <w:spacing w:before="120" w:after="120"/>
              <w:ind w:hanging="0" w:left="0" w:right="0"/>
              <w:jc w:val="center"/>
              <w:rPr/>
            </w:pPr>
            <w:r>
              <w:rPr/>
              <w:t>8.7</w:t>
            </w:r>
          </w:p>
        </w:tc>
        <w:tc>
          <w:tcPr>
            <w:tcW w:w="1014" w:type="dxa"/>
            <w:tcBorders/>
            <w:vAlign w:val="center"/>
          </w:tcPr>
          <w:p>
            <w:pPr>
              <w:pStyle w:val="TableContents"/>
              <w:spacing w:before="120" w:after="120"/>
              <w:ind w:hanging="0" w:left="0" w:right="0"/>
              <w:jc w:val="center"/>
              <w:rPr/>
            </w:pPr>
            <w:r>
              <w:rPr/>
              <w:t>2.2</w:t>
            </w:r>
          </w:p>
        </w:tc>
        <w:tc>
          <w:tcPr>
            <w:tcW w:w="1015" w:type="dxa"/>
            <w:tcBorders/>
            <w:vAlign w:val="center"/>
          </w:tcPr>
          <w:p>
            <w:pPr>
              <w:pStyle w:val="TableContents"/>
              <w:spacing w:before="120" w:after="120"/>
              <w:ind w:hanging="0" w:left="0" w:right="0"/>
              <w:jc w:val="center"/>
              <w:rPr/>
            </w:pPr>
            <w:r>
              <w:rPr/>
              <w:t>6.9</w:t>
            </w:r>
          </w:p>
        </w:tc>
        <w:tc>
          <w:tcPr>
            <w:tcW w:w="1014" w:type="dxa"/>
            <w:tcBorders/>
            <w:vAlign w:val="center"/>
          </w:tcPr>
          <w:p>
            <w:pPr>
              <w:pStyle w:val="TableContents"/>
              <w:spacing w:before="120" w:after="120"/>
              <w:ind w:hanging="0" w:left="0" w:right="0"/>
              <w:jc w:val="center"/>
              <w:rPr/>
            </w:pPr>
            <w:r>
              <w:rPr/>
              <w:t>15.7</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1/4/2025</w:t>
            </w:r>
          </w:p>
        </w:tc>
        <w:tc>
          <w:tcPr>
            <w:tcW w:w="1015"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0.0</w:t>
            </w:r>
          </w:p>
        </w:tc>
        <w:tc>
          <w:tcPr>
            <w:tcW w:w="1016" w:type="dxa"/>
            <w:tcBorders/>
            <w:vAlign w:val="center"/>
          </w:tcPr>
          <w:p>
            <w:pPr>
              <w:pStyle w:val="TableContents"/>
              <w:spacing w:before="120" w:after="120"/>
              <w:ind w:hanging="0" w:left="0" w:right="0"/>
              <w:jc w:val="center"/>
              <w:rPr/>
            </w:pPr>
            <w:r>
              <w:rPr/>
              <w:t>3.6</w:t>
            </w:r>
          </w:p>
        </w:tc>
        <w:tc>
          <w:tcPr>
            <w:tcW w:w="1014" w:type="dxa"/>
            <w:tcBorders/>
            <w:vAlign w:val="center"/>
          </w:tcPr>
          <w:p>
            <w:pPr>
              <w:pStyle w:val="TableContents"/>
              <w:spacing w:before="120" w:after="120"/>
              <w:ind w:hanging="0" w:left="0" w:right="0"/>
              <w:jc w:val="center"/>
              <w:rPr/>
            </w:pPr>
            <w:r>
              <w:rPr/>
              <w:t>0.9</w:t>
            </w:r>
          </w:p>
        </w:tc>
        <w:tc>
          <w:tcPr>
            <w:tcW w:w="1015" w:type="dxa"/>
            <w:tcBorders/>
            <w:vAlign w:val="center"/>
          </w:tcPr>
          <w:p>
            <w:pPr>
              <w:pStyle w:val="TableContents"/>
              <w:spacing w:before="120" w:after="120"/>
              <w:ind w:hanging="0" w:left="0" w:right="0"/>
              <w:jc w:val="center"/>
              <w:rPr/>
            </w:pPr>
            <w:r>
              <w:rPr/>
              <w:t>4.0</w:t>
            </w:r>
          </w:p>
        </w:tc>
        <w:tc>
          <w:tcPr>
            <w:tcW w:w="1014" w:type="dxa"/>
            <w:tcBorders/>
            <w:vAlign w:val="center"/>
          </w:tcPr>
          <w:p>
            <w:pPr>
              <w:pStyle w:val="TableContents"/>
              <w:spacing w:before="120" w:after="120"/>
              <w:ind w:hanging="0" w:left="0" w:right="0"/>
              <w:jc w:val="center"/>
              <w:rPr/>
            </w:pPr>
            <w:r>
              <w:rPr/>
              <w:t>15.3</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1/5/2025</w:t>
            </w:r>
          </w:p>
        </w:tc>
        <w:tc>
          <w:tcPr>
            <w:tcW w:w="1015"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0.0</w:t>
            </w:r>
          </w:p>
        </w:tc>
        <w:tc>
          <w:tcPr>
            <w:tcW w:w="1016" w:type="dxa"/>
            <w:tcBorders/>
            <w:vAlign w:val="center"/>
          </w:tcPr>
          <w:p>
            <w:pPr>
              <w:pStyle w:val="TableContents"/>
              <w:spacing w:before="120" w:after="120"/>
              <w:ind w:hanging="0" w:left="0" w:right="0"/>
              <w:jc w:val="center"/>
              <w:rPr/>
            </w:pPr>
            <w:r>
              <w:rPr/>
              <w:t>2.7</w:t>
            </w:r>
          </w:p>
        </w:tc>
        <w:tc>
          <w:tcPr>
            <w:tcW w:w="1014" w:type="dxa"/>
            <w:tcBorders/>
            <w:vAlign w:val="center"/>
          </w:tcPr>
          <w:p>
            <w:pPr>
              <w:pStyle w:val="TableContents"/>
              <w:spacing w:before="120" w:after="120"/>
              <w:ind w:hanging="0" w:left="0" w:right="0"/>
              <w:jc w:val="center"/>
              <w:rPr/>
            </w:pPr>
            <w:r>
              <w:rPr/>
              <w:t>0.1</w:t>
            </w:r>
          </w:p>
        </w:tc>
        <w:tc>
          <w:tcPr>
            <w:tcW w:w="1015" w:type="dxa"/>
            <w:tcBorders/>
            <w:vAlign w:val="center"/>
          </w:tcPr>
          <w:p>
            <w:pPr>
              <w:pStyle w:val="TableContents"/>
              <w:spacing w:before="120" w:after="120"/>
              <w:ind w:hanging="0" w:left="0" w:right="0"/>
              <w:jc w:val="center"/>
              <w:rPr/>
            </w:pPr>
            <w:r>
              <w:rPr/>
              <w:t>0.8</w:t>
            </w:r>
          </w:p>
        </w:tc>
        <w:tc>
          <w:tcPr>
            <w:tcW w:w="1014" w:type="dxa"/>
            <w:tcBorders/>
            <w:vAlign w:val="center"/>
          </w:tcPr>
          <w:p>
            <w:pPr>
              <w:pStyle w:val="TableContents"/>
              <w:spacing w:before="120" w:after="120"/>
              <w:ind w:hanging="0" w:left="0" w:right="0"/>
              <w:jc w:val="center"/>
              <w:rPr/>
            </w:pPr>
            <w:r>
              <w:rPr/>
              <w:t>15.6</w:t>
            </w:r>
          </w:p>
        </w:tc>
      </w:tr>
      <w:tr>
        <w:trPr>
          <w:trHeight w:val="255" w:hRule="atLeast"/>
        </w:trPr>
        <w:tc>
          <w:tcPr>
            <w:tcW w:w="1869" w:type="dxa"/>
            <w:tcBorders/>
            <w:vAlign w:val="center"/>
          </w:tcPr>
          <w:p>
            <w:pPr>
              <w:pStyle w:val="Normal"/>
              <w:tabs>
                <w:tab w:val="clear" w:pos="708"/>
              </w:tabs>
              <w:spacing w:before="120" w:after="120"/>
              <w:jc w:val="center"/>
              <w:rPr/>
            </w:pPr>
            <w:r>
              <w:rPr>
                <w:rFonts w:ascii="Arial" w:hAnsi="Arial"/>
              </w:rPr>
              <w:t>1/6/2025</w:t>
            </w:r>
          </w:p>
        </w:tc>
        <w:tc>
          <w:tcPr>
            <w:tcW w:w="1015"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0.0</w:t>
            </w:r>
          </w:p>
        </w:tc>
        <w:tc>
          <w:tcPr>
            <w:tcW w:w="1015" w:type="dxa"/>
            <w:tcBorders/>
            <w:vAlign w:val="center"/>
          </w:tcPr>
          <w:p>
            <w:pPr>
              <w:pStyle w:val="TableContents"/>
              <w:spacing w:before="120" w:after="120"/>
              <w:ind w:hanging="0" w:left="0" w:right="0"/>
              <w:jc w:val="center"/>
              <w:rPr/>
            </w:pPr>
            <w:r>
              <w:rPr/>
              <w:t>0.0</w:t>
            </w:r>
          </w:p>
        </w:tc>
        <w:tc>
          <w:tcPr>
            <w:tcW w:w="1016" w:type="dxa"/>
            <w:tcBorders/>
            <w:vAlign w:val="center"/>
          </w:tcPr>
          <w:p>
            <w:pPr>
              <w:pStyle w:val="TableContents"/>
              <w:spacing w:before="120" w:after="120"/>
              <w:ind w:hanging="0" w:left="0" w:right="0"/>
              <w:jc w:val="center"/>
              <w:rPr/>
            </w:pPr>
            <w:r>
              <w:rPr/>
              <w:t>2.1</w:t>
            </w:r>
          </w:p>
        </w:tc>
        <w:tc>
          <w:tcPr>
            <w:tcW w:w="1014" w:type="dxa"/>
            <w:tcBorders/>
            <w:vAlign w:val="center"/>
          </w:tcPr>
          <w:p>
            <w:pPr>
              <w:pStyle w:val="TableContents"/>
              <w:spacing w:before="120" w:after="120"/>
              <w:ind w:hanging="0" w:left="0" w:right="0"/>
              <w:jc w:val="center"/>
              <w:rPr/>
            </w:pPr>
            <w:r>
              <w:rPr/>
              <w:t>0.2</w:t>
            </w:r>
          </w:p>
        </w:tc>
        <w:tc>
          <w:tcPr>
            <w:tcW w:w="1015" w:type="dxa"/>
            <w:tcBorders/>
            <w:vAlign w:val="center"/>
          </w:tcPr>
          <w:p>
            <w:pPr>
              <w:pStyle w:val="TableContents"/>
              <w:spacing w:before="120" w:after="120"/>
              <w:ind w:hanging="0" w:left="0" w:right="0"/>
              <w:jc w:val="center"/>
              <w:rPr/>
            </w:pPr>
            <w:r>
              <w:rPr/>
              <w:t>5.6</w:t>
            </w:r>
          </w:p>
        </w:tc>
        <w:tc>
          <w:tcPr>
            <w:tcW w:w="1014" w:type="dxa"/>
            <w:tcBorders/>
            <w:vAlign w:val="center"/>
          </w:tcPr>
          <w:p>
            <w:pPr>
              <w:pStyle w:val="TableContents"/>
              <w:spacing w:before="120" w:after="120"/>
              <w:jc w:val="center"/>
              <w:rPr/>
            </w:pPr>
            <w:r>
              <w:rPr/>
              <w:t>16.5</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10509" w:type="dxa"/>
        <w:jc w:val="left"/>
        <w:tblInd w:w="-429" w:type="dxa"/>
        <w:tblLayout w:type="fixed"/>
        <w:tblCellMar>
          <w:top w:w="0" w:type="dxa"/>
          <w:left w:w="30" w:type="dxa"/>
          <w:bottom w:w="0" w:type="dxa"/>
          <w:right w:w="30" w:type="dxa"/>
        </w:tblCellMar>
      </w:tblPr>
      <w:tblGrid>
        <w:gridCol w:w="1620"/>
        <w:gridCol w:w="1529"/>
        <w:gridCol w:w="1080"/>
        <w:gridCol w:w="811"/>
        <w:gridCol w:w="1515"/>
        <w:gridCol w:w="1259"/>
        <w:gridCol w:w="991"/>
        <w:gridCol w:w="1702"/>
      </w:tblGrid>
      <w:tr>
        <w:trPr>
          <w:trHeight w:val="2880" w:hRule="atLeast"/>
        </w:trPr>
        <w:tc>
          <w:tcPr>
            <w:tcW w:w="1620" w:type="dxa"/>
            <w:tcBorders/>
            <w:vAlign w:val="center"/>
          </w:tcPr>
          <w:p>
            <w:pPr>
              <w:pStyle w:val="Normal"/>
              <w:tabs>
                <w:tab w:val="clear" w:pos="708"/>
              </w:tabs>
              <w:spacing w:before="120" w:after="120"/>
              <w:jc w:val="center"/>
              <w:rPr/>
            </w:pPr>
            <w:r>
              <w:rPr>
                <w:rFonts w:ascii="Arial" w:hAnsi="Arial"/>
              </w:rPr>
              <w:t>Data</w:t>
            </w:r>
          </w:p>
        </w:tc>
        <w:tc>
          <w:tcPr>
            <w:tcW w:w="1529" w:type="dxa"/>
            <w:tcBorders/>
            <w:vAlign w:val="center"/>
          </w:tcPr>
          <w:p>
            <w:pPr>
              <w:pStyle w:val="TableContents"/>
              <w:spacing w:before="120" w:after="120"/>
              <w:ind w:hanging="0" w:left="0" w:right="0"/>
              <w:jc w:val="center"/>
              <w:rPr/>
            </w:pPr>
            <w:r>
              <w:rPr/>
              <w:t>Acerra 26 - Temperatura aria - Grezzo (°C)</w:t>
            </w:r>
          </w:p>
        </w:tc>
        <w:tc>
          <w:tcPr>
            <w:tcW w:w="1080" w:type="dxa"/>
            <w:tcBorders/>
            <w:vAlign w:val="center"/>
          </w:tcPr>
          <w:p>
            <w:pPr>
              <w:pStyle w:val="TableContents"/>
              <w:spacing w:before="120" w:after="120"/>
              <w:ind w:hanging="0" w:left="0" w:right="0"/>
              <w:jc w:val="center"/>
              <w:rPr/>
            </w:pPr>
            <w:r>
              <w:rPr/>
              <w:t>Acerra 26 - Temperatura terreno - Min (°C)</w:t>
            </w:r>
          </w:p>
        </w:tc>
        <w:tc>
          <w:tcPr>
            <w:tcW w:w="811" w:type="dxa"/>
            <w:tcBorders/>
            <w:vAlign w:val="center"/>
          </w:tcPr>
          <w:p>
            <w:pPr>
              <w:pStyle w:val="TableContents"/>
              <w:spacing w:before="120" w:after="120"/>
              <w:ind w:hanging="0" w:left="0" w:right="0"/>
              <w:jc w:val="center"/>
              <w:rPr/>
            </w:pPr>
            <w:r>
              <w:rPr/>
              <w:t>Acerra 26 - Temperatura terreno - Max (°C)</w:t>
            </w:r>
          </w:p>
        </w:tc>
        <w:tc>
          <w:tcPr>
            <w:tcW w:w="1515" w:type="dxa"/>
            <w:tcBorders/>
            <w:vAlign w:val="center"/>
          </w:tcPr>
          <w:p>
            <w:pPr>
              <w:pStyle w:val="TableContents"/>
              <w:spacing w:before="120" w:after="120"/>
              <w:ind w:hanging="0" w:left="0" w:right="0"/>
              <w:jc w:val="center"/>
              <w:rPr/>
            </w:pPr>
            <w:r>
              <w:rPr/>
              <w:t>Acerra 26 - Temperatura terreno - Grezzo (°C)</w:t>
            </w:r>
          </w:p>
        </w:tc>
        <w:tc>
          <w:tcPr>
            <w:tcW w:w="1259" w:type="dxa"/>
            <w:tcBorders/>
            <w:vAlign w:val="center"/>
          </w:tcPr>
          <w:p>
            <w:pPr>
              <w:pStyle w:val="TableContents"/>
              <w:spacing w:before="120" w:after="120"/>
              <w:ind w:hanging="0" w:left="0" w:right="0"/>
              <w:jc w:val="center"/>
              <w:rPr/>
            </w:pPr>
            <w:r>
              <w:rPr/>
              <w:t>Acerra 26 - Umidità aria - Min (%)</w:t>
            </w:r>
          </w:p>
        </w:tc>
        <w:tc>
          <w:tcPr>
            <w:tcW w:w="991" w:type="dxa"/>
            <w:tcBorders/>
            <w:vAlign w:val="center"/>
          </w:tcPr>
          <w:p>
            <w:pPr>
              <w:pStyle w:val="TableContents"/>
              <w:spacing w:before="120" w:after="120"/>
              <w:ind w:hanging="0" w:left="0" w:right="0"/>
              <w:jc w:val="center"/>
              <w:rPr/>
            </w:pPr>
            <w:r>
              <w:rPr/>
              <w:t>Acerra 26 - Umidità aria - Max (%)</w:t>
            </w:r>
          </w:p>
        </w:tc>
        <w:tc>
          <w:tcPr>
            <w:tcW w:w="1702" w:type="dxa"/>
            <w:tcBorders/>
            <w:vAlign w:val="center"/>
          </w:tcPr>
          <w:p>
            <w:pPr>
              <w:pStyle w:val="TableContents"/>
              <w:spacing w:before="120" w:after="120"/>
              <w:ind w:hanging="0" w:left="0" w:right="0"/>
              <w:jc w:val="center"/>
              <w:rPr/>
            </w:pPr>
            <w:r>
              <w:rPr/>
              <w:t>Acerra 26 - Umidità aria - Grezzo (%)</w:t>
            </w:r>
          </w:p>
        </w:tc>
      </w:tr>
      <w:tr>
        <w:trPr>
          <w:trHeight w:val="255" w:hRule="atLeast"/>
        </w:trPr>
        <w:tc>
          <w:tcPr>
            <w:tcW w:w="1620" w:type="dxa"/>
            <w:tcBorders/>
            <w:vAlign w:val="center"/>
          </w:tcPr>
          <w:p>
            <w:pPr>
              <w:pStyle w:val="Normal"/>
              <w:tabs>
                <w:tab w:val="clear" w:pos="708"/>
              </w:tabs>
              <w:spacing w:before="120" w:after="120"/>
              <w:jc w:val="center"/>
              <w:rPr/>
            </w:pPr>
            <w:r>
              <w:rPr>
                <w:rFonts w:ascii="Arial" w:hAnsi="Arial"/>
              </w:rPr>
              <w:t>1/1/2025</w:t>
            </w:r>
          </w:p>
        </w:tc>
        <w:tc>
          <w:tcPr>
            <w:tcW w:w="1529" w:type="dxa"/>
            <w:tcBorders/>
            <w:vAlign w:val="center"/>
          </w:tcPr>
          <w:p>
            <w:pPr>
              <w:pStyle w:val="TableContents"/>
              <w:spacing w:before="120" w:after="120"/>
              <w:ind w:hanging="0" w:left="0" w:right="0"/>
              <w:jc w:val="center"/>
              <w:rPr/>
            </w:pPr>
            <w:r>
              <w:rPr/>
              <w:t>5.1</w:t>
            </w:r>
          </w:p>
        </w:tc>
        <w:tc>
          <w:tcPr>
            <w:tcW w:w="1080" w:type="dxa"/>
            <w:tcBorders/>
            <w:vAlign w:val="center"/>
          </w:tcPr>
          <w:p>
            <w:pPr>
              <w:pStyle w:val="TableContents"/>
              <w:spacing w:before="120" w:after="120"/>
              <w:ind w:hanging="0" w:left="0" w:right="0"/>
              <w:jc w:val="center"/>
              <w:rPr/>
            </w:pPr>
            <w:r>
              <w:rPr/>
              <w:t>6.7</w:t>
            </w:r>
          </w:p>
        </w:tc>
        <w:tc>
          <w:tcPr>
            <w:tcW w:w="811" w:type="dxa"/>
            <w:tcBorders/>
            <w:vAlign w:val="center"/>
          </w:tcPr>
          <w:p>
            <w:pPr>
              <w:pStyle w:val="TableContents"/>
              <w:spacing w:before="120" w:after="120"/>
              <w:ind w:hanging="0" w:left="0" w:right="0"/>
              <w:jc w:val="center"/>
              <w:rPr/>
            </w:pPr>
            <w:r>
              <w:rPr/>
              <w:t>10.2</w:t>
            </w:r>
          </w:p>
        </w:tc>
        <w:tc>
          <w:tcPr>
            <w:tcW w:w="1515" w:type="dxa"/>
            <w:tcBorders/>
            <w:vAlign w:val="center"/>
          </w:tcPr>
          <w:p>
            <w:pPr>
              <w:pStyle w:val="TableContents"/>
              <w:spacing w:before="120" w:after="120"/>
              <w:ind w:hanging="0" w:left="0" w:right="0"/>
              <w:jc w:val="center"/>
              <w:rPr/>
            </w:pPr>
            <w:r>
              <w:rPr/>
              <w:t>8.2</w:t>
            </w:r>
          </w:p>
        </w:tc>
        <w:tc>
          <w:tcPr>
            <w:tcW w:w="1259" w:type="dxa"/>
            <w:tcBorders/>
            <w:vAlign w:val="center"/>
          </w:tcPr>
          <w:p>
            <w:pPr>
              <w:pStyle w:val="TableContents"/>
              <w:spacing w:before="120" w:after="120"/>
              <w:ind w:hanging="0" w:left="0" w:right="0"/>
              <w:jc w:val="center"/>
              <w:rPr/>
            </w:pPr>
            <w:r>
              <w:rPr/>
              <w:t>72.0</w:t>
            </w:r>
          </w:p>
        </w:tc>
        <w:tc>
          <w:tcPr>
            <w:tcW w:w="991" w:type="dxa"/>
            <w:tcBorders/>
            <w:vAlign w:val="center"/>
          </w:tcPr>
          <w:p>
            <w:pPr>
              <w:pStyle w:val="TableContents"/>
              <w:spacing w:before="120" w:after="120"/>
              <w:ind w:hanging="0" w:left="0" w:right="0"/>
              <w:jc w:val="center"/>
              <w:rPr/>
            </w:pPr>
            <w:r>
              <w:rPr/>
              <w:t>100.0</w:t>
            </w:r>
          </w:p>
        </w:tc>
        <w:tc>
          <w:tcPr>
            <w:tcW w:w="1702" w:type="dxa"/>
            <w:tcBorders/>
            <w:vAlign w:val="center"/>
          </w:tcPr>
          <w:p>
            <w:pPr>
              <w:pStyle w:val="TableContents"/>
              <w:spacing w:before="120" w:after="120"/>
              <w:ind w:hanging="0" w:left="0" w:right="0"/>
              <w:jc w:val="center"/>
              <w:rPr/>
            </w:pPr>
            <w:r>
              <w:rPr/>
              <w:t>94.9</w:t>
            </w:r>
          </w:p>
        </w:tc>
      </w:tr>
      <w:tr>
        <w:trPr>
          <w:trHeight w:val="255" w:hRule="atLeast"/>
        </w:trPr>
        <w:tc>
          <w:tcPr>
            <w:tcW w:w="1620" w:type="dxa"/>
            <w:tcBorders/>
            <w:vAlign w:val="center"/>
          </w:tcPr>
          <w:p>
            <w:pPr>
              <w:pStyle w:val="Normal"/>
              <w:tabs>
                <w:tab w:val="clear" w:pos="708"/>
              </w:tabs>
              <w:spacing w:before="120" w:after="120"/>
              <w:jc w:val="center"/>
              <w:rPr/>
            </w:pPr>
            <w:r>
              <w:rPr>
                <w:rFonts w:ascii="Arial" w:hAnsi="Arial"/>
              </w:rPr>
              <w:t>1/2/2025</w:t>
            </w:r>
          </w:p>
        </w:tc>
        <w:tc>
          <w:tcPr>
            <w:tcW w:w="1529" w:type="dxa"/>
            <w:tcBorders/>
            <w:vAlign w:val="center"/>
          </w:tcPr>
          <w:p>
            <w:pPr>
              <w:pStyle w:val="TableContents"/>
              <w:spacing w:before="120" w:after="120"/>
              <w:ind w:hanging="0" w:left="0" w:right="0"/>
              <w:jc w:val="center"/>
              <w:rPr/>
            </w:pPr>
            <w:r>
              <w:rPr/>
              <w:t>6.9</w:t>
            </w:r>
          </w:p>
        </w:tc>
        <w:tc>
          <w:tcPr>
            <w:tcW w:w="1080" w:type="dxa"/>
            <w:tcBorders/>
            <w:vAlign w:val="center"/>
          </w:tcPr>
          <w:p>
            <w:pPr>
              <w:pStyle w:val="TableContents"/>
              <w:spacing w:before="120" w:after="120"/>
              <w:ind w:hanging="0" w:left="0" w:right="0"/>
              <w:jc w:val="center"/>
              <w:rPr/>
            </w:pPr>
            <w:r>
              <w:rPr/>
              <w:t>6.9</w:t>
            </w:r>
          </w:p>
        </w:tc>
        <w:tc>
          <w:tcPr>
            <w:tcW w:w="811" w:type="dxa"/>
            <w:tcBorders/>
            <w:vAlign w:val="center"/>
          </w:tcPr>
          <w:p>
            <w:pPr>
              <w:pStyle w:val="TableContents"/>
              <w:spacing w:before="120" w:after="120"/>
              <w:ind w:hanging="0" w:left="0" w:right="0"/>
              <w:jc w:val="center"/>
              <w:rPr/>
            </w:pPr>
            <w:r>
              <w:rPr/>
              <w:t>10.6</w:t>
            </w:r>
          </w:p>
        </w:tc>
        <w:tc>
          <w:tcPr>
            <w:tcW w:w="1515" w:type="dxa"/>
            <w:tcBorders/>
            <w:vAlign w:val="center"/>
          </w:tcPr>
          <w:p>
            <w:pPr>
              <w:pStyle w:val="TableContents"/>
              <w:spacing w:before="120" w:after="120"/>
              <w:ind w:hanging="0" w:left="0" w:right="0"/>
              <w:jc w:val="center"/>
              <w:rPr/>
            </w:pPr>
            <w:r>
              <w:rPr/>
              <w:t>8.5</w:t>
            </w:r>
          </w:p>
        </w:tc>
        <w:tc>
          <w:tcPr>
            <w:tcW w:w="1259" w:type="dxa"/>
            <w:tcBorders/>
            <w:vAlign w:val="center"/>
          </w:tcPr>
          <w:p>
            <w:pPr>
              <w:pStyle w:val="TableContents"/>
              <w:spacing w:before="120" w:after="120"/>
              <w:ind w:hanging="0" w:left="0" w:right="0"/>
              <w:jc w:val="center"/>
              <w:rPr/>
            </w:pPr>
            <w:r>
              <w:rPr/>
              <w:t>65.0</w:t>
            </w:r>
          </w:p>
        </w:tc>
        <w:tc>
          <w:tcPr>
            <w:tcW w:w="991" w:type="dxa"/>
            <w:tcBorders/>
            <w:vAlign w:val="center"/>
          </w:tcPr>
          <w:p>
            <w:pPr>
              <w:pStyle w:val="TableContents"/>
              <w:spacing w:before="120" w:after="120"/>
              <w:ind w:hanging="0" w:left="0" w:right="0"/>
              <w:jc w:val="center"/>
              <w:rPr/>
            </w:pPr>
            <w:r>
              <w:rPr/>
              <w:t>100.0</w:t>
            </w:r>
          </w:p>
        </w:tc>
        <w:tc>
          <w:tcPr>
            <w:tcW w:w="1702" w:type="dxa"/>
            <w:tcBorders/>
            <w:vAlign w:val="center"/>
          </w:tcPr>
          <w:p>
            <w:pPr>
              <w:pStyle w:val="TableContents"/>
              <w:spacing w:before="120" w:after="120"/>
              <w:ind w:hanging="0" w:left="0" w:right="0"/>
              <w:jc w:val="center"/>
              <w:rPr/>
            </w:pPr>
            <w:r>
              <w:rPr/>
              <w:t>91.9</w:t>
            </w:r>
          </w:p>
        </w:tc>
      </w:tr>
      <w:tr>
        <w:trPr>
          <w:trHeight w:val="255" w:hRule="atLeast"/>
        </w:trPr>
        <w:tc>
          <w:tcPr>
            <w:tcW w:w="1620" w:type="dxa"/>
            <w:tcBorders/>
            <w:vAlign w:val="center"/>
          </w:tcPr>
          <w:p>
            <w:pPr>
              <w:pStyle w:val="Normal"/>
              <w:tabs>
                <w:tab w:val="clear" w:pos="708"/>
              </w:tabs>
              <w:spacing w:before="120" w:after="120"/>
              <w:jc w:val="center"/>
              <w:rPr/>
            </w:pPr>
            <w:r>
              <w:rPr>
                <w:rFonts w:ascii="Arial" w:hAnsi="Arial"/>
              </w:rPr>
              <w:t>1/3/2025</w:t>
            </w:r>
          </w:p>
        </w:tc>
        <w:tc>
          <w:tcPr>
            <w:tcW w:w="1529" w:type="dxa"/>
            <w:tcBorders/>
            <w:vAlign w:val="center"/>
          </w:tcPr>
          <w:p>
            <w:pPr>
              <w:pStyle w:val="TableContents"/>
              <w:spacing w:before="120" w:after="120"/>
              <w:ind w:hanging="0" w:left="0" w:right="0"/>
              <w:jc w:val="center"/>
              <w:rPr/>
            </w:pPr>
            <w:r>
              <w:rPr/>
              <w:t>11.7</w:t>
            </w:r>
          </w:p>
        </w:tc>
        <w:tc>
          <w:tcPr>
            <w:tcW w:w="1080" w:type="dxa"/>
            <w:tcBorders/>
            <w:vAlign w:val="center"/>
          </w:tcPr>
          <w:p>
            <w:pPr>
              <w:pStyle w:val="TableContents"/>
              <w:spacing w:before="120" w:after="120"/>
              <w:ind w:hanging="0" w:left="0" w:right="0"/>
              <w:jc w:val="center"/>
              <w:rPr/>
            </w:pPr>
            <w:r>
              <w:rPr/>
              <w:t>8.3</w:t>
            </w:r>
          </w:p>
        </w:tc>
        <w:tc>
          <w:tcPr>
            <w:tcW w:w="811" w:type="dxa"/>
            <w:tcBorders/>
            <w:vAlign w:val="center"/>
          </w:tcPr>
          <w:p>
            <w:pPr>
              <w:pStyle w:val="TableContents"/>
              <w:spacing w:before="120" w:after="120"/>
              <w:ind w:hanging="0" w:left="0" w:right="0"/>
              <w:jc w:val="center"/>
              <w:rPr/>
            </w:pPr>
            <w:r>
              <w:rPr/>
              <w:t>10.9</w:t>
            </w:r>
          </w:p>
        </w:tc>
        <w:tc>
          <w:tcPr>
            <w:tcW w:w="1515" w:type="dxa"/>
            <w:tcBorders/>
            <w:vAlign w:val="center"/>
          </w:tcPr>
          <w:p>
            <w:pPr>
              <w:pStyle w:val="TableContents"/>
              <w:spacing w:before="120" w:after="120"/>
              <w:ind w:hanging="0" w:left="0" w:right="0"/>
              <w:jc w:val="center"/>
              <w:rPr/>
            </w:pPr>
            <w:r>
              <w:rPr/>
              <w:t>9.6</w:t>
            </w:r>
          </w:p>
        </w:tc>
        <w:tc>
          <w:tcPr>
            <w:tcW w:w="1259" w:type="dxa"/>
            <w:tcBorders/>
            <w:vAlign w:val="center"/>
          </w:tcPr>
          <w:p>
            <w:pPr>
              <w:pStyle w:val="TableContents"/>
              <w:spacing w:before="120" w:after="120"/>
              <w:ind w:hanging="0" w:left="0" w:right="0"/>
              <w:jc w:val="center"/>
              <w:rPr/>
            </w:pPr>
            <w:r>
              <w:rPr/>
              <w:t>79.0</w:t>
            </w:r>
          </w:p>
        </w:tc>
        <w:tc>
          <w:tcPr>
            <w:tcW w:w="991" w:type="dxa"/>
            <w:tcBorders/>
            <w:vAlign w:val="center"/>
          </w:tcPr>
          <w:p>
            <w:pPr>
              <w:pStyle w:val="TableContents"/>
              <w:spacing w:before="120" w:after="120"/>
              <w:ind w:hanging="0" w:left="0" w:right="0"/>
              <w:jc w:val="center"/>
              <w:rPr/>
            </w:pPr>
            <w:r>
              <w:rPr/>
              <w:t>100.0</w:t>
            </w:r>
          </w:p>
        </w:tc>
        <w:tc>
          <w:tcPr>
            <w:tcW w:w="1702" w:type="dxa"/>
            <w:tcBorders/>
            <w:vAlign w:val="center"/>
          </w:tcPr>
          <w:p>
            <w:pPr>
              <w:pStyle w:val="TableContents"/>
              <w:spacing w:before="120" w:after="120"/>
              <w:ind w:hanging="0" w:left="0" w:right="0"/>
              <w:jc w:val="center"/>
              <w:rPr/>
            </w:pPr>
            <w:r>
              <w:rPr/>
              <w:t>90.2</w:t>
            </w:r>
          </w:p>
        </w:tc>
      </w:tr>
      <w:tr>
        <w:trPr>
          <w:trHeight w:val="255" w:hRule="atLeast"/>
        </w:trPr>
        <w:tc>
          <w:tcPr>
            <w:tcW w:w="1620" w:type="dxa"/>
            <w:tcBorders/>
            <w:vAlign w:val="center"/>
          </w:tcPr>
          <w:p>
            <w:pPr>
              <w:pStyle w:val="Normal"/>
              <w:tabs>
                <w:tab w:val="clear" w:pos="708"/>
              </w:tabs>
              <w:spacing w:before="120" w:after="120"/>
              <w:jc w:val="center"/>
              <w:rPr/>
            </w:pPr>
            <w:r>
              <w:rPr>
                <w:rFonts w:ascii="Arial" w:hAnsi="Arial"/>
              </w:rPr>
              <w:t>1/4/2025</w:t>
            </w:r>
          </w:p>
        </w:tc>
        <w:tc>
          <w:tcPr>
            <w:tcW w:w="1529" w:type="dxa"/>
            <w:tcBorders/>
            <w:vAlign w:val="center"/>
          </w:tcPr>
          <w:p>
            <w:pPr>
              <w:pStyle w:val="TableContents"/>
              <w:spacing w:before="120" w:after="120"/>
              <w:ind w:hanging="0" w:left="0" w:right="0"/>
              <w:jc w:val="center"/>
              <w:rPr/>
            </w:pPr>
            <w:r>
              <w:rPr/>
              <w:t>10.1</w:t>
            </w:r>
          </w:p>
        </w:tc>
        <w:tc>
          <w:tcPr>
            <w:tcW w:w="1080" w:type="dxa"/>
            <w:tcBorders/>
            <w:vAlign w:val="center"/>
          </w:tcPr>
          <w:p>
            <w:pPr>
              <w:pStyle w:val="TableContents"/>
              <w:spacing w:before="120" w:after="120"/>
              <w:ind w:hanging="0" w:left="0" w:right="0"/>
              <w:jc w:val="center"/>
              <w:rPr/>
            </w:pPr>
            <w:r>
              <w:rPr/>
              <w:t>9.8</w:t>
            </w:r>
          </w:p>
        </w:tc>
        <w:tc>
          <w:tcPr>
            <w:tcW w:w="811" w:type="dxa"/>
            <w:tcBorders/>
            <w:vAlign w:val="center"/>
          </w:tcPr>
          <w:p>
            <w:pPr>
              <w:pStyle w:val="TableContents"/>
              <w:spacing w:before="120" w:after="120"/>
              <w:ind w:hanging="0" w:left="0" w:right="0"/>
              <w:jc w:val="center"/>
              <w:rPr/>
            </w:pPr>
            <w:r>
              <w:rPr/>
              <w:t>12.5</w:t>
            </w:r>
          </w:p>
        </w:tc>
        <w:tc>
          <w:tcPr>
            <w:tcW w:w="1515" w:type="dxa"/>
            <w:tcBorders/>
            <w:vAlign w:val="center"/>
          </w:tcPr>
          <w:p>
            <w:pPr>
              <w:pStyle w:val="TableContents"/>
              <w:spacing w:before="120" w:after="120"/>
              <w:ind w:hanging="0" w:left="0" w:right="0"/>
              <w:jc w:val="center"/>
              <w:rPr/>
            </w:pPr>
            <w:r>
              <w:rPr/>
              <w:t>11.1</w:t>
            </w:r>
          </w:p>
        </w:tc>
        <w:tc>
          <w:tcPr>
            <w:tcW w:w="1259" w:type="dxa"/>
            <w:tcBorders/>
            <w:vAlign w:val="center"/>
          </w:tcPr>
          <w:p>
            <w:pPr>
              <w:pStyle w:val="TableContents"/>
              <w:spacing w:before="120" w:after="120"/>
              <w:ind w:hanging="0" w:left="0" w:right="0"/>
              <w:jc w:val="center"/>
              <w:rPr/>
            </w:pPr>
            <w:r>
              <w:rPr/>
              <w:t>60.0</w:t>
            </w:r>
          </w:p>
        </w:tc>
        <w:tc>
          <w:tcPr>
            <w:tcW w:w="991" w:type="dxa"/>
            <w:tcBorders/>
            <w:vAlign w:val="center"/>
          </w:tcPr>
          <w:p>
            <w:pPr>
              <w:pStyle w:val="TableContents"/>
              <w:spacing w:before="120" w:after="120"/>
              <w:ind w:hanging="0" w:left="0" w:right="0"/>
              <w:jc w:val="center"/>
              <w:rPr/>
            </w:pPr>
            <w:r>
              <w:rPr/>
              <w:t>100.0</w:t>
            </w:r>
          </w:p>
        </w:tc>
        <w:tc>
          <w:tcPr>
            <w:tcW w:w="1702" w:type="dxa"/>
            <w:tcBorders/>
            <w:vAlign w:val="center"/>
          </w:tcPr>
          <w:p>
            <w:pPr>
              <w:pStyle w:val="TableContents"/>
              <w:spacing w:before="120" w:after="120"/>
              <w:ind w:hanging="0" w:left="0" w:right="0"/>
              <w:jc w:val="center"/>
              <w:rPr/>
            </w:pPr>
            <w:r>
              <w:rPr/>
              <w:t>84.5</w:t>
            </w:r>
          </w:p>
        </w:tc>
      </w:tr>
      <w:tr>
        <w:trPr>
          <w:trHeight w:val="255" w:hRule="atLeast"/>
        </w:trPr>
        <w:tc>
          <w:tcPr>
            <w:tcW w:w="1620" w:type="dxa"/>
            <w:tcBorders/>
            <w:vAlign w:val="center"/>
          </w:tcPr>
          <w:p>
            <w:pPr>
              <w:pStyle w:val="Normal"/>
              <w:tabs>
                <w:tab w:val="clear" w:pos="708"/>
              </w:tabs>
              <w:spacing w:before="120" w:after="120"/>
              <w:jc w:val="center"/>
              <w:rPr/>
            </w:pPr>
            <w:r>
              <w:rPr>
                <w:rFonts w:ascii="Arial" w:hAnsi="Arial"/>
              </w:rPr>
              <w:t>1/5/2025</w:t>
            </w:r>
          </w:p>
        </w:tc>
        <w:tc>
          <w:tcPr>
            <w:tcW w:w="1529" w:type="dxa"/>
            <w:tcBorders/>
            <w:vAlign w:val="center"/>
          </w:tcPr>
          <w:p>
            <w:pPr>
              <w:pStyle w:val="TableContents"/>
              <w:spacing w:before="120" w:after="120"/>
              <w:ind w:hanging="0" w:left="0" w:right="0"/>
              <w:jc w:val="center"/>
              <w:rPr/>
            </w:pPr>
            <w:r>
              <w:rPr/>
              <w:t>8.4</w:t>
            </w:r>
          </w:p>
        </w:tc>
        <w:tc>
          <w:tcPr>
            <w:tcW w:w="1080" w:type="dxa"/>
            <w:tcBorders/>
            <w:vAlign w:val="center"/>
          </w:tcPr>
          <w:p>
            <w:pPr>
              <w:pStyle w:val="TableContents"/>
              <w:spacing w:before="120" w:after="120"/>
              <w:ind w:hanging="0" w:left="0" w:right="0"/>
              <w:jc w:val="center"/>
              <w:rPr/>
            </w:pPr>
            <w:r>
              <w:rPr/>
              <w:t>7.9</w:t>
            </w:r>
          </w:p>
        </w:tc>
        <w:tc>
          <w:tcPr>
            <w:tcW w:w="811" w:type="dxa"/>
            <w:tcBorders/>
            <w:vAlign w:val="center"/>
          </w:tcPr>
          <w:p>
            <w:pPr>
              <w:pStyle w:val="TableContents"/>
              <w:spacing w:before="120" w:after="120"/>
              <w:ind w:hanging="0" w:left="0" w:right="0"/>
              <w:jc w:val="center"/>
              <w:rPr/>
            </w:pPr>
            <w:r>
              <w:rPr/>
              <w:t>11.2</w:t>
            </w:r>
          </w:p>
        </w:tc>
        <w:tc>
          <w:tcPr>
            <w:tcW w:w="1515" w:type="dxa"/>
            <w:tcBorders/>
            <w:vAlign w:val="center"/>
          </w:tcPr>
          <w:p>
            <w:pPr>
              <w:pStyle w:val="TableContents"/>
              <w:spacing w:before="120" w:after="120"/>
              <w:ind w:hanging="0" w:left="0" w:right="0"/>
              <w:jc w:val="center"/>
              <w:rPr/>
            </w:pPr>
            <w:r>
              <w:rPr/>
              <w:t>9.7</w:t>
            </w:r>
          </w:p>
        </w:tc>
        <w:tc>
          <w:tcPr>
            <w:tcW w:w="1259" w:type="dxa"/>
            <w:tcBorders/>
            <w:vAlign w:val="center"/>
          </w:tcPr>
          <w:p>
            <w:pPr>
              <w:pStyle w:val="TableContents"/>
              <w:spacing w:before="120" w:after="120"/>
              <w:ind w:hanging="0" w:left="0" w:right="0"/>
              <w:jc w:val="center"/>
              <w:rPr/>
            </w:pPr>
            <w:r>
              <w:rPr/>
              <w:t>69.0</w:t>
            </w:r>
          </w:p>
        </w:tc>
        <w:tc>
          <w:tcPr>
            <w:tcW w:w="991" w:type="dxa"/>
            <w:tcBorders/>
            <w:vAlign w:val="center"/>
          </w:tcPr>
          <w:p>
            <w:pPr>
              <w:pStyle w:val="TableContents"/>
              <w:spacing w:before="120" w:after="120"/>
              <w:ind w:hanging="0" w:left="0" w:right="0"/>
              <w:jc w:val="center"/>
              <w:rPr/>
            </w:pPr>
            <w:r>
              <w:rPr/>
              <w:t>100.0</w:t>
            </w:r>
          </w:p>
        </w:tc>
        <w:tc>
          <w:tcPr>
            <w:tcW w:w="1702" w:type="dxa"/>
            <w:tcBorders/>
            <w:vAlign w:val="center"/>
          </w:tcPr>
          <w:p>
            <w:pPr>
              <w:pStyle w:val="TableContents"/>
              <w:spacing w:before="120" w:after="120"/>
              <w:ind w:hanging="0" w:left="0" w:right="0"/>
              <w:jc w:val="center"/>
              <w:rPr/>
            </w:pPr>
            <w:r>
              <w:rPr/>
              <w:t>90.5</w:t>
            </w:r>
          </w:p>
        </w:tc>
      </w:tr>
    </w:tbl>
    <w:p>
      <w:pPr>
        <w:pStyle w:val="Normal"/>
        <w:rPr/>
      </w:pPr>
      <w:r>
        <w:rPr/>
      </w:r>
    </w:p>
    <w:p>
      <w:pPr>
        <w:pStyle w:val="Normal"/>
        <w:rPr/>
      </w:pPr>
      <w:r>
        <w:rPr/>
      </w:r>
    </w:p>
    <w:tbl>
      <w:tblPr>
        <w:tblW w:w="10449" w:type="dxa"/>
        <w:jc w:val="left"/>
        <w:tblInd w:w="-369" w:type="dxa"/>
        <w:tblLayout w:type="fixed"/>
        <w:tblCellMar>
          <w:top w:w="0" w:type="dxa"/>
          <w:left w:w="30" w:type="dxa"/>
          <w:bottom w:w="0" w:type="dxa"/>
          <w:right w:w="30" w:type="dxa"/>
        </w:tblCellMar>
      </w:tblPr>
      <w:tblGrid>
        <w:gridCol w:w="2249"/>
        <w:gridCol w:w="1560"/>
        <w:gridCol w:w="720"/>
        <w:gridCol w:w="1170"/>
        <w:gridCol w:w="1440"/>
        <w:gridCol w:w="1081"/>
        <w:gridCol w:w="2228"/>
      </w:tblGrid>
      <w:tr>
        <w:trPr>
          <w:trHeight w:val="2430" w:hRule="atLeast"/>
        </w:trPr>
        <w:tc>
          <w:tcPr>
            <w:tcW w:w="2249" w:type="dxa"/>
            <w:tcBorders/>
            <w:vAlign w:val="center"/>
          </w:tcPr>
          <w:p>
            <w:pPr>
              <w:pStyle w:val="Normal"/>
              <w:tabs>
                <w:tab w:val="clear" w:pos="708"/>
              </w:tabs>
              <w:spacing w:before="120" w:after="120"/>
              <w:jc w:val="center"/>
              <w:rPr/>
            </w:pPr>
            <w:r>
              <w:rPr>
                <w:rFonts w:ascii="Arial" w:hAnsi="Arial"/>
              </w:rPr>
              <w:t>Data</w:t>
            </w:r>
          </w:p>
        </w:tc>
        <w:tc>
          <w:tcPr>
            <w:tcW w:w="1560" w:type="dxa"/>
            <w:tcBorders/>
            <w:vAlign w:val="center"/>
          </w:tcPr>
          <w:p>
            <w:pPr>
              <w:pStyle w:val="TableContents"/>
              <w:spacing w:before="120" w:after="120"/>
              <w:ind w:hanging="0" w:left="0" w:right="0"/>
              <w:jc w:val="center"/>
              <w:rPr/>
            </w:pPr>
            <w:r>
              <w:rPr/>
              <w:t>Acerra 26 - Umidità terreno - Min (%VWC)</w:t>
            </w:r>
          </w:p>
        </w:tc>
        <w:tc>
          <w:tcPr>
            <w:tcW w:w="720" w:type="dxa"/>
            <w:tcBorders/>
            <w:vAlign w:val="center"/>
          </w:tcPr>
          <w:p>
            <w:pPr>
              <w:pStyle w:val="TableContents"/>
              <w:spacing w:before="120" w:after="120"/>
              <w:ind w:hanging="0" w:left="0" w:right="0"/>
              <w:jc w:val="center"/>
              <w:rPr/>
            </w:pPr>
            <w:r>
              <w:rPr/>
              <w:t>Acerra 26 - Umidità terreno - Max (%VWC)</w:t>
            </w:r>
          </w:p>
        </w:tc>
        <w:tc>
          <w:tcPr>
            <w:tcW w:w="1170" w:type="dxa"/>
            <w:tcBorders/>
            <w:vAlign w:val="center"/>
          </w:tcPr>
          <w:p>
            <w:pPr>
              <w:pStyle w:val="TableContents"/>
              <w:spacing w:before="120" w:after="120"/>
              <w:ind w:hanging="0" w:left="0" w:right="0"/>
              <w:jc w:val="center"/>
              <w:rPr/>
            </w:pPr>
            <w:r>
              <w:rPr/>
              <w:t>Acerra 26 - Umidità terreno - Grezzo (%VWC)</w:t>
            </w:r>
          </w:p>
        </w:tc>
        <w:tc>
          <w:tcPr>
            <w:tcW w:w="1440" w:type="dxa"/>
            <w:tcBorders/>
            <w:vAlign w:val="center"/>
          </w:tcPr>
          <w:p>
            <w:pPr>
              <w:pStyle w:val="TableContents"/>
              <w:spacing w:before="120" w:after="120"/>
              <w:ind w:hanging="0" w:left="0" w:right="0"/>
              <w:jc w:val="center"/>
              <w:rPr/>
            </w:pPr>
            <w:r>
              <w:rPr/>
              <w:t>Acerra 26 - Velocità vento - Min (m/s)</w:t>
            </w:r>
          </w:p>
        </w:tc>
        <w:tc>
          <w:tcPr>
            <w:tcW w:w="1081" w:type="dxa"/>
            <w:tcBorders/>
            <w:vAlign w:val="center"/>
          </w:tcPr>
          <w:p>
            <w:pPr>
              <w:pStyle w:val="TableContents"/>
              <w:spacing w:before="120" w:after="120"/>
              <w:ind w:hanging="0" w:left="0" w:right="0"/>
              <w:jc w:val="center"/>
              <w:rPr/>
            </w:pPr>
            <w:r>
              <w:rPr/>
              <w:t>Acerra 26 - Velocità vento - Max (m/s)</w:t>
            </w:r>
          </w:p>
        </w:tc>
        <w:tc>
          <w:tcPr>
            <w:tcW w:w="2228" w:type="dxa"/>
            <w:tcBorders/>
            <w:vAlign w:val="center"/>
          </w:tcPr>
          <w:p>
            <w:pPr>
              <w:pStyle w:val="TableContents"/>
              <w:spacing w:before="120" w:after="120"/>
              <w:ind w:hanging="0" w:left="0" w:right="0"/>
              <w:jc w:val="center"/>
              <w:rPr/>
            </w:pPr>
            <w:r>
              <w:rPr/>
              <w:t>Acerra 26 - Velocità vento - Grezzo (m/s)</w:t>
            </w:r>
          </w:p>
        </w:tc>
      </w:tr>
      <w:tr>
        <w:trPr>
          <w:trHeight w:val="255" w:hRule="atLeast"/>
        </w:trPr>
        <w:tc>
          <w:tcPr>
            <w:tcW w:w="2249" w:type="dxa"/>
            <w:tcBorders/>
            <w:vAlign w:val="center"/>
          </w:tcPr>
          <w:p>
            <w:pPr>
              <w:pStyle w:val="Normal"/>
              <w:tabs>
                <w:tab w:val="clear" w:pos="708"/>
              </w:tabs>
              <w:spacing w:before="120" w:after="120"/>
              <w:jc w:val="center"/>
              <w:rPr/>
            </w:pPr>
            <w:r>
              <w:rPr>
                <w:rFonts w:ascii="Arial" w:hAnsi="Arial"/>
              </w:rPr>
              <w:t>1/1/2025</w:t>
            </w:r>
          </w:p>
        </w:tc>
        <w:tc>
          <w:tcPr>
            <w:tcW w:w="1560" w:type="dxa"/>
            <w:tcBorders/>
            <w:vAlign w:val="center"/>
          </w:tcPr>
          <w:p>
            <w:pPr>
              <w:pStyle w:val="TableContents"/>
              <w:spacing w:before="120" w:after="120"/>
              <w:ind w:hanging="0" w:left="0" w:right="0"/>
              <w:jc w:val="center"/>
              <w:rPr/>
            </w:pPr>
            <w:r>
              <w:rPr/>
              <w:t>40.3</w:t>
            </w:r>
          </w:p>
        </w:tc>
        <w:tc>
          <w:tcPr>
            <w:tcW w:w="720" w:type="dxa"/>
            <w:tcBorders/>
            <w:vAlign w:val="center"/>
          </w:tcPr>
          <w:p>
            <w:pPr>
              <w:pStyle w:val="TableContents"/>
              <w:spacing w:before="120" w:after="120"/>
              <w:ind w:hanging="0" w:left="0" w:right="0"/>
              <w:jc w:val="center"/>
              <w:rPr/>
            </w:pPr>
            <w:r>
              <w:rPr/>
              <w:t>40.5</w:t>
            </w:r>
          </w:p>
        </w:tc>
        <w:tc>
          <w:tcPr>
            <w:tcW w:w="1170" w:type="dxa"/>
            <w:tcBorders/>
            <w:vAlign w:val="center"/>
          </w:tcPr>
          <w:p>
            <w:pPr>
              <w:pStyle w:val="TableContents"/>
              <w:spacing w:before="120" w:after="120"/>
              <w:ind w:hanging="0" w:left="0" w:right="0"/>
              <w:jc w:val="center"/>
              <w:rPr/>
            </w:pPr>
            <w:r>
              <w:rPr/>
              <w:t>40.4</w:t>
            </w:r>
          </w:p>
        </w:tc>
        <w:tc>
          <w:tcPr>
            <w:tcW w:w="1440" w:type="dxa"/>
            <w:tcBorders/>
            <w:vAlign w:val="center"/>
          </w:tcPr>
          <w:p>
            <w:pPr>
              <w:pStyle w:val="TableContents"/>
              <w:spacing w:before="120" w:after="120"/>
              <w:ind w:hanging="0" w:left="0" w:right="0"/>
              <w:jc w:val="center"/>
              <w:rPr/>
            </w:pPr>
            <w:r>
              <w:rPr/>
              <w:t>0.0</w:t>
            </w:r>
          </w:p>
        </w:tc>
        <w:tc>
          <w:tcPr>
            <w:tcW w:w="1081" w:type="dxa"/>
            <w:tcBorders/>
            <w:vAlign w:val="center"/>
          </w:tcPr>
          <w:p>
            <w:pPr>
              <w:pStyle w:val="TableContents"/>
              <w:spacing w:before="120" w:after="120"/>
              <w:ind w:hanging="0" w:left="0" w:right="0"/>
              <w:jc w:val="center"/>
              <w:rPr/>
            </w:pPr>
            <w:r>
              <w:rPr/>
              <w:t>0.7</w:t>
            </w:r>
          </w:p>
        </w:tc>
        <w:tc>
          <w:tcPr>
            <w:tcW w:w="2228" w:type="dxa"/>
            <w:tcBorders/>
            <w:vAlign w:val="center"/>
          </w:tcPr>
          <w:p>
            <w:pPr>
              <w:pStyle w:val="TableContents"/>
              <w:spacing w:before="120" w:after="120"/>
              <w:ind w:hanging="0" w:left="0" w:right="0"/>
              <w:jc w:val="center"/>
              <w:rPr/>
            </w:pPr>
            <w:r>
              <w:rPr/>
              <w:t>0.0</w:t>
            </w:r>
          </w:p>
        </w:tc>
      </w:tr>
      <w:tr>
        <w:trPr>
          <w:trHeight w:val="255" w:hRule="atLeast"/>
        </w:trPr>
        <w:tc>
          <w:tcPr>
            <w:tcW w:w="2249" w:type="dxa"/>
            <w:tcBorders/>
            <w:vAlign w:val="center"/>
          </w:tcPr>
          <w:p>
            <w:pPr>
              <w:pStyle w:val="Normal"/>
              <w:tabs>
                <w:tab w:val="clear" w:pos="708"/>
              </w:tabs>
              <w:spacing w:before="120" w:after="120"/>
              <w:jc w:val="center"/>
              <w:rPr/>
            </w:pPr>
            <w:r>
              <w:rPr>
                <w:rFonts w:ascii="Arial" w:hAnsi="Arial"/>
              </w:rPr>
              <w:t>1/2/2025</w:t>
            </w:r>
          </w:p>
        </w:tc>
        <w:tc>
          <w:tcPr>
            <w:tcW w:w="1560" w:type="dxa"/>
            <w:tcBorders/>
            <w:vAlign w:val="center"/>
          </w:tcPr>
          <w:p>
            <w:pPr>
              <w:pStyle w:val="TableContents"/>
              <w:spacing w:before="120" w:after="120"/>
              <w:ind w:hanging="0" w:left="0" w:right="0"/>
              <w:jc w:val="center"/>
              <w:rPr/>
            </w:pPr>
            <w:r>
              <w:rPr/>
              <w:t>40.1</w:t>
            </w:r>
          </w:p>
        </w:tc>
        <w:tc>
          <w:tcPr>
            <w:tcW w:w="720" w:type="dxa"/>
            <w:tcBorders/>
            <w:vAlign w:val="center"/>
          </w:tcPr>
          <w:p>
            <w:pPr>
              <w:pStyle w:val="TableContents"/>
              <w:spacing w:before="120" w:after="120"/>
              <w:ind w:hanging="0" w:left="0" w:right="0"/>
              <w:jc w:val="center"/>
              <w:rPr/>
            </w:pPr>
            <w:r>
              <w:rPr/>
              <w:t>40.3</w:t>
            </w:r>
          </w:p>
        </w:tc>
        <w:tc>
          <w:tcPr>
            <w:tcW w:w="1170" w:type="dxa"/>
            <w:tcBorders/>
            <w:vAlign w:val="center"/>
          </w:tcPr>
          <w:p>
            <w:pPr>
              <w:pStyle w:val="TableContents"/>
              <w:spacing w:before="120" w:after="120"/>
              <w:ind w:hanging="0" w:left="0" w:right="0"/>
              <w:jc w:val="center"/>
              <w:rPr/>
            </w:pPr>
            <w:r>
              <w:rPr/>
              <w:t>40.2</w:t>
            </w:r>
          </w:p>
        </w:tc>
        <w:tc>
          <w:tcPr>
            <w:tcW w:w="1440" w:type="dxa"/>
            <w:tcBorders/>
            <w:vAlign w:val="center"/>
          </w:tcPr>
          <w:p>
            <w:pPr>
              <w:pStyle w:val="TableContents"/>
              <w:spacing w:before="120" w:after="120"/>
              <w:ind w:hanging="0" w:left="0" w:right="0"/>
              <w:jc w:val="center"/>
              <w:rPr/>
            </w:pPr>
            <w:r>
              <w:rPr/>
              <w:t>0.0</w:t>
            </w:r>
          </w:p>
        </w:tc>
        <w:tc>
          <w:tcPr>
            <w:tcW w:w="1081" w:type="dxa"/>
            <w:tcBorders/>
            <w:vAlign w:val="center"/>
          </w:tcPr>
          <w:p>
            <w:pPr>
              <w:pStyle w:val="TableContents"/>
              <w:spacing w:before="120" w:after="120"/>
              <w:ind w:hanging="0" w:left="0" w:right="0"/>
              <w:jc w:val="center"/>
              <w:rPr/>
            </w:pPr>
            <w:r>
              <w:rPr/>
              <w:t>1.6</w:t>
            </w:r>
          </w:p>
        </w:tc>
        <w:tc>
          <w:tcPr>
            <w:tcW w:w="2228" w:type="dxa"/>
            <w:tcBorders/>
            <w:vAlign w:val="center"/>
          </w:tcPr>
          <w:p>
            <w:pPr>
              <w:pStyle w:val="TableContents"/>
              <w:spacing w:before="120" w:after="120"/>
              <w:ind w:hanging="0" w:left="0" w:right="0"/>
              <w:jc w:val="center"/>
              <w:rPr/>
            </w:pPr>
            <w:r>
              <w:rPr/>
              <w:t>0.2</w:t>
            </w:r>
          </w:p>
        </w:tc>
      </w:tr>
      <w:tr>
        <w:trPr>
          <w:trHeight w:val="255" w:hRule="atLeast"/>
        </w:trPr>
        <w:tc>
          <w:tcPr>
            <w:tcW w:w="2249" w:type="dxa"/>
            <w:tcBorders/>
            <w:vAlign w:val="center"/>
          </w:tcPr>
          <w:p>
            <w:pPr>
              <w:pStyle w:val="Normal"/>
              <w:tabs>
                <w:tab w:val="clear" w:pos="708"/>
              </w:tabs>
              <w:spacing w:before="120" w:after="120"/>
              <w:jc w:val="center"/>
              <w:rPr/>
            </w:pPr>
            <w:r>
              <w:rPr>
                <w:rFonts w:ascii="Arial" w:hAnsi="Arial"/>
              </w:rPr>
              <w:t>1/3/2025</w:t>
            </w:r>
          </w:p>
        </w:tc>
        <w:tc>
          <w:tcPr>
            <w:tcW w:w="1560" w:type="dxa"/>
            <w:tcBorders/>
            <w:vAlign w:val="center"/>
          </w:tcPr>
          <w:p>
            <w:pPr>
              <w:pStyle w:val="TableContents"/>
              <w:spacing w:before="120" w:after="120"/>
              <w:ind w:hanging="0" w:left="0" w:right="0"/>
              <w:jc w:val="center"/>
              <w:rPr/>
            </w:pPr>
            <w:r>
              <w:rPr/>
              <w:t>40.1</w:t>
            </w:r>
          </w:p>
        </w:tc>
        <w:tc>
          <w:tcPr>
            <w:tcW w:w="720" w:type="dxa"/>
            <w:tcBorders/>
            <w:vAlign w:val="center"/>
          </w:tcPr>
          <w:p>
            <w:pPr>
              <w:pStyle w:val="TableContents"/>
              <w:spacing w:before="120" w:after="120"/>
              <w:ind w:hanging="0" w:left="0" w:right="0"/>
              <w:jc w:val="center"/>
              <w:rPr/>
            </w:pPr>
            <w:r>
              <w:rPr/>
              <w:t>40.7</w:t>
            </w:r>
          </w:p>
        </w:tc>
        <w:tc>
          <w:tcPr>
            <w:tcW w:w="1170" w:type="dxa"/>
            <w:tcBorders/>
            <w:vAlign w:val="center"/>
          </w:tcPr>
          <w:p>
            <w:pPr>
              <w:pStyle w:val="TableContents"/>
              <w:spacing w:before="120" w:after="120"/>
              <w:ind w:hanging="0" w:left="0" w:right="0"/>
              <w:jc w:val="center"/>
              <w:rPr/>
            </w:pPr>
            <w:r>
              <w:rPr/>
              <w:t>40.2</w:t>
            </w:r>
          </w:p>
        </w:tc>
        <w:tc>
          <w:tcPr>
            <w:tcW w:w="1440" w:type="dxa"/>
            <w:tcBorders/>
            <w:vAlign w:val="center"/>
          </w:tcPr>
          <w:p>
            <w:pPr>
              <w:pStyle w:val="TableContents"/>
              <w:spacing w:before="120" w:after="120"/>
              <w:ind w:hanging="0" w:left="0" w:right="0"/>
              <w:jc w:val="center"/>
              <w:rPr/>
            </w:pPr>
            <w:r>
              <w:rPr/>
              <w:t>0.0</w:t>
            </w:r>
          </w:p>
        </w:tc>
        <w:tc>
          <w:tcPr>
            <w:tcW w:w="1081" w:type="dxa"/>
            <w:tcBorders/>
            <w:vAlign w:val="center"/>
          </w:tcPr>
          <w:p>
            <w:pPr>
              <w:pStyle w:val="TableContents"/>
              <w:spacing w:before="120" w:after="120"/>
              <w:ind w:hanging="0" w:left="0" w:right="0"/>
              <w:jc w:val="center"/>
              <w:rPr/>
            </w:pPr>
            <w:r>
              <w:rPr/>
              <w:t>5.2</w:t>
            </w:r>
          </w:p>
        </w:tc>
        <w:tc>
          <w:tcPr>
            <w:tcW w:w="2228" w:type="dxa"/>
            <w:tcBorders/>
            <w:vAlign w:val="center"/>
          </w:tcPr>
          <w:p>
            <w:pPr>
              <w:pStyle w:val="TableContents"/>
              <w:spacing w:before="120" w:after="120"/>
              <w:ind w:hanging="0" w:left="0" w:right="0"/>
              <w:jc w:val="center"/>
              <w:rPr/>
            </w:pPr>
            <w:r>
              <w:rPr/>
              <w:t>1.2</w:t>
            </w:r>
          </w:p>
        </w:tc>
      </w:tr>
      <w:tr>
        <w:trPr>
          <w:trHeight w:val="255" w:hRule="atLeast"/>
        </w:trPr>
        <w:tc>
          <w:tcPr>
            <w:tcW w:w="2249" w:type="dxa"/>
            <w:tcBorders/>
            <w:vAlign w:val="center"/>
          </w:tcPr>
          <w:p>
            <w:pPr>
              <w:pStyle w:val="Normal"/>
              <w:tabs>
                <w:tab w:val="clear" w:pos="708"/>
              </w:tabs>
              <w:spacing w:before="120" w:after="120"/>
              <w:jc w:val="center"/>
              <w:rPr/>
            </w:pPr>
            <w:r>
              <w:rPr>
                <w:rFonts w:ascii="Arial" w:hAnsi="Arial"/>
              </w:rPr>
              <w:t>1/4/2025</w:t>
            </w:r>
          </w:p>
        </w:tc>
        <w:tc>
          <w:tcPr>
            <w:tcW w:w="1560" w:type="dxa"/>
            <w:tcBorders/>
            <w:vAlign w:val="center"/>
          </w:tcPr>
          <w:p>
            <w:pPr>
              <w:pStyle w:val="TableContents"/>
              <w:spacing w:before="120" w:after="120"/>
              <w:ind w:hanging="0" w:left="0" w:right="0"/>
              <w:jc w:val="center"/>
              <w:rPr/>
            </w:pPr>
            <w:r>
              <w:rPr/>
              <w:t>40.7</w:t>
            </w:r>
          </w:p>
        </w:tc>
        <w:tc>
          <w:tcPr>
            <w:tcW w:w="720" w:type="dxa"/>
            <w:tcBorders/>
            <w:vAlign w:val="center"/>
          </w:tcPr>
          <w:p>
            <w:pPr>
              <w:pStyle w:val="TableContents"/>
              <w:spacing w:before="120" w:after="120"/>
              <w:ind w:hanging="0" w:left="0" w:right="0"/>
              <w:jc w:val="center"/>
              <w:rPr/>
            </w:pPr>
            <w:r>
              <w:rPr/>
              <w:t>42.1</w:t>
            </w:r>
          </w:p>
        </w:tc>
        <w:tc>
          <w:tcPr>
            <w:tcW w:w="1170" w:type="dxa"/>
            <w:tcBorders/>
            <w:vAlign w:val="center"/>
          </w:tcPr>
          <w:p>
            <w:pPr>
              <w:pStyle w:val="TableContents"/>
              <w:spacing w:before="120" w:after="120"/>
              <w:ind w:hanging="0" w:left="0" w:right="0"/>
              <w:jc w:val="center"/>
              <w:rPr/>
            </w:pPr>
            <w:r>
              <w:rPr/>
              <w:t>41.8</w:t>
            </w:r>
          </w:p>
        </w:tc>
        <w:tc>
          <w:tcPr>
            <w:tcW w:w="1440" w:type="dxa"/>
            <w:tcBorders/>
            <w:vAlign w:val="center"/>
          </w:tcPr>
          <w:p>
            <w:pPr>
              <w:pStyle w:val="TableContents"/>
              <w:spacing w:before="120" w:after="120"/>
              <w:ind w:hanging="0" w:left="0" w:right="0"/>
              <w:jc w:val="center"/>
              <w:rPr/>
            </w:pPr>
            <w:r>
              <w:rPr/>
              <w:t>0.0</w:t>
            </w:r>
          </w:p>
        </w:tc>
        <w:tc>
          <w:tcPr>
            <w:tcW w:w="1081" w:type="dxa"/>
            <w:tcBorders/>
            <w:vAlign w:val="center"/>
          </w:tcPr>
          <w:p>
            <w:pPr>
              <w:pStyle w:val="TableContents"/>
              <w:spacing w:before="120" w:after="120"/>
              <w:ind w:hanging="0" w:left="0" w:right="0"/>
              <w:jc w:val="center"/>
              <w:rPr/>
            </w:pPr>
            <w:r>
              <w:rPr/>
              <w:t>2.0</w:t>
            </w:r>
          </w:p>
        </w:tc>
        <w:tc>
          <w:tcPr>
            <w:tcW w:w="2228" w:type="dxa"/>
            <w:tcBorders/>
            <w:vAlign w:val="center"/>
          </w:tcPr>
          <w:p>
            <w:pPr>
              <w:pStyle w:val="TableContents"/>
              <w:spacing w:before="120" w:after="120"/>
              <w:ind w:hanging="0" w:left="0" w:right="0"/>
              <w:jc w:val="center"/>
              <w:rPr/>
            </w:pPr>
            <w:r>
              <w:rPr/>
              <w:t>0.4</w:t>
            </w:r>
          </w:p>
        </w:tc>
      </w:tr>
      <w:tr>
        <w:trPr>
          <w:trHeight w:val="255" w:hRule="atLeast"/>
        </w:trPr>
        <w:tc>
          <w:tcPr>
            <w:tcW w:w="2249" w:type="dxa"/>
            <w:tcBorders/>
            <w:vAlign w:val="center"/>
          </w:tcPr>
          <w:p>
            <w:pPr>
              <w:pStyle w:val="Normal"/>
              <w:tabs>
                <w:tab w:val="clear" w:pos="708"/>
              </w:tabs>
              <w:spacing w:before="120" w:after="120"/>
              <w:jc w:val="center"/>
              <w:rPr/>
            </w:pPr>
            <w:r>
              <w:rPr>
                <w:rFonts w:ascii="Arial" w:hAnsi="Arial"/>
              </w:rPr>
              <w:t>1/5/2025</w:t>
            </w:r>
          </w:p>
        </w:tc>
        <w:tc>
          <w:tcPr>
            <w:tcW w:w="1560" w:type="dxa"/>
            <w:tcBorders/>
            <w:vAlign w:val="center"/>
          </w:tcPr>
          <w:p>
            <w:pPr>
              <w:pStyle w:val="TableContents"/>
              <w:spacing w:before="120" w:after="120"/>
              <w:ind w:hanging="0" w:left="0" w:right="0"/>
              <w:jc w:val="center"/>
              <w:rPr/>
            </w:pPr>
            <w:r>
              <w:rPr/>
              <w:t>41.5</w:t>
            </w:r>
          </w:p>
        </w:tc>
        <w:tc>
          <w:tcPr>
            <w:tcW w:w="720" w:type="dxa"/>
            <w:tcBorders/>
            <w:vAlign w:val="center"/>
          </w:tcPr>
          <w:p>
            <w:pPr>
              <w:pStyle w:val="TableContents"/>
              <w:spacing w:before="120" w:after="120"/>
              <w:ind w:hanging="0" w:left="0" w:right="0"/>
              <w:jc w:val="center"/>
              <w:rPr/>
            </w:pPr>
            <w:r>
              <w:rPr/>
              <w:t>41.8</w:t>
            </w:r>
          </w:p>
        </w:tc>
        <w:tc>
          <w:tcPr>
            <w:tcW w:w="1170" w:type="dxa"/>
            <w:tcBorders/>
            <w:vAlign w:val="center"/>
          </w:tcPr>
          <w:p>
            <w:pPr>
              <w:pStyle w:val="TableContents"/>
              <w:spacing w:before="120" w:after="120"/>
              <w:ind w:hanging="0" w:left="0" w:right="0"/>
              <w:jc w:val="center"/>
              <w:rPr/>
            </w:pPr>
            <w:r>
              <w:rPr/>
              <w:t>41.6</w:t>
            </w:r>
          </w:p>
        </w:tc>
        <w:tc>
          <w:tcPr>
            <w:tcW w:w="1440" w:type="dxa"/>
            <w:tcBorders/>
            <w:vAlign w:val="center"/>
          </w:tcPr>
          <w:p>
            <w:pPr>
              <w:pStyle w:val="TableContents"/>
              <w:spacing w:before="120" w:after="120"/>
              <w:ind w:hanging="0" w:left="0" w:right="0"/>
              <w:jc w:val="center"/>
              <w:rPr/>
            </w:pPr>
            <w:r>
              <w:rPr/>
              <w:t>0.0</w:t>
            </w:r>
          </w:p>
        </w:tc>
        <w:tc>
          <w:tcPr>
            <w:tcW w:w="1081" w:type="dxa"/>
            <w:tcBorders/>
            <w:vAlign w:val="center"/>
          </w:tcPr>
          <w:p>
            <w:pPr>
              <w:pStyle w:val="TableContents"/>
              <w:spacing w:before="120" w:after="120"/>
              <w:ind w:hanging="0" w:left="0" w:right="0"/>
              <w:jc w:val="center"/>
              <w:rPr/>
            </w:pPr>
            <w:r>
              <w:rPr/>
              <w:t>1.3</w:t>
            </w:r>
          </w:p>
        </w:tc>
        <w:tc>
          <w:tcPr>
            <w:tcW w:w="2228" w:type="dxa"/>
            <w:tcBorders/>
            <w:vAlign w:val="center"/>
          </w:tcPr>
          <w:p>
            <w:pPr>
              <w:pStyle w:val="TableContents"/>
              <w:spacing w:before="120" w:after="120"/>
              <w:jc w:val="center"/>
              <w:rPr/>
            </w:pPr>
            <w:r>
              <w:rPr/>
              <w:t>0.0</w:t>
            </w:r>
          </w:p>
        </w:tc>
      </w:tr>
    </w:tbl>
    <w:p>
      <w:pPr>
        <w:pStyle w:val="Normal"/>
        <w:rPr/>
      </w:pPr>
      <w:r>
        <w:rPr/>
      </w:r>
    </w:p>
    <w:p>
      <w:pPr>
        <w:pStyle w:val="Normal"/>
        <w:rPr/>
      </w:pPr>
      <w:r>
        <w:rPr/>
      </w:r>
      <w:r>
        <w:br w:type="page"/>
      </w:r>
    </w:p>
    <w:p>
      <w:pPr>
        <w:pStyle w:val="Heading1"/>
        <w:spacing w:before="0" w:after="80"/>
        <w:rPr/>
      </w:pPr>
      <w:bookmarkStart w:id="3" w:name="_Toc211844800"/>
      <w:r>
        <w:rPr/>
        <w:t>Possibili correlazioni</w:t>
      </w:r>
      <w:bookmarkEnd w:id="3"/>
    </w:p>
    <w:p>
      <w:pPr>
        <w:pStyle w:val="Normal"/>
        <w:rPr/>
      </w:pPr>
      <w:r>
        <w:rPr/>
        <w:t>La teoria delle sindemie suggerisce che le malattie non si manifestano in isolamento, ma tendono a raggrupparsi e interagire in modo sinergico, soprattutto in gruppi socialmente svantaggiati. Questa interazione peggiora il quadro clinico e l'impatto complessivo sulla salute. In letteratura si trovano molti articoli che propongono l'inquinamento atmosferico come il principale fattore scatenante di queste sindemie, collegando i danni ambientali a quelli sanitari.</w:t>
      </w:r>
    </w:p>
    <w:tbl>
      <w:tblPr>
        <w:tblStyle w:val="Grigliatabella"/>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7"/>
        <w:gridCol w:w="2407"/>
        <w:gridCol w:w="2407"/>
        <w:gridCol w:w="2406"/>
      </w:tblGrid>
      <w:tr>
        <w:trPr/>
        <w:tc>
          <w:tcPr>
            <w:tcW w:w="2407" w:type="dxa"/>
            <w:tcBorders/>
          </w:tcPr>
          <w:p>
            <w:pPr>
              <w:pStyle w:val="Normal"/>
              <w:widowControl/>
              <w:suppressAutoHyphens w:val="true"/>
              <w:spacing w:before="120" w:after="120"/>
              <w:rPr>
                <w:b/>
                <w:bCs/>
              </w:rPr>
            </w:pPr>
            <w:r>
              <w:rPr>
                <w:b/>
                <w:bCs/>
                <w:sz w:val="22"/>
                <w:szCs w:val="22"/>
                <w:lang w:val="it-IT" w:bidi="ar-SA"/>
              </w:rPr>
              <w:t>Patologia</w:t>
            </w:r>
          </w:p>
        </w:tc>
        <w:tc>
          <w:tcPr>
            <w:tcW w:w="2407" w:type="dxa"/>
            <w:tcBorders/>
          </w:tcPr>
          <w:p>
            <w:pPr>
              <w:pStyle w:val="Normal"/>
              <w:widowControl/>
              <w:suppressAutoHyphens w:val="true"/>
              <w:spacing w:before="120" w:after="120"/>
              <w:rPr>
                <w:b/>
                <w:bCs/>
              </w:rPr>
            </w:pPr>
            <w:r>
              <w:rPr>
                <w:b/>
                <w:bCs/>
                <w:sz w:val="22"/>
                <w:szCs w:val="22"/>
                <w:lang w:val="it-IT" w:bidi="ar-SA"/>
              </w:rPr>
              <w:t>Fattore</w:t>
            </w:r>
          </w:p>
        </w:tc>
        <w:tc>
          <w:tcPr>
            <w:tcW w:w="2407" w:type="dxa"/>
            <w:tcBorders/>
          </w:tcPr>
          <w:p>
            <w:pPr>
              <w:pStyle w:val="Normal"/>
              <w:widowControl/>
              <w:suppressAutoHyphens w:val="true"/>
              <w:spacing w:before="120" w:after="120"/>
              <w:rPr>
                <w:b/>
                <w:bCs/>
              </w:rPr>
            </w:pPr>
            <w:r>
              <w:rPr>
                <w:b/>
                <w:bCs/>
                <w:sz w:val="22"/>
                <w:szCs w:val="22"/>
                <w:lang w:val="it-IT" w:bidi="ar-SA"/>
              </w:rPr>
              <w:t>Elementi Correlati</w:t>
            </w:r>
          </w:p>
        </w:tc>
        <w:tc>
          <w:tcPr>
            <w:tcW w:w="2406" w:type="dxa"/>
            <w:tcBorders/>
          </w:tcPr>
          <w:p>
            <w:pPr>
              <w:pStyle w:val="Normal"/>
              <w:widowControl/>
              <w:suppressAutoHyphens w:val="true"/>
              <w:spacing w:before="120" w:after="120"/>
              <w:rPr>
                <w:b/>
                <w:bCs/>
              </w:rPr>
            </w:pPr>
            <w:r>
              <w:rPr>
                <w:b/>
                <w:bCs/>
                <w:sz w:val="22"/>
                <w:szCs w:val="22"/>
                <w:lang w:val="it-IT" w:bidi="ar-SA"/>
              </w:rPr>
              <w:t>Biblio</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COVID-19</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COVID-19 interagisce con malattie preesistenti come diabete e malattie cardiache, spesso correlate all'inquinamento</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Tubercolosi (TB)</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w:t>
            </w:r>
          </w:p>
          <w:p>
            <w:pPr>
              <w:pStyle w:val="Normal"/>
              <w:widowControl/>
              <w:suppressAutoHyphens w:val="true"/>
              <w:spacing w:before="120" w:after="120"/>
              <w:rPr>
                <w:sz w:val="22"/>
                <w:szCs w:val="22"/>
                <w:lang w:val="it-IT" w:bidi="ar-SA"/>
              </w:rPr>
            </w:pPr>
            <w:r>
              <w:rPr>
                <w:sz w:val="22"/>
                <w:szCs w:val="22"/>
                <w:lang w:val="it-IT" w:bidi="ar-SA"/>
              </w:rPr>
              <w:t>NO2</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COVID-19</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HIV/AIDS</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L'inquinamento atmosferico</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Inquinamento ed HIV agiscono sinergicamente per accelerare il processo di indurimento delle arterie, aumentando il rischio di malattie cardiovascolari.</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Asma e Dengue</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 PM10</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L'inquinamento atmosferico può esacerbare gli attacchi d'asma e si ritiene che giochi un ruolo nella diffusione e nella gravità della dengue.</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Influenza</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Inquinamento atmosferico può semplificare la trasmissione</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Malaria</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Umidità</w:t>
            </w:r>
          </w:p>
          <w:p>
            <w:pPr>
              <w:pStyle w:val="Normal"/>
              <w:widowControl/>
              <w:suppressAutoHyphens w:val="true"/>
              <w:rPr>
                <w:sz w:val="22"/>
                <w:szCs w:val="22"/>
                <w:lang w:val="it-IT" w:bidi="ar-SA"/>
              </w:rPr>
            </w:pPr>
            <w:r>
              <w:rPr>
                <w:sz w:val="22"/>
                <w:szCs w:val="22"/>
                <w:lang w:val="it-IT" w:bidi="ar-SA"/>
              </w:rPr>
              <w:t>Temperatura</w:t>
            </w:r>
          </w:p>
          <w:p>
            <w:pPr>
              <w:pStyle w:val="Normal"/>
              <w:widowControl/>
              <w:suppressAutoHyphens w:val="true"/>
              <w:rPr>
                <w:sz w:val="22"/>
                <w:szCs w:val="22"/>
                <w:lang w:val="it-IT" w:bidi="ar-SA"/>
              </w:rPr>
            </w:pPr>
            <w:r>
              <w:rPr>
                <w:sz w:val="22"/>
                <w:szCs w:val="22"/>
                <w:lang w:val="it-IT" w:bidi="ar-SA"/>
              </w:rPr>
              <w:t>Precipitazioni</w:t>
            </w:r>
          </w:p>
          <w:p>
            <w:pPr>
              <w:pStyle w:val="Normal"/>
              <w:widowControl/>
              <w:suppressAutoHyphens w:val="true"/>
              <w:spacing w:before="120" w:after="120"/>
              <w:rPr>
                <w:sz w:val="22"/>
                <w:szCs w:val="22"/>
                <w:lang w:val="it-IT" w:bidi="ar-SA"/>
              </w:rPr>
            </w:pPr>
            <w:r>
              <w:rPr>
                <w:sz w:val="22"/>
                <w:szCs w:val="22"/>
                <w:lang w:val="it-IT" w:bidi="ar-SA"/>
              </w:rPr>
              <w:t>Aree rurali si/no</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La review non trova pattern statistici significativi in tal senso, ma individua questi fattori come potenziali</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[4]</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Leishmaniosi Viscerale</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Presenza di allevamenti</w:t>
            </w:r>
          </w:p>
          <w:p>
            <w:pPr>
              <w:pStyle w:val="Normal"/>
              <w:widowControl/>
              <w:suppressAutoHyphens w:val="true"/>
              <w:rPr>
                <w:sz w:val="22"/>
                <w:szCs w:val="22"/>
                <w:lang w:val="it-IT" w:bidi="ar-SA"/>
              </w:rPr>
            </w:pPr>
            <w:r>
              <w:rPr>
                <w:sz w:val="22"/>
                <w:szCs w:val="22"/>
                <w:lang w:val="it-IT" w:bidi="ar-SA"/>
              </w:rPr>
              <w:t>Temperatura</w:t>
            </w:r>
          </w:p>
          <w:p>
            <w:pPr>
              <w:pStyle w:val="Normal"/>
              <w:widowControl/>
              <w:suppressAutoHyphens w:val="true"/>
              <w:rPr>
                <w:sz w:val="22"/>
                <w:szCs w:val="22"/>
                <w:lang w:val="it-IT" w:bidi="ar-SA"/>
              </w:rPr>
            </w:pPr>
            <w:r>
              <w:rPr>
                <w:sz w:val="22"/>
                <w:szCs w:val="22"/>
                <w:lang w:val="it-IT" w:bidi="ar-SA"/>
              </w:rPr>
              <w:t>Piogge</w:t>
            </w:r>
          </w:p>
          <w:p>
            <w:pPr>
              <w:pStyle w:val="Normal"/>
              <w:widowControl/>
              <w:suppressAutoHyphens w:val="true"/>
              <w:rPr>
                <w:sz w:val="22"/>
                <w:szCs w:val="22"/>
                <w:lang w:val="it-IT" w:bidi="ar-SA"/>
              </w:rPr>
            </w:pPr>
            <w:r>
              <w:rPr>
                <w:sz w:val="22"/>
                <w:szCs w:val="22"/>
                <w:lang w:val="it-IT" w:bidi="ar-SA"/>
              </w:rPr>
              <w:t>Altitudine</w:t>
            </w:r>
          </w:p>
          <w:p>
            <w:pPr>
              <w:pStyle w:val="Normal"/>
              <w:widowControl/>
              <w:suppressAutoHyphens w:val="true"/>
              <w:rPr>
                <w:sz w:val="22"/>
                <w:szCs w:val="22"/>
                <w:lang w:val="it-IT" w:bidi="ar-SA"/>
              </w:rPr>
            </w:pPr>
            <w:r>
              <w:rPr>
                <w:sz w:val="22"/>
                <w:szCs w:val="22"/>
                <w:lang w:val="it-IT" w:bidi="ar-SA"/>
              </w:rPr>
              <w:t>Vicinanza a fonti d’acqua</w:t>
            </w:r>
          </w:p>
          <w:p>
            <w:pPr>
              <w:pStyle w:val="Normal"/>
              <w:widowControl/>
              <w:suppressAutoHyphens w:val="true"/>
              <w:spacing w:before="120" w:after="120"/>
              <w:rPr>
                <w:sz w:val="22"/>
                <w:szCs w:val="22"/>
                <w:lang w:val="it-IT" w:bidi="ar-SA"/>
              </w:rPr>
            </w:pPr>
            <w:r>
              <w:rPr>
                <w:sz w:val="22"/>
                <w:szCs w:val="22"/>
                <w:lang w:val="it-IT" w:bidi="ar-SA"/>
              </w:rPr>
              <w:t>Tipo di zona (urbana, secca, forestale…)</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[5]</w:t>
            </w:r>
          </w:p>
        </w:tc>
      </w:tr>
      <w:tr>
        <w:trPr/>
        <w:tc>
          <w:tcPr>
            <w:tcW w:w="2407" w:type="dxa"/>
            <w:tcBorders/>
          </w:tcPr>
          <w:p>
            <w:pPr>
              <w:pStyle w:val="Normal"/>
              <w:widowControl/>
              <w:suppressAutoHyphens w:val="true"/>
              <w:spacing w:before="120" w:after="120"/>
              <w:rPr>
                <w:lang w:val="en-US"/>
              </w:rPr>
            </w:pPr>
            <w:r>
              <w:rPr>
                <w:sz w:val="22"/>
                <w:szCs w:val="22"/>
                <w:lang w:val="en-US" w:bidi="ar-SA"/>
              </w:rPr>
              <w:t>Chikungunya</w:t>
            </w:r>
          </w:p>
          <w:p>
            <w:pPr>
              <w:pStyle w:val="Normal"/>
              <w:widowControl/>
              <w:suppressAutoHyphens w:val="true"/>
              <w:rPr>
                <w:lang w:val="en-US"/>
              </w:rPr>
            </w:pPr>
            <w:r>
              <w:rPr>
                <w:sz w:val="22"/>
                <w:szCs w:val="22"/>
                <w:lang w:val="en-US" w:bidi="ar-SA"/>
              </w:rPr>
              <w:t>Dengue</w:t>
            </w:r>
          </w:p>
          <w:p>
            <w:pPr>
              <w:pStyle w:val="Normal"/>
              <w:widowControl/>
              <w:suppressAutoHyphens w:val="true"/>
              <w:rPr>
                <w:lang w:val="en-US"/>
              </w:rPr>
            </w:pPr>
            <w:r>
              <w:rPr>
                <w:sz w:val="22"/>
                <w:szCs w:val="22"/>
                <w:lang w:val="en-US" w:bidi="ar-SA"/>
              </w:rPr>
              <w:t>Zika Virus</w:t>
            </w:r>
          </w:p>
          <w:p>
            <w:pPr>
              <w:pStyle w:val="Normal"/>
              <w:widowControl/>
              <w:suppressAutoHyphens w:val="true"/>
              <w:rPr>
                <w:lang w:val="en-US"/>
              </w:rPr>
            </w:pPr>
            <w:r>
              <w:rPr>
                <w:sz w:val="22"/>
                <w:szCs w:val="22"/>
                <w:lang w:val="en-US" w:bidi="ar-SA"/>
              </w:rPr>
              <w:t>TBE</w:t>
            </w:r>
          </w:p>
          <w:p>
            <w:pPr>
              <w:pStyle w:val="Normal"/>
              <w:widowControl/>
              <w:suppressAutoHyphens w:val="true"/>
              <w:spacing w:before="120" w:after="120"/>
              <w:rPr>
                <w:lang w:val="en-US"/>
              </w:rPr>
            </w:pPr>
            <w:r>
              <w:rPr>
                <w:sz w:val="22"/>
                <w:szCs w:val="22"/>
                <w:lang w:val="en-US" w:bidi="ar-SA"/>
              </w:rPr>
              <w:t>West Nile Virus</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Umidità</w:t>
            </w:r>
          </w:p>
          <w:p>
            <w:pPr>
              <w:pStyle w:val="Normal"/>
              <w:widowControl/>
              <w:suppressAutoHyphens w:val="true"/>
              <w:rPr>
                <w:sz w:val="22"/>
                <w:szCs w:val="22"/>
                <w:lang w:val="it-IT" w:bidi="ar-SA"/>
              </w:rPr>
            </w:pPr>
            <w:r>
              <w:rPr>
                <w:sz w:val="22"/>
                <w:szCs w:val="22"/>
                <w:lang w:val="it-IT" w:bidi="ar-SA"/>
              </w:rPr>
              <w:t>Temperatura</w:t>
            </w:r>
          </w:p>
          <w:p>
            <w:pPr>
              <w:pStyle w:val="Normal"/>
              <w:widowControl/>
              <w:suppressAutoHyphens w:val="true"/>
              <w:spacing w:before="120" w:after="120"/>
              <w:rPr>
                <w:lang w:val="en-US"/>
              </w:rPr>
            </w:pPr>
            <w:r>
              <w:rPr>
                <w:sz w:val="22"/>
                <w:szCs w:val="22"/>
                <w:lang w:val="it-IT" w:bidi="ar-SA"/>
              </w:rPr>
              <w:t>Precipitazioni</w:t>
            </w:r>
          </w:p>
        </w:tc>
        <w:tc>
          <w:tcPr>
            <w:tcW w:w="2407" w:type="dxa"/>
            <w:tcBorders/>
          </w:tcPr>
          <w:p>
            <w:pPr>
              <w:pStyle w:val="Normal"/>
              <w:widowControl/>
              <w:suppressAutoHyphens w:val="true"/>
              <w:spacing w:before="120" w:after="120"/>
              <w:rPr>
                <w:lang w:val="en-US"/>
              </w:rPr>
            </w:pPr>
            <w:r>
              <w:rPr>
                <w:sz w:val="22"/>
                <w:lang w:val="en-US"/>
              </w:rPr>
            </w:r>
          </w:p>
        </w:tc>
        <w:tc>
          <w:tcPr>
            <w:tcW w:w="2406" w:type="dxa"/>
            <w:tcBorders/>
          </w:tcPr>
          <w:p>
            <w:pPr>
              <w:pStyle w:val="Normal"/>
              <w:widowControl/>
              <w:suppressAutoHyphens w:val="true"/>
              <w:spacing w:before="120" w:after="120"/>
              <w:rPr>
                <w:lang w:val="en-US"/>
              </w:rPr>
            </w:pPr>
            <w:r>
              <w:rPr>
                <w:sz w:val="22"/>
                <w:szCs w:val="22"/>
                <w:lang w:val="en-US" w:bidi="ar-SA"/>
              </w:rPr>
              <w:t>[6]</w:t>
            </w:r>
          </w:p>
        </w:tc>
      </w:tr>
    </w:tbl>
    <w:p>
      <w:pPr>
        <w:pStyle w:val="Heading2"/>
        <w:rPr/>
      </w:pPr>
      <w:bookmarkStart w:id="4" w:name="_Toc211844801"/>
      <w:r>
        <w:rPr/>
        <w:t>Stato dell’Arte</w:t>
      </w:r>
      <w:bookmarkEnd w:id="4"/>
    </w:p>
    <w:p>
      <w:pPr>
        <w:pStyle w:val="Normal"/>
        <w:rPr/>
      </w:pPr>
      <w:r>
        <w:rPr/>
        <w:t>Di seguito si riprotano alcuni lavori della letteratura che riguardanol’analisi della correlazione salute ambiente.</w:t>
      </w:r>
    </w:p>
    <w:tbl>
      <w:tblPr>
        <w:tblStyle w:val="Tabellagriglia4-colore1"/>
        <w:tblW w:w="97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79"/>
        <w:gridCol w:w="7298"/>
      </w:tblGrid>
      <w:tr>
        <w:trPr>
          <w:cnfStyle w:val="100000000000" w:firstRow="1" w:lastRow="0" w:firstColumn="0" w:lastColumn="0" w:oddVBand="0" w:evenVBand="0" w:oddHBand="0" w:evenHBand="0" w:firstRowFirstColumn="0" w:firstRowLastColumn="0" w:lastRowFirstColumn="0" w:lastRowLastColumn="0"/>
        </w:trPr>
        <w:tc>
          <w:tcPr>
            <w:tcW w:w="2479"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120" w:after="120"/>
              <w:rPr>
                <w:b/>
                <w:bCs/>
                <w:color w:themeColor="background1" w:val="FFFFFF"/>
                <w:sz w:val="22"/>
                <w:szCs w:val="22"/>
                <w:lang w:val="it-IT" w:bidi="ar-SA"/>
              </w:rPr>
            </w:pPr>
            <w:r>
              <w:rPr>
                <w:b/>
                <w:bCs/>
                <w:color w:themeColor="background1" w:val="FFFFFF"/>
                <w:sz w:val="22"/>
                <w:szCs w:val="22"/>
                <w:lang w:val="it-IT" w:bidi="ar-SA"/>
              </w:rPr>
              <w:t>Titolo</w:t>
            </w:r>
          </w:p>
        </w:tc>
        <w:tc>
          <w:tcPr>
            <w:tcW w:w="729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color w:themeColor="background1" w:val="FFFFFF"/>
                <w:sz w:val="22"/>
                <w:szCs w:val="22"/>
                <w:lang w:val="it-IT" w:bidi="ar-SA"/>
              </w:rPr>
            </w:pPr>
            <w:r>
              <w:rPr>
                <w:b/>
                <w:bCs/>
                <w:color w:themeColor="background1" w:val="FFFFFF"/>
                <w:sz w:val="22"/>
                <w:szCs w:val="22"/>
                <w:lang w:val="it-IT" w:bidi="ar-SA"/>
              </w:rPr>
              <w:t>Contenuti</w:t>
            </w:r>
          </w:p>
        </w:tc>
      </w:tr>
      <w:tr>
        <w:trPr>
          <w:cnfStyle w:val="000000100000" w:firstRow="0" w:lastRow="0" w:firstColumn="0" w:lastColumn="0" w:oddVBand="0" w:evenVBand="0" w:oddHBand="1" w:evenHBand="0" w:firstRowFirstColumn="0" w:firstRowLastColumn="0" w:lastRowFirstColumn="0" w:lastRowLastColumn="0"/>
        </w:trPr>
        <w:tc>
          <w:tcPr>
            <w:tcW w:w="2479"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Comparison of ARIMA and LSTM in Forecasting the Incidence of HFMD Combined and Uncombined with Exogenous Meteorological Variables in Ningbo, China</w:t>
            </w:r>
          </w:p>
        </w:tc>
        <w:tc>
          <w:tcPr>
            <w:tcW w:w="7298"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State of the Art: Time series forecasting is widely used in infectious disease modeling. ARIMA is a classical method often used in disease incidence prediction. LSTM (a type of RNN) is increasingly used because it can capture temporal dependencies and non-linear relationships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Models: ARIMA (and ARIMAX, i.e. ARIMA with exogenous inputs), LSTM: both univariate LSTM (only incidence history) and multivariate LSTM (including meteorological variables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Data: The daily incidence data of HFMD from 1 January 2014 to 31 December 2017 in Ningbo were collected from the official website of The Data Center of China Public Health Science and Meteorological data from Yinzhou station (a national meteorological monitoring station in Ningbo)</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Independent Inputs: For ARIMAX / LSTM with exogenous: temperature (mean), pressure (mean), humidity (mean), wind speed, precipitation, sunshine duration</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Dependent Output: Daily incidence (number of HFMD cases) in Ningbo</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Results: The authors conclude that LSTM is more suitable than ARIMA for forecasting HFMD incidence, and that meteorological variables are beneficial when used with LSTM.</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GB" w:bidi="ar-SA"/>
              </w:rPr>
              <w:t xml:space="preserve">Link: </w:t>
            </w:r>
            <w:r>
              <w:rPr>
                <w:sz w:val="22"/>
                <w:szCs w:val="22"/>
                <w:lang w:val="en-US" w:bidi="ar-SA"/>
              </w:rPr>
              <w:t>https://www.mdpi.com/1660-4601/18/11/6174</w:t>
            </w:r>
          </w:p>
        </w:tc>
      </w:tr>
      <w:tr>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A method for hand-foot-mouth disease prediction using GeoDetector and LSTM model in Guangxi, China</w:t>
            </w:r>
          </w:p>
        </w:tc>
        <w:tc>
          <w:tcPr>
            <w:tcW w:w="7298"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State of the Art: Previous models (linear regression, ARIMA) often neglect non-linear and spatial interactions; this study uses GeoDetector to identify meteorological drivers and then builds region-specific LSTMs to better capture temporal and spatial heterogeneity.</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Models: The authors employ GeoDetector to select impactful meteorological factors, then use LSTM neural networks (one model per region) based on those selected inputs.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Data: They use HFMD hospital record data (170,920 cases) from 14 regions in Guangxi for 2014–2015, together with 14 meteorological variables from 99 stations interpolated to weekly regional values.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Independent Inputs: inputs are minimum temperature (MIT), mean temperature (MET), precipitation (PR), humidity metrics (MIH, MEH), wind speed/direction (MEW, EW, DEW), and pressure variables (MEP, MAP, MIP).</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Dependent Output: The target is weekly HFMD case counts (normalized per region) predicted number of HFMD cases per week in each region.</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Results: The LSTM models achieved mean R² ≈ 0.60 and MAPE ≈ 0.73, with regional R² ranging from 0.39 to 0.71; region-specific prediction models were developed in 14 administrative regions of Guangxi, China using an optimized three-layer LSTM model which showed that the model proposed in this study had a good performance in HFMD predictions.</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GB" w:bidi="ar-SA"/>
              </w:rPr>
              <w:t xml:space="preserve">Link: </w:t>
            </w:r>
            <w:r>
              <w:rPr>
                <w:sz w:val="22"/>
                <w:szCs w:val="22"/>
                <w:lang w:val="en-US" w:bidi="ar-SA"/>
              </w:rPr>
              <w:t>https://www.nature.com/articles/s41598-019-54495-2</w:t>
            </w:r>
          </w:p>
        </w:tc>
      </w:tr>
      <w:tr>
        <w:trPr>
          <w:cnfStyle w:val="000000100000" w:firstRow="0" w:lastRow="0" w:firstColumn="0" w:lastColumn="0" w:oddVBand="0" w:evenVBand="0" w:oddHBand="1" w:evenHBand="0" w:firstRowFirstColumn="0" w:firstRowLastColumn="0" w:lastRowFirstColumn="0" w:lastRowLastColumn="0"/>
        </w:trPr>
        <w:tc>
          <w:tcPr>
            <w:tcW w:w="2479"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Analysis and prediction of hand, foot and mouth disease incidence in China using Random Forest and XGBoost</w:t>
            </w:r>
          </w:p>
        </w:tc>
        <w:tc>
          <w:tcPr>
            <w:tcW w:w="7298"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State of the Art: Traditional linear or time-series models struggle to capture non-linear and social factors influencing disease trends, so machine learning models (Random Forest, XGBoost) are increasingly used.</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Models: They apply Random Forest to rank influential predictors and XGBoost for prediction, comparing performance across China and within clusters.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Data: Monthly HFMD incidence data from 2009 to 2017 across 31 Chinese provinces, alongside meteorological data (temperature, precipitation, humidity, wind, sunshine), population flux, density, and traffic.</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Independent Inputs: Predictors include meteorological variables (average temperature, humidity, precipitation, wind speed, sunshine hours) and social variables (population density, population flux).</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Dependent Output: The target is the monthly incidence of HFMD (cases per province per month).</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Results: XGBoost outperformed Random Forest in nearly all clusters (lower MSE, higher explained variance), with average temperature and population density being the top predictors.</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https://journals.plos.org/plosone/article?id=10.1371/journal.pone.0261629</w:t>
            </w:r>
          </w:p>
        </w:tc>
      </w:tr>
      <w:tr>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Comparison of ARIMA model and XGBoost model for prediction of human brucellosis in mainland China: a time-series study</w:t>
            </w:r>
          </w:p>
        </w:tc>
        <w:tc>
          <w:tcPr>
            <w:tcW w:w="7298"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State of the Art: Previous forecasting studies for zoonotic diseases like brucellosis often relied on linear time-series models such as ARIMA. This study introduces the use of XGBoost, a powerful gradient boosting machine learning model, to improve prediction performance over ARIMA.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Models: The paper compares ARIMA and XGBoost as modeling approaches for predicting brucellosis incidence. The authors train both models on historical data and evaluate their ability to forecast future case counts.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Data: The dataset consists of monthly human brucellosis incidence data from mainland China over several years (the paper uses Chinese public health surveillance data).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The model also uses meteorological and environmental variables as inputs (e.g. temperature, precipitation, humidity) collected from official meteorological sources across regions of China.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Independent Inputs: The features include meteorological variables (temperature, precipitation, humidity) and possibly other environmental/exogenous variables in addition to the lagged incidence data.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Dependent Output: The target variable is the monthly incidence of human brucellosis (i.e. number of reported human cases per month in each region).</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Results: The XGBoost model outperformed ARIMA, yielding lower error metrics in both fitting and forecasting tasks. The authors conclude that XGBoost is more suitable for predicting human brucellosis incidence in China than ARIMA because of its superior capability in handling non-linearity and complex feature interactions.</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Link: https://pmc.ncbi.nlm.nih.gov/articles/PMC7722837/</w:t>
            </w:r>
          </w:p>
        </w:tc>
      </w:tr>
      <w:tr>
        <w:trPr>
          <w:cnfStyle w:val="000000100000" w:firstRow="0" w:lastRow="0" w:firstColumn="0" w:lastColumn="0" w:oddVBand="0" w:evenVBand="0" w:oddHBand="1" w:evenHBand="0" w:firstRowFirstColumn="0" w:firstRowLastColumn="0" w:lastRowFirstColumn="0" w:lastRowLastColumn="0"/>
        </w:trPr>
        <w:tc>
          <w:tcPr>
            <w:tcW w:w="2479"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Machine Learning Prediction Model of Tuberculosis Incidence Based on Meteorological Factors and Air Pollutants</w:t>
            </w:r>
          </w:p>
        </w:tc>
        <w:tc>
          <w:tcPr>
            <w:tcW w:w="7298"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State of the Art: Many past disease-forecasting models use traditional statistical or time series methods, but these may miss non-linear relationships; this study aims to leverage machine learning (SVR, Random Forest, BP neural networks) to better capture the influence of weather and air pollution on tuberculosis incidence.</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Models: The authors implement Support Vector Regression (SVR), Random Forest Regression (RFR), and BP Neural Network (BPNN), comparing their fitting and forecasting performance.</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Data: Daily tuberculosis notification data in Changde City, China (2010–2021, 61,018 cases) paired with daily meteorological data from the National Climate Data Sharing Center and air pollutants from regional environmental agency records.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Independent Inputs: Weather variables (average, max, min temperature; relative humidity; precipitation; air pressure; sunshine hours; wind speed) and pollutant variables (PM₂.₅, PM₁₀, O₃, SO₂, NO₂, CO) are used as predictor features.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Dependent Output: Daily tuberculosis incidence (the number of new TB notifications on each day) in Changde City.</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Results: Random Forest had the best fitting performance (lowest errors in training) but the BP neural network (with temperature, sunshine, PM₁₀) achieved the best prediction/forecasting performance (lowest RMSE, MAE, MAPE on validation).</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Link: https://www.mdpi.com/1660-4601/20/5/3910</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lang w:val="en-GB"/>
              </w:rPr>
            </w:r>
          </w:p>
        </w:tc>
      </w:tr>
      <w:tr>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Driving role of climatic and socioenvironmental factors on human brucellosis in China: machine-learning-based predictive analyses</w:t>
            </w:r>
          </w:p>
        </w:tc>
        <w:tc>
          <w:tcPr>
            <w:tcW w:w="7298"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US" w:bidi="ar-SA"/>
              </w:rPr>
              <w:t xml:space="preserve">State of </w:t>
            </w:r>
            <w:r>
              <w:rPr>
                <w:sz w:val="22"/>
                <w:szCs w:val="22"/>
                <w:lang w:val="en-GB" w:bidi="ar-SA"/>
              </w:rPr>
              <w:t>the Art: Traditional regression models struggle with multicollinearity and non-linear effects of climatic and socioenvironmental variables on brucellosis; this study integrates statistical and time-series models (e.g. SARIMAX) and copula analysis to better capture climate–disease dynamics.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Models : They compare multiple models: stepwise regression, ridge regression, robust regression, partial least squares (PLS), SARIMAX (time-series with exogenous variables), and copula models to analyze extreme weather effects.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Data: Monthly data from 2014 to 2020 across over 300 prefecture-level cities in China, combining: brucellosis incidence (from China Public Health data), climatic data (precipitation, sunshine, humidity, wind speed, temperature) from China Climatic Data Sharing Service, and socioenvironmental variables from city statistical yearbooks.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Independent Inputs:  Climatic variables: monthly average precipitation (MAP), sunshine (MAS), humidity (MAH), wind speed (MAWS), temperature (MAT). Socioenvironmental data (city-level statistics) are also included.</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Dependent Output: Monthly human brucellosis incidence (average monthly cases per prefecture) in China.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Results: Traditional regression models had low goodness-of-fit (adjusted R² &lt; 0.6), while SARIMAX models with exogenous climatic inputs (MAP, MAS, MAH) performed better as predictive models.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The copula analysis showed a negative correlation between extreme sunshine or humidity and brucellosis incidence (very high sunshine or humidity tends to be associated with lower brucellosis rates) after accounting for joint distributions.</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https://idpjournal.biomedcentral.com/articles/10.1186/s40249-023-01087-y</w:t>
            </w:r>
          </w:p>
        </w:tc>
      </w:tr>
      <w:tr>
        <w:trPr>
          <w:cnfStyle w:val="000000100000" w:firstRow="0" w:lastRow="0" w:firstColumn="0" w:lastColumn="0" w:oddVBand="0" w:evenVBand="0" w:oddHBand="1" w:evenHBand="0" w:firstRowFirstColumn="0" w:firstRowLastColumn="0" w:lastRowFirstColumn="0" w:lastRowLastColumn="0"/>
        </w:trPr>
        <w:tc>
          <w:tcPr>
            <w:tcW w:w="2479"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The correlation between respiratory infectious diseases,</w:t>
            </w:r>
          </w:p>
          <w:p>
            <w:pPr>
              <w:pStyle w:val="Normal"/>
              <w:widowControl/>
              <w:suppressAutoHyphens w:val="true"/>
              <w:rPr>
                <w:lang w:val="en-GB"/>
              </w:rPr>
            </w:pPr>
            <w:r>
              <w:rPr>
                <w:b/>
                <w:bCs/>
                <w:sz w:val="22"/>
                <w:szCs w:val="22"/>
                <w:lang w:val="en-GB" w:bidi="ar-SA"/>
              </w:rPr>
              <w:t>air pollution, and meteorological factors in</w:t>
            </w:r>
          </w:p>
          <w:p>
            <w:pPr>
              <w:pStyle w:val="Normal"/>
              <w:widowControl/>
              <w:suppressAutoHyphens w:val="true"/>
              <w:spacing w:before="120" w:after="120"/>
              <w:rPr>
                <w:lang w:val="en-GB"/>
              </w:rPr>
            </w:pPr>
            <w:r>
              <w:rPr>
                <w:b/>
                <w:bCs/>
                <w:sz w:val="22"/>
                <w:szCs w:val="22"/>
                <w:lang w:val="en-GB" w:bidi="ar-SA"/>
              </w:rPr>
              <w:t>Jinan, China from 2021 to 2023</w:t>
            </w:r>
          </w:p>
        </w:tc>
        <w:tc>
          <w:tcPr>
            <w:tcW w:w="7298"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State of the Art: Many studies look at pollution or weather effects on respiratory diseases separately; this study argues for integrating multiple pollutants plus meteorological factors using time-series regression to better quantify these effects.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Models: They use a generalized additive model (GAM) with quasi-Poisson regression (to account for nonlinearity and overdispersion) for daily counts.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Data: The dataset includes 20,148 cases (outpatient + inpatient) of respiratory infectious diseases (ICD J00–J99), from Jinan’s Health Care Center (2021–2023), matched with air pollution data (from 14 monitoring stations) and meteorological data from the meteorological bureau.</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Independent Inputs: Pollutants: PM₂.₅, PM₁₀, CO, NO₂, SO₂, O₃; Meteorological: average temperature, minimum temperature, maximum temperature, relative humidity; they also consider lagged exposures (lags up to 7 days).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Dependent Output: Daily count of respiratory infectious disease hospital visits in Jinan (number of cases per day).</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Results: The strongest pollutant effects occurred at lag 7 days, for each 10 µg/m³ increase in PM₂.₅, PM₁₀, SO₂, NO₂ (and 1 mg/m³ CO), the relative risks (RR) were approximately 1.058, 1.008, 1.224, 1.102, and 1.405 respectively; in multi-pollutant models these positive associations largely hold.</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https://e-century.us/files/ajtr/16/9/ajtr0157391.pdf</w:t>
            </w:r>
          </w:p>
        </w:tc>
      </w:tr>
      <w:tr>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Identifying and predicting climate change impact on vector-borne disease using machine</w:t>
            </w:r>
          </w:p>
          <w:p>
            <w:pPr>
              <w:pStyle w:val="Normal"/>
              <w:widowControl/>
              <w:suppressAutoHyphens w:val="true"/>
              <w:rPr>
                <w:lang w:val="en-GB"/>
              </w:rPr>
            </w:pPr>
            <w:r>
              <w:rPr>
                <w:b/>
                <w:bCs/>
                <w:sz w:val="22"/>
                <w:szCs w:val="22"/>
                <w:lang w:val="en-GB" w:bidi="ar-SA"/>
              </w:rPr>
              <w:t>learning: Case study of</w:t>
            </w:r>
          </w:p>
          <w:p>
            <w:pPr>
              <w:pStyle w:val="Normal"/>
              <w:widowControl/>
              <w:suppressAutoHyphens w:val="true"/>
              <w:spacing w:before="120" w:after="120"/>
              <w:rPr>
                <w:lang w:val="en-GB"/>
              </w:rPr>
            </w:pPr>
            <w:r>
              <w:rPr>
                <w:b/>
                <w:bCs/>
                <w:sz w:val="22"/>
                <w:szCs w:val="22"/>
                <w:lang w:val="en-GB" w:bidi="ar-SA"/>
              </w:rPr>
              <w:t>Plasmodium falciparum from Africa</w:t>
            </w:r>
          </w:p>
        </w:tc>
        <w:tc>
          <w:tcPr>
            <w:tcW w:w="7298"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State of the Art: Traditional statistical models struggle to capture nonlinear interactions between climate variables and disease transmission. The study frames machine learning (MaxEnt, Random Forest, etc.) as a promising alternative to map climate-driven malaria risk under changing conditions.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Models: They use Maximum Entropy (MaxEnt) modeling as the primary approach to predict malaria occurrence risk; they also mention Random Forest and other ML methods as alternative techniques.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Data: The dataset is built from epidemiological records of Plasmodium falciparum malaria in Africa, coupled with climate data (temperature, precipitation, humidity, vegetation cover) and geographic predictors (e.g. land cover).</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Independent Inputs: Key environmental/climatic variables include temperature, precipitation, humidity, and vegetation indices; geographic variables (elevation, land cover) are also used.</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Dependent Output: The model predicts presence, suitability and risk of P. falciparum occurrence (spatial risk of malaria transmission) across Africa.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Results: The model reveals high-risk zones under current climate and projects expanded malaria-suitable zones under future warming; climate variables like rainfall and temperature thresholds are identified as major drivers for malaria presence.</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https://isprs-archives.copernicus.org/articles/XLVIII-2-2024/387/2024/isprs-archives-XLVIII-2-2024-387-2024.pdf</w:t>
            </w:r>
          </w:p>
        </w:tc>
      </w:tr>
    </w:tbl>
    <w:p>
      <w:pPr>
        <w:pStyle w:val="Normal"/>
        <w:rPr>
          <w:lang w:val="en-US"/>
        </w:rPr>
      </w:pPr>
      <w:r>
        <w:rPr>
          <w:lang w:val="en-US"/>
        </w:rPr>
        <w:t>In summary, the literature shows that advanced models significantly improve infectious disease forecasting compared to traditional linear methods like ARIMA. LSTMs consistently provide superior performance for time-series infectious disease data (e.g. HFMD), because their memory-enabled design captures lagged effects, recurrent patterns, and long-range dependencies that simpler models like BPNN cannot. At the same time, tree-based ensemble methods (Random Forest, XGBoost) have proven highly effective at handling non-linear interactions and ranking environmental and social risk factors, with XGBoost often outperforming RF. Hybrid models (SARIMA-NN, SARIMAX-Copula, SARIMA-PSO-BPNN) and regression approaches (GAMs for pollution impacts) add further value when incorporating exogenous climate, pollution, or socioeconomic data. Finally, climate-suitability models (e.g. MaxEnt) highlight how environmental shifts can reshape spatial risk maps, as shown for malaria under warming scenarios. Together, this body of work demonstrates that the optimal modeling approach depends on the disease, available data, and whether the goal is temporal forecasting (favoring LSTM/ensembles) or spatial risk mapping (favoring MaxEnt/geo-models).</w:t>
      </w:r>
    </w:p>
    <w:p>
      <w:pPr>
        <w:pStyle w:val="Heading2"/>
        <w:rPr/>
      </w:pPr>
      <w:bookmarkStart w:id="5" w:name="_Toc211844802"/>
      <w:r>
        <w:rPr/>
        <w:t>Patologie di Interesse</w:t>
      </w:r>
      <w:bookmarkEnd w:id="5"/>
    </w:p>
    <w:p>
      <w:pPr>
        <w:pStyle w:val="Normal"/>
        <w:rPr/>
      </w:pPr>
      <w:r>
        <w:rPr/>
        <w:t xml:space="preserve">Nell’ambito del progetto </w:t>
      </w:r>
      <w:r>
        <w:rPr>
          <w:i/>
          <w:iCs/>
        </w:rPr>
        <w:t>HealthTrace</w:t>
      </w:r>
      <w:r>
        <w:rPr/>
        <w:t>, l’obiettivo principale è sviluppare una piattaforma digitale capace di integrare dati epidemiologici e ambientali per migliorare la sorveglianza, la prevenzione e la previsione delle malattie infettive in Italia.</w:t>
      </w:r>
    </w:p>
    <w:p>
      <w:pPr>
        <w:pStyle w:val="Normal"/>
        <w:rPr/>
      </w:pPr>
      <w:r>
        <w:rPr/>
        <w:t xml:space="preserve">Per garantire la significatività scientifica e la disponibilità dei dati necessari (attraverso API di centri italiani come </w:t>
      </w:r>
      <w:r>
        <w:rPr>
          <w:b/>
          <w:bCs/>
        </w:rPr>
        <w:t>ISPRA</w:t>
      </w:r>
      <w:r>
        <w:rPr/>
        <w:t xml:space="preserve">, </w:t>
      </w:r>
      <w:r>
        <w:rPr>
          <w:b/>
          <w:bCs/>
        </w:rPr>
        <w:t>ARPAC</w:t>
      </w:r>
      <w:r>
        <w:rPr/>
        <w:t xml:space="preserve">, e </w:t>
      </w:r>
      <w:r>
        <w:rPr>
          <w:b/>
          <w:bCs/>
        </w:rPr>
        <w:t>ISTAT</w:t>
      </w:r>
      <w:r>
        <w:rPr/>
        <w:t>), è stata effettuata un’attenta selezione delle patologie più rappresentative, sia per incidenza epidemiologica che per sensibilità ai fattori ambientali.</w:t>
      </w:r>
    </w:p>
    <w:p>
      <w:pPr>
        <w:pStyle w:val="Normal"/>
        <w:rPr/>
      </w:pPr>
      <w:r>
        <w:rPr/>
        <w:t xml:space="preserve">Dopo un’analisi delle linee guida ministeriali, della letteratura epidemiologica e dei dataset ambientali accessibili, sono state individuate </w:t>
      </w:r>
      <w:r>
        <w:rPr>
          <w:b/>
          <w:bCs/>
        </w:rPr>
        <w:t>tre malattie di riferimento</w:t>
      </w:r>
      <w:r>
        <w:rPr/>
        <w:t xml:space="preserve"> che risultano </w:t>
      </w:r>
      <w:r>
        <w:rPr>
          <w:b/>
          <w:bCs/>
        </w:rPr>
        <w:t>più comuni, più monitorate</w:t>
      </w:r>
      <w:r>
        <w:rPr/>
        <w:t xml:space="preserve"> e </w:t>
      </w:r>
      <w:r>
        <w:rPr>
          <w:b/>
          <w:bCs/>
        </w:rPr>
        <w:t>più idonee alla correlazione con i fattori ambientali italiani</w:t>
      </w:r>
      <w:r>
        <w:rPr/>
        <w:t>.</w:t>
      </w:r>
    </w:p>
    <w:p>
      <w:pPr>
        <w:pStyle w:val="Heading3"/>
        <w:rPr/>
      </w:pPr>
      <w:bookmarkStart w:id="6" w:name="_Toc211844803"/>
      <w:r>
        <w:rPr/>
        <w:t>Influenza Stagionale (Malattia Respiratoria)</w:t>
      </w:r>
      <w:bookmarkEnd w:id="6"/>
    </w:p>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Motivazioni della Scelta</w:t>
      </w:r>
    </w:p>
    <w:p>
      <w:pPr>
        <w:pStyle w:val="BodyText"/>
        <w:spacing w:lineRule="auto" w:line="360" w:before="120" w:after="120"/>
        <w:rPr/>
      </w:pPr>
      <w:r>
        <w:rPr/>
        <w:t>L’influenza rappresenta una delle patologie respiratorie più diffuse e sensibili alle condizioni ambientali e atmosferiche.</w:t>
        <w:br/>
        <w:t>La correlazione tra qualità dell’aria e incidenza influenzale è ampiamente documentata: concentrazioni elevate di PM₂.₅, PM₁₀, NO₂ e SO₂, insieme a variazioni di temperatura e umidità, possono incrementare il rischio di contagio e aggravare i sintomi respiratori. I dati necessari sono disponibili tramite i sistemi di monitoraggio ARPA e ISPRA, che forniscono indicatori giornalieri di inquinamento e parametri meteorologici utili per la modellazione epidemiologica.</w:t>
      </w:r>
    </w:p>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Valore per il Progetto</w:t>
      </w:r>
    </w:p>
    <w:p>
      <w:pPr>
        <w:pStyle w:val="BodyText"/>
        <w:numPr>
          <w:ilvl w:val="0"/>
          <w:numId w:val="14"/>
        </w:numPr>
        <w:tabs>
          <w:tab w:val="clear" w:pos="708"/>
          <w:tab w:val="left" w:pos="0" w:leader="none"/>
        </w:tabs>
        <w:spacing w:lineRule="auto" w:line="360" w:before="120" w:after="120"/>
        <w:ind w:hanging="283" w:left="709"/>
        <w:rPr/>
      </w:pPr>
      <w:r>
        <w:rPr/>
        <w:t>Consente l’integrazione dei dati ambientali nel DWH di HealthTrace per correlazioni tra qualità dell’aria e diffusione dell’influenza.</w:t>
      </w:r>
    </w:p>
    <w:p>
      <w:pPr>
        <w:pStyle w:val="BodyText"/>
        <w:numPr>
          <w:ilvl w:val="0"/>
          <w:numId w:val="14"/>
        </w:numPr>
        <w:tabs>
          <w:tab w:val="clear" w:pos="708"/>
          <w:tab w:val="left" w:pos="0" w:leader="none"/>
        </w:tabs>
        <w:spacing w:lineRule="auto" w:line="360" w:before="120" w:after="120"/>
        <w:ind w:hanging="283" w:left="709"/>
        <w:rPr/>
      </w:pPr>
      <w:r>
        <w:rPr/>
        <w:t>Supporta previsioni stagionali e sistemi di allerta precoce basati su fattori meteorologici e inquinanti.</w:t>
      </w:r>
    </w:p>
    <w:p>
      <w:pPr>
        <w:pStyle w:val="BodyText"/>
        <w:numPr>
          <w:ilvl w:val="0"/>
          <w:numId w:val="14"/>
        </w:numPr>
        <w:tabs>
          <w:tab w:val="clear" w:pos="708"/>
          <w:tab w:val="left" w:pos="0" w:leader="none"/>
        </w:tabs>
        <w:spacing w:lineRule="auto" w:line="360" w:before="120" w:after="120"/>
        <w:ind w:hanging="283" w:left="709"/>
        <w:rPr/>
      </w:pPr>
      <w:r>
        <w:rPr/>
        <w:t>Migliora la capacità del sistema di individuare aree e periodi di maggiore rischio, facilitando la pianificazione sanitaria territoriale.</w:t>
      </w:r>
    </w:p>
    <w:p>
      <w:pPr>
        <w:pStyle w:val="BodyText"/>
        <w:numPr>
          <w:ilvl w:val="0"/>
          <w:numId w:val="14"/>
        </w:numPr>
        <w:tabs>
          <w:tab w:val="clear" w:pos="708"/>
          <w:tab w:val="left" w:pos="0" w:leader="none"/>
        </w:tabs>
        <w:spacing w:lineRule="auto" w:line="360" w:before="120" w:after="120"/>
        <w:ind w:hanging="283" w:left="709"/>
        <w:rPr/>
      </w:pPr>
      <w:r>
        <w:rPr/>
        <w:t>Si integra con i moduli CU18–CU20 (Forecasting, Geo-View e Correlation Dashboards).</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Modelli e Applicazioni</w:t>
      </w:r>
    </w:p>
    <w:tbl>
      <w:tblPr>
        <w:tblW w:w="9638" w:type="dxa"/>
        <w:jc w:val="left"/>
        <w:tblInd w:w="28" w:type="dxa"/>
        <w:tblLayout w:type="fixed"/>
        <w:tblCellMar>
          <w:top w:w="28" w:type="dxa"/>
          <w:left w:w="28" w:type="dxa"/>
          <w:bottom w:w="28" w:type="dxa"/>
          <w:right w:w="28" w:type="dxa"/>
        </w:tblCellMar>
      </w:tblPr>
      <w:tblGrid>
        <w:gridCol w:w="3166"/>
        <w:gridCol w:w="3912"/>
        <w:gridCol w:w="2560"/>
      </w:tblGrid>
      <w:tr>
        <w:trPr>
          <w:tblHeader w:val="true"/>
        </w:trPr>
        <w:tc>
          <w:tcPr>
            <w:tcW w:w="3166" w:type="dxa"/>
            <w:tcBorders/>
            <w:vAlign w:val="center"/>
          </w:tcPr>
          <w:p>
            <w:pPr>
              <w:pStyle w:val="TableHeading"/>
              <w:spacing w:before="120" w:after="120"/>
              <w:jc w:val="center"/>
              <w:rPr/>
            </w:pPr>
            <w:r>
              <w:rPr/>
              <w:t>Modello</w:t>
            </w:r>
          </w:p>
        </w:tc>
        <w:tc>
          <w:tcPr>
            <w:tcW w:w="3912" w:type="dxa"/>
            <w:tcBorders/>
            <w:vAlign w:val="center"/>
          </w:tcPr>
          <w:p>
            <w:pPr>
              <w:pStyle w:val="TableHeading"/>
              <w:spacing w:before="120" w:after="120"/>
              <w:jc w:val="center"/>
              <w:rPr/>
            </w:pPr>
            <w:r>
              <w:rPr/>
              <w:t>Scopo</w:t>
            </w:r>
          </w:p>
        </w:tc>
        <w:tc>
          <w:tcPr>
            <w:tcW w:w="2560" w:type="dxa"/>
            <w:tcBorders/>
            <w:vAlign w:val="center"/>
          </w:tcPr>
          <w:p>
            <w:pPr>
              <w:pStyle w:val="TableHeading"/>
              <w:spacing w:before="120" w:after="120"/>
              <w:jc w:val="center"/>
              <w:rPr/>
            </w:pPr>
            <w:r>
              <w:rPr/>
              <w:t>Miglior utilizzo</w:t>
            </w:r>
          </w:p>
        </w:tc>
      </w:tr>
      <w:tr>
        <w:trPr/>
        <w:tc>
          <w:tcPr>
            <w:tcW w:w="3166" w:type="dxa"/>
            <w:tcBorders/>
            <w:vAlign w:val="center"/>
          </w:tcPr>
          <w:p>
            <w:pPr>
              <w:pStyle w:val="TableContents"/>
              <w:widowControl w:val="false"/>
              <w:suppressLineNumbers/>
              <w:spacing w:before="120" w:after="120"/>
              <w:rPr/>
            </w:pPr>
            <w:r>
              <w:rPr>
                <w:rStyle w:val="Strong"/>
              </w:rPr>
              <w:t>GAM / GLM (Generalized Additive / Linear Models)</w:t>
            </w:r>
          </w:p>
        </w:tc>
        <w:tc>
          <w:tcPr>
            <w:tcW w:w="3912" w:type="dxa"/>
            <w:tcBorders/>
            <w:vAlign w:val="center"/>
          </w:tcPr>
          <w:p>
            <w:pPr>
              <w:pStyle w:val="TableContents"/>
              <w:widowControl w:val="false"/>
              <w:suppressLineNumbers/>
              <w:spacing w:before="120" w:after="120"/>
              <w:rPr/>
            </w:pPr>
            <w:r>
              <w:rPr/>
              <w:t>Analizzare la relazione tra inquinanti atmosferici e incidenza influenzale, includendo termini di ritardo.</w:t>
            </w:r>
          </w:p>
        </w:tc>
        <w:tc>
          <w:tcPr>
            <w:tcW w:w="2560" w:type="dxa"/>
            <w:tcBorders/>
            <w:vAlign w:val="center"/>
          </w:tcPr>
          <w:p>
            <w:pPr>
              <w:pStyle w:val="TableContents"/>
              <w:widowControl w:val="false"/>
              <w:suppressLineNumbers/>
              <w:spacing w:before="120" w:after="120"/>
              <w:rPr/>
            </w:pPr>
            <w:r>
              <w:rPr/>
              <w:t>Correlazioni interpretabili e analisi dei fattori di rischio.</w:t>
            </w:r>
          </w:p>
        </w:tc>
      </w:tr>
      <w:tr>
        <w:trPr/>
        <w:tc>
          <w:tcPr>
            <w:tcW w:w="3166" w:type="dxa"/>
            <w:tcBorders/>
            <w:vAlign w:val="center"/>
          </w:tcPr>
          <w:p>
            <w:pPr>
              <w:pStyle w:val="TableContents"/>
              <w:widowControl w:val="false"/>
              <w:suppressLineNumbers/>
              <w:spacing w:before="120" w:after="120"/>
              <w:rPr/>
            </w:pPr>
            <w:r>
              <w:rPr>
                <w:rStyle w:val="Strong"/>
              </w:rPr>
              <w:t>ARIMAX (Autoregressive Integrated Moving Average con Variabili Esogene)</w:t>
            </w:r>
          </w:p>
        </w:tc>
        <w:tc>
          <w:tcPr>
            <w:tcW w:w="3912" w:type="dxa"/>
            <w:tcBorders/>
            <w:vAlign w:val="center"/>
          </w:tcPr>
          <w:p>
            <w:pPr>
              <w:pStyle w:val="TableContents"/>
              <w:widowControl w:val="false"/>
              <w:suppressLineNumbers/>
              <w:spacing w:before="120" w:after="120"/>
              <w:rPr/>
            </w:pPr>
            <w:r>
              <w:rPr/>
              <w:t>Prevedere tendenze a breve termine usando dati storici e variabili ambientali.</w:t>
            </w:r>
          </w:p>
        </w:tc>
        <w:tc>
          <w:tcPr>
            <w:tcW w:w="2560" w:type="dxa"/>
            <w:tcBorders/>
            <w:vAlign w:val="center"/>
          </w:tcPr>
          <w:p>
            <w:pPr>
              <w:pStyle w:val="TableContents"/>
              <w:widowControl w:val="false"/>
              <w:suppressLineNumbers/>
              <w:spacing w:before="120" w:after="120"/>
              <w:rPr/>
            </w:pPr>
            <w:r>
              <w:rPr/>
              <w:t>Previsioni operative e sistemi di allerta precoce.</w:t>
            </w:r>
          </w:p>
        </w:tc>
      </w:tr>
      <w:tr>
        <w:trPr/>
        <w:tc>
          <w:tcPr>
            <w:tcW w:w="3166" w:type="dxa"/>
            <w:tcBorders/>
            <w:vAlign w:val="center"/>
          </w:tcPr>
          <w:p>
            <w:pPr>
              <w:pStyle w:val="TableContents"/>
              <w:widowControl w:val="false"/>
              <w:suppressLineNumbers/>
              <w:spacing w:before="120" w:after="120"/>
              <w:rPr/>
            </w:pPr>
            <w:r>
              <w:rPr>
                <w:rStyle w:val="Strong"/>
              </w:rPr>
              <w:t>DLNM (Distributed Lag Non-Linear Model)</w:t>
            </w:r>
          </w:p>
        </w:tc>
        <w:tc>
          <w:tcPr>
            <w:tcW w:w="3912" w:type="dxa"/>
            <w:tcBorders/>
            <w:vAlign w:val="center"/>
          </w:tcPr>
          <w:p>
            <w:pPr>
              <w:pStyle w:val="TableContents"/>
              <w:widowControl w:val="false"/>
              <w:suppressLineNumbers/>
              <w:spacing w:before="120" w:after="120"/>
              <w:rPr/>
            </w:pPr>
            <w:r>
              <w:rPr/>
              <w:t>Studiare gli effetti ritardati e non lineari di inquinanti e clima sulla diffusione.</w:t>
            </w:r>
          </w:p>
        </w:tc>
        <w:tc>
          <w:tcPr>
            <w:tcW w:w="2560" w:type="dxa"/>
            <w:tcBorders/>
            <w:vAlign w:val="center"/>
          </w:tcPr>
          <w:p>
            <w:pPr>
              <w:pStyle w:val="TableContents"/>
              <w:widowControl w:val="false"/>
              <w:suppressLineNumbers/>
              <w:spacing w:before="120" w:after="120"/>
              <w:rPr/>
            </w:pPr>
            <w:r>
              <w:rPr/>
              <w:t>Analisi epidemiologica ambientale avanzata.</w:t>
            </w:r>
          </w:p>
        </w:tc>
      </w:tr>
      <w:tr>
        <w:trPr/>
        <w:tc>
          <w:tcPr>
            <w:tcW w:w="3166" w:type="dxa"/>
            <w:tcBorders/>
            <w:vAlign w:val="center"/>
          </w:tcPr>
          <w:p>
            <w:pPr>
              <w:pStyle w:val="TableContents"/>
              <w:widowControl w:val="false"/>
              <w:suppressLineNumbers/>
              <w:spacing w:before="120" w:after="120"/>
              <w:rPr/>
            </w:pPr>
            <w:r>
              <w:rPr>
                <w:rStyle w:val="Strong"/>
              </w:rPr>
              <w:t>Modelli Spaziali (Moran’s I, Getis-Ord Gi, Regressione Spaziale)</w:t>
            </w:r>
          </w:p>
        </w:tc>
        <w:tc>
          <w:tcPr>
            <w:tcW w:w="3912" w:type="dxa"/>
            <w:tcBorders/>
            <w:vAlign w:val="center"/>
          </w:tcPr>
          <w:p>
            <w:pPr>
              <w:pStyle w:val="TableContents"/>
              <w:widowControl w:val="false"/>
              <w:suppressLineNumbers/>
              <w:spacing w:before="120" w:after="120"/>
              <w:rPr/>
            </w:pPr>
            <w:r>
              <w:rPr/>
              <w:t>Individuare cluster geografici di rischio correlati all’inquinamento.</w:t>
            </w:r>
          </w:p>
        </w:tc>
        <w:tc>
          <w:tcPr>
            <w:tcW w:w="2560" w:type="dxa"/>
            <w:tcBorders/>
            <w:vAlign w:val="center"/>
          </w:tcPr>
          <w:p>
            <w:pPr>
              <w:pStyle w:val="TableContents"/>
              <w:widowControl w:val="false"/>
              <w:suppressLineNumbers/>
              <w:spacing w:before="120" w:after="120"/>
              <w:rPr/>
            </w:pPr>
            <w:r>
              <w:rPr/>
              <w:t>Mappatura dei focolai e differenze regionali di rischio.</w:t>
            </w:r>
          </w:p>
        </w:tc>
      </w:tr>
      <w:tr>
        <w:trPr/>
        <w:tc>
          <w:tcPr>
            <w:tcW w:w="3166" w:type="dxa"/>
            <w:tcBorders/>
            <w:vAlign w:val="center"/>
          </w:tcPr>
          <w:p>
            <w:pPr>
              <w:pStyle w:val="TableContents"/>
              <w:widowControl w:val="false"/>
              <w:suppressLineNumbers/>
              <w:spacing w:before="120" w:after="120"/>
              <w:rPr/>
            </w:pPr>
            <w:r>
              <w:rPr>
                <w:rStyle w:val="Strong"/>
              </w:rPr>
              <w:t>Random Forest / Gradient Boosting</w:t>
            </w:r>
          </w:p>
        </w:tc>
        <w:tc>
          <w:tcPr>
            <w:tcW w:w="3912" w:type="dxa"/>
            <w:tcBorders/>
            <w:vAlign w:val="center"/>
          </w:tcPr>
          <w:p>
            <w:pPr>
              <w:pStyle w:val="TableContents"/>
              <w:widowControl w:val="false"/>
              <w:suppressLineNumbers/>
              <w:spacing w:before="120" w:after="120"/>
              <w:rPr/>
            </w:pPr>
            <w:r>
              <w:rPr/>
              <w:t>Identificare le variabili più rilevanti che influenzano l’andamento della malattia.</w:t>
            </w:r>
          </w:p>
        </w:tc>
        <w:tc>
          <w:tcPr>
            <w:tcW w:w="2560" w:type="dxa"/>
            <w:tcBorders/>
            <w:vAlign w:val="center"/>
          </w:tcPr>
          <w:p>
            <w:pPr>
              <w:pStyle w:val="TableContents"/>
              <w:widowControl w:val="false"/>
              <w:suppressLineNumbers/>
              <w:spacing w:before="120" w:after="120"/>
              <w:rPr/>
            </w:pPr>
            <w:r>
              <w:rPr/>
              <w:t>Analisi non lineare e ranking delle variabili chiave.</w:t>
            </w:r>
          </w:p>
        </w:tc>
      </w:tr>
    </w:tbl>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Differenze Principali</w:t>
      </w:r>
    </w:p>
    <w:p>
      <w:pPr>
        <w:pStyle w:val="BodyText"/>
        <w:numPr>
          <w:ilvl w:val="0"/>
          <w:numId w:val="15"/>
        </w:numPr>
        <w:tabs>
          <w:tab w:val="clear" w:pos="708"/>
          <w:tab w:val="left" w:pos="0" w:leader="none"/>
        </w:tabs>
        <w:spacing w:lineRule="auto" w:line="360" w:before="120" w:after="120"/>
        <w:ind w:hanging="283" w:left="709"/>
        <w:rPr/>
      </w:pPr>
      <w:r>
        <w:rPr>
          <w:rStyle w:val="Strong"/>
        </w:rPr>
        <w:t>GAM / GLM:</w:t>
      </w:r>
      <w:r>
        <w:rPr/>
        <w:t xml:space="preserve"> mostrano quanto ciascun fattore ambientale incida sull’incidenza della malattia, offrendo risultati facilmente interpretabili.</w:t>
      </w:r>
    </w:p>
    <w:p>
      <w:pPr>
        <w:pStyle w:val="BodyText"/>
        <w:numPr>
          <w:ilvl w:val="0"/>
          <w:numId w:val="15"/>
        </w:numPr>
        <w:tabs>
          <w:tab w:val="clear" w:pos="708"/>
          <w:tab w:val="left" w:pos="0" w:leader="none"/>
        </w:tabs>
        <w:spacing w:lineRule="auto" w:line="360" w:before="120" w:after="120"/>
        <w:ind w:hanging="283" w:left="709"/>
        <w:rPr/>
      </w:pPr>
      <w:r>
        <w:rPr>
          <w:rStyle w:val="Strong"/>
        </w:rPr>
        <w:t>ARIMAX:</w:t>
      </w:r>
      <w:r>
        <w:rPr/>
        <w:t xml:space="preserve"> modelli di serie temporali ideali per previsioni a breve termine.</w:t>
      </w:r>
    </w:p>
    <w:p>
      <w:pPr>
        <w:pStyle w:val="BodyText"/>
        <w:numPr>
          <w:ilvl w:val="0"/>
          <w:numId w:val="15"/>
        </w:numPr>
        <w:tabs>
          <w:tab w:val="clear" w:pos="708"/>
          <w:tab w:val="left" w:pos="0" w:leader="none"/>
        </w:tabs>
        <w:spacing w:lineRule="auto" w:line="360" w:before="120" w:after="120"/>
        <w:ind w:hanging="283" w:left="709"/>
        <w:rPr/>
      </w:pPr>
      <w:r>
        <w:rPr>
          <w:rStyle w:val="Strong"/>
        </w:rPr>
        <w:t>DLNM:</w:t>
      </w:r>
      <w:r>
        <w:rPr/>
        <w:t xml:space="preserve"> estendono le regressioni per includere effetti non lineari e ritardati.</w:t>
      </w:r>
    </w:p>
    <w:p>
      <w:pPr>
        <w:pStyle w:val="BodyText"/>
        <w:numPr>
          <w:ilvl w:val="0"/>
          <w:numId w:val="15"/>
        </w:numPr>
        <w:tabs>
          <w:tab w:val="clear" w:pos="708"/>
          <w:tab w:val="left" w:pos="0" w:leader="none"/>
        </w:tabs>
        <w:spacing w:lineRule="auto" w:line="360" w:before="120" w:after="120"/>
        <w:ind w:hanging="283" w:left="709"/>
        <w:rPr/>
      </w:pPr>
      <w:r>
        <w:rPr>
          <w:rStyle w:val="Strong"/>
        </w:rPr>
        <w:t>Modelli Spaziali:</w:t>
      </w:r>
      <w:r>
        <w:rPr/>
        <w:t xml:space="preserve"> evidenziano dove si concentrano i rischi e come variano territorialmente.</w:t>
      </w:r>
    </w:p>
    <w:p>
      <w:pPr>
        <w:pStyle w:val="BodyText"/>
        <w:numPr>
          <w:ilvl w:val="0"/>
          <w:numId w:val="15"/>
        </w:numPr>
        <w:tabs>
          <w:tab w:val="clear" w:pos="708"/>
          <w:tab w:val="left" w:pos="0" w:leader="none"/>
        </w:tabs>
        <w:spacing w:lineRule="auto" w:line="360" w:before="120" w:after="120"/>
        <w:ind w:hanging="283" w:left="709"/>
        <w:rPr/>
      </w:pPr>
      <w:r>
        <w:rPr>
          <w:rStyle w:val="Strong"/>
        </w:rPr>
        <w:t>Random Forest:</w:t>
      </w:r>
      <w:r>
        <w:rPr/>
        <w:t xml:space="preserve"> rilevano interazioni complesse e confermano l’importanza dei fattori individuati.</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Scelta del Modello per Scenario</w:t>
      </w:r>
    </w:p>
    <w:tbl>
      <w:tblPr>
        <w:tblW w:w="9638" w:type="dxa"/>
        <w:jc w:val="left"/>
        <w:tblInd w:w="28" w:type="dxa"/>
        <w:tblLayout w:type="fixed"/>
        <w:tblCellMar>
          <w:top w:w="28" w:type="dxa"/>
          <w:left w:w="28" w:type="dxa"/>
          <w:bottom w:w="28" w:type="dxa"/>
          <w:right w:w="28" w:type="dxa"/>
        </w:tblCellMar>
      </w:tblPr>
      <w:tblGrid>
        <w:gridCol w:w="2925"/>
        <w:gridCol w:w="3137"/>
        <w:gridCol w:w="3576"/>
      </w:tblGrid>
      <w:tr>
        <w:trPr>
          <w:tblHeader w:val="true"/>
        </w:trPr>
        <w:tc>
          <w:tcPr>
            <w:tcW w:w="2925" w:type="dxa"/>
            <w:tcBorders/>
            <w:vAlign w:val="center"/>
          </w:tcPr>
          <w:p>
            <w:pPr>
              <w:pStyle w:val="TableHeading"/>
              <w:spacing w:before="120" w:after="120"/>
              <w:jc w:val="center"/>
              <w:rPr/>
            </w:pPr>
            <w:r>
              <w:rPr/>
              <w:t>Scenario</w:t>
            </w:r>
          </w:p>
        </w:tc>
        <w:tc>
          <w:tcPr>
            <w:tcW w:w="3137" w:type="dxa"/>
            <w:tcBorders/>
            <w:vAlign w:val="center"/>
          </w:tcPr>
          <w:p>
            <w:pPr>
              <w:pStyle w:val="TableHeading"/>
              <w:spacing w:before="120" w:after="120"/>
              <w:jc w:val="center"/>
              <w:rPr/>
            </w:pPr>
            <w:r>
              <w:rPr/>
              <w:t>Modello Raccomandato</w:t>
            </w:r>
          </w:p>
        </w:tc>
        <w:tc>
          <w:tcPr>
            <w:tcW w:w="3576" w:type="dxa"/>
            <w:tcBorders/>
            <w:vAlign w:val="center"/>
          </w:tcPr>
          <w:p>
            <w:pPr>
              <w:pStyle w:val="TableHeading"/>
              <w:spacing w:before="120" w:after="120"/>
              <w:jc w:val="center"/>
              <w:rPr/>
            </w:pPr>
            <w:r>
              <w:rPr/>
              <w:t>Motivazione</w:t>
            </w:r>
          </w:p>
        </w:tc>
      </w:tr>
      <w:tr>
        <w:trPr/>
        <w:tc>
          <w:tcPr>
            <w:tcW w:w="2925" w:type="dxa"/>
            <w:tcBorders/>
            <w:vAlign w:val="center"/>
          </w:tcPr>
          <w:p>
            <w:pPr>
              <w:pStyle w:val="TableContents"/>
              <w:widowControl w:val="false"/>
              <w:suppressLineNumbers/>
              <w:spacing w:before="120" w:after="120"/>
              <w:rPr/>
            </w:pPr>
            <w:r>
              <w:rPr/>
              <w:t>Correlazione tra inquinamento e influenza</w:t>
            </w:r>
          </w:p>
        </w:tc>
        <w:tc>
          <w:tcPr>
            <w:tcW w:w="3137" w:type="dxa"/>
            <w:tcBorders/>
            <w:vAlign w:val="center"/>
          </w:tcPr>
          <w:p>
            <w:pPr>
              <w:pStyle w:val="TableContents"/>
              <w:widowControl w:val="false"/>
              <w:suppressLineNumbers/>
              <w:spacing w:before="120" w:after="120"/>
              <w:rPr/>
            </w:pPr>
            <w:r>
              <w:rPr>
                <w:rStyle w:val="Strong"/>
              </w:rPr>
              <w:t>GAM / GLM (con lag)</w:t>
            </w:r>
          </w:p>
        </w:tc>
        <w:tc>
          <w:tcPr>
            <w:tcW w:w="3576" w:type="dxa"/>
            <w:tcBorders/>
            <w:vAlign w:val="center"/>
          </w:tcPr>
          <w:p>
            <w:pPr>
              <w:pStyle w:val="TableContents"/>
              <w:widowControl w:val="false"/>
              <w:suppressLineNumbers/>
              <w:spacing w:before="120" w:after="120"/>
              <w:rPr/>
            </w:pPr>
            <w:r>
              <w:rPr/>
              <w:t>Forniscono relazioni causa-effetto interpretabili.</w:t>
            </w:r>
          </w:p>
        </w:tc>
      </w:tr>
      <w:tr>
        <w:trPr/>
        <w:tc>
          <w:tcPr>
            <w:tcW w:w="2925" w:type="dxa"/>
            <w:tcBorders/>
            <w:vAlign w:val="center"/>
          </w:tcPr>
          <w:p>
            <w:pPr>
              <w:pStyle w:val="TableContents"/>
              <w:widowControl w:val="false"/>
              <w:suppressLineNumbers/>
              <w:spacing w:before="120" w:after="120"/>
              <w:rPr/>
            </w:pPr>
            <w:r>
              <w:rPr/>
              <w:t>Previsioni a breve termine</w:t>
            </w:r>
          </w:p>
        </w:tc>
        <w:tc>
          <w:tcPr>
            <w:tcW w:w="3137" w:type="dxa"/>
            <w:tcBorders/>
            <w:vAlign w:val="center"/>
          </w:tcPr>
          <w:p>
            <w:pPr>
              <w:pStyle w:val="TableContents"/>
              <w:widowControl w:val="false"/>
              <w:suppressLineNumbers/>
              <w:spacing w:before="120" w:after="120"/>
              <w:rPr/>
            </w:pPr>
            <w:r>
              <w:rPr>
                <w:rStyle w:val="Strong"/>
              </w:rPr>
              <w:t>ARIMAX stagionale</w:t>
            </w:r>
          </w:p>
        </w:tc>
        <w:tc>
          <w:tcPr>
            <w:tcW w:w="3576" w:type="dxa"/>
            <w:tcBorders/>
            <w:vAlign w:val="center"/>
          </w:tcPr>
          <w:p>
            <w:pPr>
              <w:pStyle w:val="TableContents"/>
              <w:widowControl w:val="false"/>
              <w:suppressLineNumbers/>
              <w:spacing w:before="120" w:after="120"/>
              <w:rPr/>
            </w:pPr>
            <w:r>
              <w:rPr/>
              <w:t>Sfrutta la dinamica temporale e le variabili ambientali.</w:t>
            </w:r>
          </w:p>
        </w:tc>
      </w:tr>
      <w:tr>
        <w:trPr/>
        <w:tc>
          <w:tcPr>
            <w:tcW w:w="2925" w:type="dxa"/>
            <w:tcBorders/>
            <w:vAlign w:val="center"/>
          </w:tcPr>
          <w:p>
            <w:pPr>
              <w:pStyle w:val="TableContents"/>
              <w:widowControl w:val="false"/>
              <w:suppressLineNumbers/>
              <w:spacing w:before="120" w:after="120"/>
              <w:rPr/>
            </w:pPr>
            <w:r>
              <w:rPr/>
              <w:t>Effetti ritardati degli inquinanti</w:t>
            </w:r>
          </w:p>
        </w:tc>
        <w:tc>
          <w:tcPr>
            <w:tcW w:w="3137" w:type="dxa"/>
            <w:tcBorders/>
            <w:vAlign w:val="center"/>
          </w:tcPr>
          <w:p>
            <w:pPr>
              <w:pStyle w:val="TableContents"/>
              <w:widowControl w:val="false"/>
              <w:suppressLineNumbers/>
              <w:spacing w:before="120" w:after="120"/>
              <w:rPr/>
            </w:pPr>
            <w:r>
              <w:rPr>
                <w:rStyle w:val="Strong"/>
              </w:rPr>
              <w:t>DLNM</w:t>
            </w:r>
          </w:p>
        </w:tc>
        <w:tc>
          <w:tcPr>
            <w:tcW w:w="3576" w:type="dxa"/>
            <w:tcBorders/>
            <w:vAlign w:val="center"/>
          </w:tcPr>
          <w:p>
            <w:pPr>
              <w:pStyle w:val="TableContents"/>
              <w:widowControl w:val="false"/>
              <w:suppressLineNumbers/>
              <w:spacing w:before="120" w:after="120"/>
              <w:rPr/>
            </w:pPr>
            <w:r>
              <w:rPr/>
              <w:t>Modella esposizioni distribuite nel tempo.</w:t>
            </w:r>
          </w:p>
        </w:tc>
      </w:tr>
      <w:tr>
        <w:trPr/>
        <w:tc>
          <w:tcPr>
            <w:tcW w:w="2925" w:type="dxa"/>
            <w:tcBorders/>
            <w:vAlign w:val="center"/>
          </w:tcPr>
          <w:p>
            <w:pPr>
              <w:pStyle w:val="TableContents"/>
              <w:widowControl w:val="false"/>
              <w:suppressLineNumbers/>
              <w:spacing w:before="120" w:after="120"/>
              <w:rPr/>
            </w:pPr>
            <w:r>
              <w:rPr/>
              <w:t>Analisi geografica dei focolai</w:t>
            </w:r>
          </w:p>
        </w:tc>
        <w:tc>
          <w:tcPr>
            <w:tcW w:w="3137" w:type="dxa"/>
            <w:tcBorders/>
            <w:vAlign w:val="center"/>
          </w:tcPr>
          <w:p>
            <w:pPr>
              <w:pStyle w:val="TableContents"/>
              <w:widowControl w:val="false"/>
              <w:suppressLineNumbers/>
              <w:spacing w:before="120" w:after="120"/>
              <w:rPr/>
            </w:pPr>
            <w:r>
              <w:rPr>
                <w:rStyle w:val="Strong"/>
              </w:rPr>
              <w:t>Moran’s I, Getis-Ord Gi, Regressione Spaziale</w:t>
            </w:r>
          </w:p>
        </w:tc>
        <w:tc>
          <w:tcPr>
            <w:tcW w:w="3576" w:type="dxa"/>
            <w:tcBorders/>
            <w:vAlign w:val="center"/>
          </w:tcPr>
          <w:p>
            <w:pPr>
              <w:pStyle w:val="TableContents"/>
              <w:widowControl w:val="false"/>
              <w:suppressLineNumbers/>
              <w:spacing w:before="120" w:after="120"/>
              <w:rPr/>
            </w:pPr>
            <w:r>
              <w:rPr/>
              <w:t>Evidenzia variazioni e cluster regionali.</w:t>
            </w:r>
          </w:p>
        </w:tc>
      </w:tr>
      <w:tr>
        <w:trPr/>
        <w:tc>
          <w:tcPr>
            <w:tcW w:w="2925" w:type="dxa"/>
            <w:tcBorders/>
            <w:vAlign w:val="center"/>
          </w:tcPr>
          <w:p>
            <w:pPr>
              <w:pStyle w:val="TableContents"/>
              <w:widowControl w:val="false"/>
              <w:suppressLineNumbers/>
              <w:spacing w:before="120" w:after="120"/>
              <w:rPr/>
            </w:pPr>
            <w:r>
              <w:rPr/>
              <w:t>Individuazione dei fattori più rilevanti</w:t>
            </w:r>
          </w:p>
        </w:tc>
        <w:tc>
          <w:tcPr>
            <w:tcW w:w="3137" w:type="dxa"/>
            <w:tcBorders/>
            <w:vAlign w:val="center"/>
          </w:tcPr>
          <w:p>
            <w:pPr>
              <w:pStyle w:val="TableContents"/>
              <w:widowControl w:val="false"/>
              <w:suppressLineNumbers/>
              <w:spacing w:before="120" w:after="120"/>
              <w:rPr/>
            </w:pPr>
            <w:r>
              <w:rPr>
                <w:rStyle w:val="Strong"/>
              </w:rPr>
              <w:t>Random Forest / Gradient Boosting</w:t>
            </w:r>
          </w:p>
        </w:tc>
        <w:tc>
          <w:tcPr>
            <w:tcW w:w="3576" w:type="dxa"/>
            <w:tcBorders/>
            <w:vAlign w:val="center"/>
          </w:tcPr>
          <w:p>
            <w:pPr>
              <w:pStyle w:val="TableContents"/>
              <w:widowControl w:val="false"/>
              <w:suppressLineNumbers/>
              <w:spacing w:before="120" w:after="120"/>
              <w:rPr/>
            </w:pPr>
            <w:r>
              <w:rPr/>
              <w:t>Fornisce gerarchie di importanza delle variabili.</w:t>
            </w:r>
          </w:p>
        </w:tc>
      </w:tr>
    </w:tbl>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Linee Guida di Integrazione</w:t>
      </w:r>
    </w:p>
    <w:p>
      <w:pPr>
        <w:pStyle w:val="BodyText"/>
        <w:numPr>
          <w:ilvl w:val="0"/>
          <w:numId w:val="16"/>
        </w:numPr>
        <w:tabs>
          <w:tab w:val="clear" w:pos="708"/>
          <w:tab w:val="left" w:pos="0" w:leader="none"/>
        </w:tabs>
        <w:spacing w:lineRule="auto" w:line="360" w:before="120" w:after="120"/>
        <w:ind w:hanging="283" w:left="709"/>
        <w:rPr/>
      </w:pPr>
      <w:r>
        <w:rPr/>
        <w:t xml:space="preserve">Utilizzare </w:t>
      </w:r>
      <w:r>
        <w:rPr>
          <w:rStyle w:val="Strong"/>
        </w:rPr>
        <w:t>GAM/GLM</w:t>
      </w:r>
      <w:r>
        <w:rPr/>
        <w:t xml:space="preserve"> per analisi di correlazione nel modulo CU20.</w:t>
      </w:r>
    </w:p>
    <w:p>
      <w:pPr>
        <w:pStyle w:val="BodyText"/>
        <w:numPr>
          <w:ilvl w:val="0"/>
          <w:numId w:val="16"/>
        </w:numPr>
        <w:tabs>
          <w:tab w:val="clear" w:pos="708"/>
          <w:tab w:val="left" w:pos="0" w:leader="none"/>
        </w:tabs>
        <w:spacing w:lineRule="auto" w:line="360" w:before="120" w:after="120"/>
        <w:ind w:hanging="283" w:left="709"/>
        <w:rPr/>
      </w:pPr>
      <w:r>
        <w:rPr/>
        <w:t xml:space="preserve">Applicare </w:t>
      </w:r>
      <w:r>
        <w:rPr>
          <w:rStyle w:val="Strong"/>
        </w:rPr>
        <w:t>ARIMAX</w:t>
      </w:r>
      <w:r>
        <w:rPr/>
        <w:t xml:space="preserve"> per previsioni stagionali e dashboard di allerta (CU18).</w:t>
      </w:r>
    </w:p>
    <w:p>
      <w:pPr>
        <w:pStyle w:val="BodyText"/>
        <w:numPr>
          <w:ilvl w:val="0"/>
          <w:numId w:val="16"/>
        </w:numPr>
        <w:tabs>
          <w:tab w:val="clear" w:pos="708"/>
          <w:tab w:val="left" w:pos="0" w:leader="none"/>
        </w:tabs>
        <w:spacing w:lineRule="auto" w:line="360" w:before="120" w:after="120"/>
        <w:ind w:hanging="283" w:left="709"/>
        <w:rPr/>
      </w:pPr>
      <w:r>
        <w:rPr/>
        <w:t xml:space="preserve">Impiegare </w:t>
      </w:r>
      <w:r>
        <w:rPr>
          <w:rStyle w:val="Strong"/>
        </w:rPr>
        <w:t>DLNM</w:t>
      </w:r>
      <w:r>
        <w:rPr/>
        <w:t xml:space="preserve"> per studiare effetti ritardati e non lineari.</w:t>
      </w:r>
    </w:p>
    <w:p>
      <w:pPr>
        <w:pStyle w:val="BodyText"/>
        <w:numPr>
          <w:ilvl w:val="0"/>
          <w:numId w:val="16"/>
        </w:numPr>
        <w:tabs>
          <w:tab w:val="clear" w:pos="708"/>
          <w:tab w:val="left" w:pos="0" w:leader="none"/>
        </w:tabs>
        <w:spacing w:lineRule="auto" w:line="360" w:before="120" w:after="120"/>
        <w:ind w:hanging="283" w:left="709"/>
        <w:rPr/>
      </w:pPr>
      <w:r>
        <w:rPr/>
        <w:t xml:space="preserve">Adottare </w:t>
      </w:r>
      <w:r>
        <w:rPr>
          <w:rStyle w:val="Strong"/>
        </w:rPr>
        <w:t>Modelli Spaziali</w:t>
      </w:r>
      <w:r>
        <w:rPr/>
        <w:t xml:space="preserve"> per la mappatura nel modulo CU19.</w:t>
      </w:r>
    </w:p>
    <w:p>
      <w:pPr>
        <w:pStyle w:val="BodyText"/>
        <w:numPr>
          <w:ilvl w:val="0"/>
          <w:numId w:val="16"/>
        </w:numPr>
        <w:tabs>
          <w:tab w:val="clear" w:pos="708"/>
          <w:tab w:val="left" w:pos="0" w:leader="none"/>
        </w:tabs>
        <w:spacing w:lineRule="auto" w:line="360" w:before="120" w:after="120"/>
        <w:ind w:hanging="283" w:left="709"/>
        <w:rPr/>
      </w:pPr>
      <w:r>
        <w:rPr/>
        <w:t xml:space="preserve">Usare </w:t>
      </w:r>
      <w:r>
        <w:rPr>
          <w:rStyle w:val="Strong"/>
        </w:rPr>
        <w:t>Random Forest / Gradient Boosting</w:t>
      </w:r>
      <w:r>
        <w:rPr/>
        <w:t xml:space="preserve"> per convalida e ranking dei predittori.</w:t>
      </w:r>
    </w:p>
    <w:p>
      <w:pPr>
        <w:pStyle w:val="BodyText"/>
        <w:numPr>
          <w:ilvl w:val="0"/>
          <w:numId w:val="0"/>
        </w:numPr>
        <w:spacing w:lineRule="auto" w:line="360" w:before="120" w:after="120"/>
        <w:ind w:hanging="0" w:left="0"/>
        <w:rPr/>
      </w:pPr>
      <w:r>
        <w:rPr>
          <w:rStyle w:val="Strong"/>
          <w:rFonts w:eastAsia="Calibri" w:cs="Calibri"/>
          <w:color w:val="auto"/>
          <w:sz w:val="22"/>
          <w:szCs w:val="22"/>
          <w14:ligatures w14:val="none"/>
        </w:rPr>
        <w:t>Sintesi Finale</w:t>
      </w:r>
    </w:p>
    <w:p>
      <w:pPr>
        <w:pStyle w:val="BodyText"/>
        <w:spacing w:lineRule="auto" w:line="360" w:before="120" w:after="120"/>
        <w:rPr/>
      </w:pPr>
      <w:r>
        <w:rPr/>
        <w:t>L’influenza rappresenta un caso di studio fondamentale per la correlazione tra fattori ambientali e incidenza sanitaria. L’integrazione dei modelli statistici e di machine learning in HealthTrace consente di migliorare la prevenzione stagionale, fornendo analisi interpretative e previsioni operative in un’unica architettura analitica integrata.</w:t>
      </w:r>
    </w:p>
    <w:p>
      <w:pPr>
        <w:pStyle w:val="Normal"/>
        <w:rPr/>
      </w:pPr>
      <w:r>
        <w:rPr/>
      </w:r>
    </w:p>
    <w:p>
      <w:pPr>
        <w:pStyle w:val="Heading3"/>
        <w:rPr/>
      </w:pPr>
      <w:bookmarkStart w:id="7" w:name="_Toc211844804"/>
      <w:r>
        <w:rPr/>
        <w:t>Legionellosi (Malattia Respiratoria da Aerosol Idrico)</w:t>
      </w:r>
      <w:bookmarkEnd w:id="7"/>
    </w:p>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Motivazioni della Scelta</w:t>
      </w:r>
    </w:p>
    <w:p>
      <w:pPr>
        <w:pStyle w:val="BodyText"/>
        <w:spacing w:lineRule="auto" w:line="360" w:before="120" w:after="120"/>
        <w:rPr/>
      </w:pPr>
      <w:r>
        <w:rPr/>
        <w:t xml:space="preserve">La legionellosi è una delle principali malattie infettive di origine ambientale in Italia, con focolai frequenti in strutture sanitarie, turistiche e residenziali. La diffusione del batterio </w:t>
      </w:r>
      <w:r>
        <w:rPr>
          <w:rStyle w:val="Emphasis"/>
        </w:rPr>
        <w:t>Legionella</w:t>
      </w:r>
      <w:r>
        <w:rPr/>
        <w:t xml:space="preserve"> è influenzata da temperatura, umidità, precipitazioni e qualità dell’acqua, parametri già monitorati da ARPA e ISPRA.</w:t>
        <w:br/>
        <w:t>Il caso d’uso rientra nel modulo CU15 del sistema HealthTrace, dedicato alle patologie respiratorie legate all’ambiente idrico.</w:t>
      </w:r>
    </w:p>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Valore per il Progetto</w:t>
      </w:r>
    </w:p>
    <w:p>
      <w:pPr>
        <w:pStyle w:val="BodyText"/>
        <w:numPr>
          <w:ilvl w:val="0"/>
          <w:numId w:val="17"/>
        </w:numPr>
        <w:tabs>
          <w:tab w:val="clear" w:pos="708"/>
          <w:tab w:val="left" w:pos="0" w:leader="none"/>
        </w:tabs>
        <w:spacing w:lineRule="auto" w:line="360" w:before="120" w:after="120"/>
        <w:ind w:hanging="283" w:left="709"/>
        <w:rPr/>
      </w:pPr>
      <w:r>
        <w:rPr/>
        <w:t>Permette di modellare il rischio combinando dati climatici, idrici e infrastrutturali.</w:t>
      </w:r>
    </w:p>
    <w:p>
      <w:pPr>
        <w:pStyle w:val="BodyText"/>
        <w:numPr>
          <w:ilvl w:val="0"/>
          <w:numId w:val="17"/>
        </w:numPr>
        <w:tabs>
          <w:tab w:val="clear" w:pos="708"/>
          <w:tab w:val="left" w:pos="0" w:leader="none"/>
        </w:tabs>
        <w:spacing w:lineRule="auto" w:line="360" w:before="120" w:after="120"/>
        <w:ind w:hanging="283" w:left="709"/>
        <w:rPr/>
      </w:pPr>
      <w:r>
        <w:rPr/>
        <w:t>Supporta strategie preventive per la gestione delle reti idriche e la sicurezza negli ambienti ospedalieri.</w:t>
      </w:r>
    </w:p>
    <w:p>
      <w:pPr>
        <w:pStyle w:val="BodyText"/>
        <w:numPr>
          <w:ilvl w:val="0"/>
          <w:numId w:val="17"/>
        </w:numPr>
        <w:tabs>
          <w:tab w:val="clear" w:pos="708"/>
          <w:tab w:val="left" w:pos="0" w:leader="none"/>
        </w:tabs>
        <w:spacing w:lineRule="auto" w:line="360" w:before="120" w:after="120"/>
        <w:ind w:hanging="283" w:left="709"/>
        <w:rPr/>
      </w:pPr>
      <w:r>
        <w:rPr/>
        <w:t>Dimostra la capacità del sistema di integrare dati ambientali ed epidemiologici in tempo reale.</w:t>
      </w:r>
    </w:p>
    <w:p>
      <w:pPr>
        <w:pStyle w:val="BodyText"/>
        <w:numPr>
          <w:ilvl w:val="0"/>
          <w:numId w:val="17"/>
        </w:numPr>
        <w:tabs>
          <w:tab w:val="clear" w:pos="708"/>
          <w:tab w:val="left" w:pos="0" w:leader="none"/>
        </w:tabs>
        <w:spacing w:lineRule="auto" w:line="360" w:before="120" w:after="120"/>
        <w:ind w:hanging="283" w:left="709"/>
        <w:rPr/>
      </w:pPr>
      <w:r>
        <w:rPr/>
        <w:t>Si integra con i moduli CU15, CU18 e CU19 per analisi, previsione e mappatura del rischio.</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Modelli e Applicazioni</w:t>
      </w:r>
    </w:p>
    <w:tbl>
      <w:tblPr>
        <w:tblW w:w="9638" w:type="dxa"/>
        <w:jc w:val="left"/>
        <w:tblInd w:w="28" w:type="dxa"/>
        <w:tblLayout w:type="fixed"/>
        <w:tblCellMar>
          <w:top w:w="28" w:type="dxa"/>
          <w:left w:w="28" w:type="dxa"/>
          <w:bottom w:w="28" w:type="dxa"/>
          <w:right w:w="28" w:type="dxa"/>
        </w:tblCellMar>
      </w:tblPr>
      <w:tblGrid>
        <w:gridCol w:w="2948"/>
        <w:gridCol w:w="3864"/>
        <w:gridCol w:w="2826"/>
      </w:tblGrid>
      <w:tr>
        <w:trPr>
          <w:tblHeader w:val="true"/>
        </w:trPr>
        <w:tc>
          <w:tcPr>
            <w:tcW w:w="2948" w:type="dxa"/>
            <w:tcBorders/>
            <w:vAlign w:val="center"/>
          </w:tcPr>
          <w:p>
            <w:pPr>
              <w:pStyle w:val="TableHeading"/>
              <w:spacing w:before="120" w:after="120"/>
              <w:jc w:val="center"/>
              <w:rPr/>
            </w:pPr>
            <w:r>
              <w:rPr/>
              <w:t>Modello</w:t>
            </w:r>
          </w:p>
        </w:tc>
        <w:tc>
          <w:tcPr>
            <w:tcW w:w="3864" w:type="dxa"/>
            <w:tcBorders/>
            <w:vAlign w:val="center"/>
          </w:tcPr>
          <w:p>
            <w:pPr>
              <w:pStyle w:val="TableHeading"/>
              <w:spacing w:before="120" w:after="120"/>
              <w:jc w:val="center"/>
              <w:rPr/>
            </w:pPr>
            <w:r>
              <w:rPr/>
              <w:t>Scopo</w:t>
            </w:r>
          </w:p>
        </w:tc>
        <w:tc>
          <w:tcPr>
            <w:tcW w:w="2826" w:type="dxa"/>
            <w:tcBorders/>
            <w:vAlign w:val="center"/>
          </w:tcPr>
          <w:p>
            <w:pPr>
              <w:pStyle w:val="TableHeading"/>
              <w:spacing w:before="120" w:after="120"/>
              <w:jc w:val="center"/>
              <w:rPr/>
            </w:pPr>
            <w:r>
              <w:rPr/>
              <w:t>Miglior utilizzo</w:t>
            </w:r>
          </w:p>
        </w:tc>
      </w:tr>
      <w:tr>
        <w:trPr/>
        <w:tc>
          <w:tcPr>
            <w:tcW w:w="2948" w:type="dxa"/>
            <w:tcBorders/>
            <w:vAlign w:val="center"/>
          </w:tcPr>
          <w:p>
            <w:pPr>
              <w:pStyle w:val="TableContents"/>
              <w:widowControl w:val="false"/>
              <w:suppressLineNumbers/>
              <w:spacing w:before="120" w:after="120"/>
              <w:rPr/>
            </w:pPr>
            <w:r>
              <w:rPr>
                <w:rStyle w:val="Strong"/>
              </w:rPr>
              <w:t>GLM / GAM</w:t>
            </w:r>
          </w:p>
        </w:tc>
        <w:tc>
          <w:tcPr>
            <w:tcW w:w="3864" w:type="dxa"/>
            <w:tcBorders/>
            <w:vAlign w:val="center"/>
          </w:tcPr>
          <w:p>
            <w:pPr>
              <w:pStyle w:val="TableContents"/>
              <w:widowControl w:val="false"/>
              <w:suppressLineNumbers/>
              <w:spacing w:before="120" w:after="120"/>
              <w:rPr/>
            </w:pPr>
            <w:r>
              <w:rPr/>
              <w:t>Quantificano le relazioni tra variabili meteorologiche e idrologiche e l’incidenza della malattia.</w:t>
            </w:r>
          </w:p>
        </w:tc>
        <w:tc>
          <w:tcPr>
            <w:tcW w:w="2826" w:type="dxa"/>
            <w:tcBorders/>
            <w:vAlign w:val="center"/>
          </w:tcPr>
          <w:p>
            <w:pPr>
              <w:pStyle w:val="TableContents"/>
              <w:widowControl w:val="false"/>
              <w:suppressLineNumbers/>
              <w:spacing w:before="120" w:after="120"/>
              <w:rPr/>
            </w:pPr>
            <w:r>
              <w:rPr/>
              <w:t>Analisi epidemiologica e interpretazione statistica.</w:t>
            </w:r>
          </w:p>
        </w:tc>
      </w:tr>
      <w:tr>
        <w:trPr/>
        <w:tc>
          <w:tcPr>
            <w:tcW w:w="2948" w:type="dxa"/>
            <w:tcBorders/>
            <w:vAlign w:val="center"/>
          </w:tcPr>
          <w:p>
            <w:pPr>
              <w:pStyle w:val="TableContents"/>
              <w:widowControl w:val="false"/>
              <w:suppressLineNumbers/>
              <w:spacing w:before="120" w:after="120"/>
              <w:rPr/>
            </w:pPr>
            <w:r>
              <w:rPr>
                <w:rStyle w:val="Strong"/>
              </w:rPr>
              <w:t>DLNM</w:t>
            </w:r>
          </w:p>
        </w:tc>
        <w:tc>
          <w:tcPr>
            <w:tcW w:w="3864" w:type="dxa"/>
            <w:tcBorders/>
            <w:vAlign w:val="center"/>
          </w:tcPr>
          <w:p>
            <w:pPr>
              <w:pStyle w:val="TableContents"/>
              <w:widowControl w:val="false"/>
              <w:suppressLineNumbers/>
              <w:spacing w:before="120" w:after="120"/>
              <w:rPr/>
            </w:pPr>
            <w:r>
              <w:rPr/>
              <w:t>Rappresentano effetti ritardati e non lineari di temperatura e umidità.</w:t>
            </w:r>
          </w:p>
        </w:tc>
        <w:tc>
          <w:tcPr>
            <w:tcW w:w="2826" w:type="dxa"/>
            <w:tcBorders/>
            <w:vAlign w:val="center"/>
          </w:tcPr>
          <w:p>
            <w:pPr>
              <w:pStyle w:val="TableContents"/>
              <w:widowControl w:val="false"/>
              <w:suppressLineNumbers/>
              <w:spacing w:before="120" w:after="120"/>
              <w:rPr/>
            </w:pPr>
            <w:r>
              <w:rPr/>
              <w:t>Analisi avanzata del rischio ambientale.</w:t>
            </w:r>
          </w:p>
        </w:tc>
      </w:tr>
      <w:tr>
        <w:trPr/>
        <w:tc>
          <w:tcPr>
            <w:tcW w:w="2948" w:type="dxa"/>
            <w:tcBorders/>
            <w:vAlign w:val="center"/>
          </w:tcPr>
          <w:p>
            <w:pPr>
              <w:pStyle w:val="TableContents"/>
              <w:widowControl w:val="false"/>
              <w:suppressLineNumbers/>
              <w:spacing w:before="120" w:after="120"/>
              <w:rPr/>
            </w:pPr>
            <w:r>
              <w:rPr>
                <w:rStyle w:val="Strong"/>
              </w:rPr>
              <w:t>Case-Crossover</w:t>
            </w:r>
          </w:p>
        </w:tc>
        <w:tc>
          <w:tcPr>
            <w:tcW w:w="3864" w:type="dxa"/>
            <w:tcBorders/>
            <w:vAlign w:val="center"/>
          </w:tcPr>
          <w:p>
            <w:pPr>
              <w:pStyle w:val="TableContents"/>
              <w:widowControl w:val="false"/>
              <w:suppressLineNumbers/>
              <w:spacing w:before="120" w:after="120"/>
              <w:rPr/>
            </w:pPr>
            <w:r>
              <w:rPr/>
              <w:t>Confrontano periodi con e senza casi per valutare effetti climatici acuti.</w:t>
            </w:r>
          </w:p>
        </w:tc>
        <w:tc>
          <w:tcPr>
            <w:tcW w:w="2826" w:type="dxa"/>
            <w:tcBorders/>
            <w:vAlign w:val="center"/>
          </w:tcPr>
          <w:p>
            <w:pPr>
              <w:pStyle w:val="TableContents"/>
              <w:widowControl w:val="false"/>
              <w:suppressLineNumbers/>
              <w:spacing w:before="120" w:after="120"/>
              <w:rPr/>
            </w:pPr>
            <w:r>
              <w:rPr/>
              <w:t>Analisi a breve termine e trigger meteorologici.</w:t>
            </w:r>
          </w:p>
        </w:tc>
      </w:tr>
      <w:tr>
        <w:trPr/>
        <w:tc>
          <w:tcPr>
            <w:tcW w:w="2948" w:type="dxa"/>
            <w:tcBorders/>
            <w:vAlign w:val="center"/>
          </w:tcPr>
          <w:p>
            <w:pPr>
              <w:pStyle w:val="TableContents"/>
              <w:widowControl w:val="false"/>
              <w:suppressLineNumbers/>
              <w:spacing w:before="120" w:after="120"/>
              <w:rPr/>
            </w:pPr>
            <w:r>
              <w:rPr>
                <w:rStyle w:val="Strong"/>
              </w:rPr>
              <w:t>ARIMAX</w:t>
            </w:r>
          </w:p>
        </w:tc>
        <w:tc>
          <w:tcPr>
            <w:tcW w:w="3864" w:type="dxa"/>
            <w:tcBorders/>
            <w:vAlign w:val="center"/>
          </w:tcPr>
          <w:p>
            <w:pPr>
              <w:pStyle w:val="TableContents"/>
              <w:widowControl w:val="false"/>
              <w:suppressLineNumbers/>
              <w:spacing w:before="120" w:after="120"/>
              <w:rPr/>
            </w:pPr>
            <w:r>
              <w:rPr/>
              <w:t>Prevedono trend settimanali o stagionali integrando variabili meteorologiche.</w:t>
            </w:r>
          </w:p>
        </w:tc>
        <w:tc>
          <w:tcPr>
            <w:tcW w:w="2826" w:type="dxa"/>
            <w:tcBorders/>
            <w:vAlign w:val="center"/>
          </w:tcPr>
          <w:p>
            <w:pPr>
              <w:pStyle w:val="TableContents"/>
              <w:widowControl w:val="false"/>
              <w:suppressLineNumbers/>
              <w:spacing w:before="120" w:after="120"/>
              <w:rPr/>
            </w:pPr>
            <w:r>
              <w:rPr/>
              <w:t>Dashboard di previsione e allerta.</w:t>
            </w:r>
          </w:p>
        </w:tc>
      </w:tr>
      <w:tr>
        <w:trPr/>
        <w:tc>
          <w:tcPr>
            <w:tcW w:w="2948" w:type="dxa"/>
            <w:tcBorders/>
            <w:vAlign w:val="center"/>
          </w:tcPr>
          <w:p>
            <w:pPr>
              <w:pStyle w:val="TableContents"/>
              <w:widowControl w:val="false"/>
              <w:suppressLineNumbers/>
              <w:spacing w:before="120" w:after="120"/>
              <w:rPr/>
            </w:pPr>
            <w:r>
              <w:rPr>
                <w:rStyle w:val="Strong"/>
              </w:rPr>
              <w:t>Modelli Spaziali (Moran’s I, Getis-Ord Gi, Regressione Spaziale)</w:t>
            </w:r>
          </w:p>
        </w:tc>
        <w:tc>
          <w:tcPr>
            <w:tcW w:w="3864" w:type="dxa"/>
            <w:tcBorders/>
            <w:vAlign w:val="center"/>
          </w:tcPr>
          <w:p>
            <w:pPr>
              <w:pStyle w:val="TableContents"/>
              <w:widowControl w:val="false"/>
              <w:suppressLineNumbers/>
              <w:spacing w:before="120" w:after="120"/>
              <w:rPr/>
            </w:pPr>
            <w:r>
              <w:rPr/>
              <w:t>Rilevano e visualizzano cluster geografici ad alto rischio.</w:t>
            </w:r>
          </w:p>
        </w:tc>
        <w:tc>
          <w:tcPr>
            <w:tcW w:w="2826" w:type="dxa"/>
            <w:tcBorders/>
            <w:vAlign w:val="center"/>
          </w:tcPr>
          <w:p>
            <w:pPr>
              <w:pStyle w:val="TableContents"/>
              <w:widowControl w:val="false"/>
              <w:suppressLineNumbers/>
              <w:spacing w:before="120" w:after="120"/>
              <w:rPr/>
            </w:pPr>
            <w:r>
              <w:rPr/>
              <w:t>Mappe di rischio e analisi territoriale.</w:t>
            </w:r>
          </w:p>
        </w:tc>
      </w:tr>
      <w:tr>
        <w:trPr/>
        <w:tc>
          <w:tcPr>
            <w:tcW w:w="2948" w:type="dxa"/>
            <w:tcBorders/>
            <w:vAlign w:val="center"/>
          </w:tcPr>
          <w:p>
            <w:pPr>
              <w:pStyle w:val="TableContents"/>
              <w:widowControl w:val="false"/>
              <w:suppressLineNumbers/>
              <w:spacing w:before="120" w:after="120"/>
              <w:rPr/>
            </w:pPr>
            <w:r>
              <w:rPr>
                <w:rStyle w:val="Strong"/>
              </w:rPr>
              <w:t>Random Forest / Gradient Boosting</w:t>
            </w:r>
          </w:p>
        </w:tc>
        <w:tc>
          <w:tcPr>
            <w:tcW w:w="3864" w:type="dxa"/>
            <w:tcBorders/>
            <w:vAlign w:val="center"/>
          </w:tcPr>
          <w:p>
            <w:pPr>
              <w:pStyle w:val="TableContents"/>
              <w:widowControl w:val="false"/>
              <w:suppressLineNumbers/>
              <w:spacing w:before="120" w:after="120"/>
              <w:rPr/>
            </w:pPr>
            <w:r>
              <w:rPr/>
              <w:t>Identificano i principali driver ambientali (temperatura acqua, pioggia, tipologia edificio).</w:t>
            </w:r>
          </w:p>
        </w:tc>
        <w:tc>
          <w:tcPr>
            <w:tcW w:w="2826" w:type="dxa"/>
            <w:tcBorders/>
            <w:vAlign w:val="center"/>
          </w:tcPr>
          <w:p>
            <w:pPr>
              <w:pStyle w:val="TableContents"/>
              <w:widowControl w:val="false"/>
              <w:suppressLineNumbers/>
              <w:spacing w:before="120" w:after="120"/>
              <w:rPr/>
            </w:pPr>
            <w:r>
              <w:rPr/>
              <w:t>Ranking dei fattori e supporto alle politiche di prevenzione.</w:t>
            </w:r>
          </w:p>
        </w:tc>
      </w:tr>
    </w:tbl>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Differenze Principali</w:t>
      </w:r>
    </w:p>
    <w:p>
      <w:pPr>
        <w:pStyle w:val="BodyText"/>
        <w:numPr>
          <w:ilvl w:val="0"/>
          <w:numId w:val="18"/>
        </w:numPr>
        <w:tabs>
          <w:tab w:val="clear" w:pos="708"/>
          <w:tab w:val="left" w:pos="0" w:leader="none"/>
        </w:tabs>
        <w:spacing w:lineRule="auto" w:line="360" w:before="120" w:after="120"/>
        <w:ind w:hanging="283" w:left="709"/>
        <w:rPr/>
      </w:pPr>
      <w:r>
        <w:rPr>
          <w:rStyle w:val="Strong"/>
        </w:rPr>
        <w:t>GLM / GAM:</w:t>
      </w:r>
      <w:r>
        <w:rPr/>
        <w:t xml:space="preserve"> forniscono relazioni interpretabili tra clima e incidenza.</w:t>
      </w:r>
    </w:p>
    <w:p>
      <w:pPr>
        <w:pStyle w:val="BodyText"/>
        <w:numPr>
          <w:ilvl w:val="0"/>
          <w:numId w:val="18"/>
        </w:numPr>
        <w:tabs>
          <w:tab w:val="clear" w:pos="708"/>
          <w:tab w:val="left" w:pos="0" w:leader="none"/>
        </w:tabs>
        <w:spacing w:lineRule="auto" w:line="360" w:before="120" w:after="120"/>
        <w:ind w:hanging="283" w:left="709"/>
        <w:rPr/>
      </w:pPr>
      <w:r>
        <w:rPr>
          <w:rStyle w:val="Strong"/>
        </w:rPr>
        <w:t>DLNM:</w:t>
      </w:r>
      <w:r>
        <w:rPr/>
        <w:t xml:space="preserve"> modellano effetti non lineari e ritardati.</w:t>
      </w:r>
    </w:p>
    <w:p>
      <w:pPr>
        <w:pStyle w:val="BodyText"/>
        <w:numPr>
          <w:ilvl w:val="0"/>
          <w:numId w:val="18"/>
        </w:numPr>
        <w:tabs>
          <w:tab w:val="clear" w:pos="708"/>
          <w:tab w:val="left" w:pos="0" w:leader="none"/>
        </w:tabs>
        <w:spacing w:lineRule="auto" w:line="360" w:before="120" w:after="120"/>
        <w:ind w:hanging="283" w:left="709"/>
        <w:rPr/>
      </w:pPr>
      <w:r>
        <w:rPr>
          <w:rStyle w:val="Strong"/>
        </w:rPr>
        <w:t>Case-Crossover:</w:t>
      </w:r>
      <w:r>
        <w:rPr/>
        <w:t xml:space="preserve"> analizzano variazioni a breve termine controllando la stagionalità.</w:t>
      </w:r>
    </w:p>
    <w:p>
      <w:pPr>
        <w:pStyle w:val="BodyText"/>
        <w:numPr>
          <w:ilvl w:val="0"/>
          <w:numId w:val="18"/>
        </w:numPr>
        <w:tabs>
          <w:tab w:val="clear" w:pos="708"/>
          <w:tab w:val="left" w:pos="0" w:leader="none"/>
        </w:tabs>
        <w:spacing w:lineRule="auto" w:line="360" w:before="120" w:after="120"/>
        <w:ind w:hanging="283" w:left="709"/>
        <w:rPr/>
      </w:pPr>
      <w:r>
        <w:rPr>
          <w:rStyle w:val="Strong"/>
        </w:rPr>
        <w:t>ARIMAX:</w:t>
      </w:r>
      <w:r>
        <w:rPr/>
        <w:t xml:space="preserve"> ottimale per la previsione di tendenze temporali.</w:t>
      </w:r>
    </w:p>
    <w:p>
      <w:pPr>
        <w:pStyle w:val="BodyText"/>
        <w:numPr>
          <w:ilvl w:val="0"/>
          <w:numId w:val="18"/>
        </w:numPr>
        <w:tabs>
          <w:tab w:val="clear" w:pos="708"/>
          <w:tab w:val="left" w:pos="0" w:leader="none"/>
        </w:tabs>
        <w:spacing w:lineRule="auto" w:line="360" w:before="120" w:after="120"/>
        <w:ind w:hanging="283" w:left="709"/>
        <w:rPr/>
      </w:pPr>
      <w:r>
        <w:rPr>
          <w:rStyle w:val="Strong"/>
        </w:rPr>
        <w:t>Modelli Spaziali:</w:t>
      </w:r>
      <w:r>
        <w:rPr/>
        <w:t xml:space="preserve"> localizzano i cluster di rischio.</w:t>
      </w:r>
    </w:p>
    <w:p>
      <w:pPr>
        <w:pStyle w:val="BodyText"/>
        <w:numPr>
          <w:ilvl w:val="0"/>
          <w:numId w:val="18"/>
        </w:numPr>
        <w:tabs>
          <w:tab w:val="clear" w:pos="708"/>
          <w:tab w:val="left" w:pos="0" w:leader="none"/>
        </w:tabs>
        <w:spacing w:lineRule="auto" w:line="360" w:before="120" w:after="120"/>
        <w:ind w:hanging="283" w:left="709"/>
        <w:rPr/>
      </w:pPr>
      <w:r>
        <w:rPr>
          <w:rStyle w:val="Strong"/>
        </w:rPr>
        <w:t>Random Forest:</w:t>
      </w:r>
      <w:r>
        <w:rPr/>
        <w:t xml:space="preserve"> integra e valida i risultati con analisi non lineari.</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Scelta del Modello per Scenario</w:t>
      </w:r>
    </w:p>
    <w:tbl>
      <w:tblPr>
        <w:tblW w:w="9638" w:type="dxa"/>
        <w:jc w:val="left"/>
        <w:tblInd w:w="28" w:type="dxa"/>
        <w:tblLayout w:type="fixed"/>
        <w:tblCellMar>
          <w:top w:w="28" w:type="dxa"/>
          <w:left w:w="28" w:type="dxa"/>
          <w:bottom w:w="28" w:type="dxa"/>
          <w:right w:w="28" w:type="dxa"/>
        </w:tblCellMar>
      </w:tblPr>
      <w:tblGrid>
        <w:gridCol w:w="2408"/>
        <w:gridCol w:w="2952"/>
        <w:gridCol w:w="4278"/>
      </w:tblGrid>
      <w:tr>
        <w:trPr>
          <w:tblHeader w:val="true"/>
        </w:trPr>
        <w:tc>
          <w:tcPr>
            <w:tcW w:w="2408" w:type="dxa"/>
            <w:tcBorders/>
            <w:vAlign w:val="center"/>
          </w:tcPr>
          <w:p>
            <w:pPr>
              <w:pStyle w:val="TableHeading"/>
              <w:spacing w:before="120" w:after="120"/>
              <w:jc w:val="center"/>
              <w:rPr/>
            </w:pPr>
            <w:r>
              <w:rPr/>
              <w:t>Scenario</w:t>
            </w:r>
          </w:p>
        </w:tc>
        <w:tc>
          <w:tcPr>
            <w:tcW w:w="2952" w:type="dxa"/>
            <w:tcBorders/>
            <w:vAlign w:val="center"/>
          </w:tcPr>
          <w:p>
            <w:pPr>
              <w:pStyle w:val="TableHeading"/>
              <w:spacing w:before="120" w:after="120"/>
              <w:jc w:val="center"/>
              <w:rPr/>
            </w:pPr>
            <w:r>
              <w:rPr/>
              <w:t>Modello Raccomandato</w:t>
            </w:r>
          </w:p>
        </w:tc>
        <w:tc>
          <w:tcPr>
            <w:tcW w:w="4278" w:type="dxa"/>
            <w:tcBorders/>
            <w:vAlign w:val="center"/>
          </w:tcPr>
          <w:p>
            <w:pPr>
              <w:pStyle w:val="TableHeading"/>
              <w:spacing w:before="120" w:after="120"/>
              <w:jc w:val="center"/>
              <w:rPr/>
            </w:pPr>
            <w:r>
              <w:rPr/>
              <w:t>Motivazione</w:t>
            </w:r>
          </w:p>
        </w:tc>
      </w:tr>
      <w:tr>
        <w:trPr/>
        <w:tc>
          <w:tcPr>
            <w:tcW w:w="2408" w:type="dxa"/>
            <w:tcBorders/>
            <w:vAlign w:val="center"/>
          </w:tcPr>
          <w:p>
            <w:pPr>
              <w:pStyle w:val="TableContents"/>
              <w:widowControl w:val="false"/>
              <w:suppressLineNumbers/>
              <w:spacing w:before="120" w:after="120"/>
              <w:rPr/>
            </w:pPr>
            <w:r>
              <w:rPr/>
              <w:t>Relazione tra clima e casi</w:t>
            </w:r>
          </w:p>
        </w:tc>
        <w:tc>
          <w:tcPr>
            <w:tcW w:w="2952" w:type="dxa"/>
            <w:tcBorders/>
            <w:vAlign w:val="center"/>
          </w:tcPr>
          <w:p>
            <w:pPr>
              <w:pStyle w:val="TableContents"/>
              <w:widowControl w:val="false"/>
              <w:suppressLineNumbers/>
              <w:spacing w:before="120" w:after="120"/>
              <w:rPr/>
            </w:pPr>
            <w:r>
              <w:rPr>
                <w:rStyle w:val="Strong"/>
              </w:rPr>
              <w:t>GAM / DLNM</w:t>
            </w:r>
          </w:p>
        </w:tc>
        <w:tc>
          <w:tcPr>
            <w:tcW w:w="4278" w:type="dxa"/>
            <w:tcBorders/>
            <w:vAlign w:val="center"/>
          </w:tcPr>
          <w:p>
            <w:pPr>
              <w:pStyle w:val="TableContents"/>
              <w:widowControl w:val="false"/>
              <w:suppressLineNumbers/>
              <w:spacing w:before="120" w:after="120"/>
              <w:rPr/>
            </w:pPr>
            <w:r>
              <w:rPr/>
              <w:t>Catturano effetti diretti e ritardati.</w:t>
            </w:r>
          </w:p>
        </w:tc>
      </w:tr>
      <w:tr>
        <w:trPr/>
        <w:tc>
          <w:tcPr>
            <w:tcW w:w="2408" w:type="dxa"/>
            <w:tcBorders/>
            <w:vAlign w:val="center"/>
          </w:tcPr>
          <w:p>
            <w:pPr>
              <w:pStyle w:val="TableContents"/>
              <w:widowControl w:val="false"/>
              <w:suppressLineNumbers/>
              <w:spacing w:before="120" w:after="120"/>
              <w:rPr/>
            </w:pPr>
            <w:r>
              <w:rPr/>
              <w:t>Focolai localizzati</w:t>
            </w:r>
          </w:p>
        </w:tc>
        <w:tc>
          <w:tcPr>
            <w:tcW w:w="2952" w:type="dxa"/>
            <w:tcBorders/>
            <w:vAlign w:val="center"/>
          </w:tcPr>
          <w:p>
            <w:pPr>
              <w:pStyle w:val="TableContents"/>
              <w:widowControl w:val="false"/>
              <w:suppressLineNumbers/>
              <w:spacing w:before="120" w:after="120"/>
              <w:rPr/>
            </w:pPr>
            <w:r>
              <w:rPr>
                <w:rStyle w:val="Strong"/>
              </w:rPr>
              <w:t>Modelli Spaziali</w:t>
            </w:r>
          </w:p>
        </w:tc>
        <w:tc>
          <w:tcPr>
            <w:tcW w:w="4278" w:type="dxa"/>
            <w:tcBorders/>
            <w:vAlign w:val="center"/>
          </w:tcPr>
          <w:p>
            <w:pPr>
              <w:pStyle w:val="TableContents"/>
              <w:widowControl w:val="false"/>
              <w:suppressLineNumbers/>
              <w:spacing w:before="120" w:after="120"/>
              <w:rPr/>
            </w:pPr>
            <w:r>
              <w:rPr/>
              <w:t>Evidenziano hotspot e gradienti di rischio.</w:t>
            </w:r>
          </w:p>
        </w:tc>
      </w:tr>
      <w:tr>
        <w:trPr/>
        <w:tc>
          <w:tcPr>
            <w:tcW w:w="2408" w:type="dxa"/>
            <w:tcBorders/>
            <w:vAlign w:val="center"/>
          </w:tcPr>
          <w:p>
            <w:pPr>
              <w:pStyle w:val="TableContents"/>
              <w:widowControl w:val="false"/>
              <w:suppressLineNumbers/>
              <w:spacing w:before="120" w:after="120"/>
              <w:rPr/>
            </w:pPr>
            <w:r>
              <w:rPr/>
              <w:t>Previsioni a breve termine</w:t>
            </w:r>
          </w:p>
        </w:tc>
        <w:tc>
          <w:tcPr>
            <w:tcW w:w="2952" w:type="dxa"/>
            <w:tcBorders/>
            <w:vAlign w:val="center"/>
          </w:tcPr>
          <w:p>
            <w:pPr>
              <w:pStyle w:val="TableContents"/>
              <w:widowControl w:val="false"/>
              <w:suppressLineNumbers/>
              <w:spacing w:before="120" w:after="120"/>
              <w:rPr/>
            </w:pPr>
            <w:r>
              <w:rPr>
                <w:rStyle w:val="Strong"/>
              </w:rPr>
              <w:t>ARIMAX</w:t>
            </w:r>
          </w:p>
        </w:tc>
        <w:tc>
          <w:tcPr>
            <w:tcW w:w="4278" w:type="dxa"/>
            <w:tcBorders/>
            <w:vAlign w:val="center"/>
          </w:tcPr>
          <w:p>
            <w:pPr>
              <w:pStyle w:val="TableContents"/>
              <w:widowControl w:val="false"/>
              <w:suppressLineNumbers/>
              <w:spacing w:before="120" w:after="120"/>
              <w:rPr/>
            </w:pPr>
            <w:r>
              <w:rPr/>
              <w:t>Integra variabili meteorologiche per stime settimanali.</w:t>
            </w:r>
          </w:p>
        </w:tc>
      </w:tr>
      <w:tr>
        <w:trPr/>
        <w:tc>
          <w:tcPr>
            <w:tcW w:w="2408" w:type="dxa"/>
            <w:tcBorders/>
            <w:vAlign w:val="center"/>
          </w:tcPr>
          <w:p>
            <w:pPr>
              <w:pStyle w:val="TableContents"/>
              <w:widowControl w:val="false"/>
              <w:suppressLineNumbers/>
              <w:spacing w:before="120" w:after="120"/>
              <w:rPr/>
            </w:pPr>
            <w:r>
              <w:rPr/>
              <w:t>Ranking dei fattori ambientali</w:t>
            </w:r>
          </w:p>
        </w:tc>
        <w:tc>
          <w:tcPr>
            <w:tcW w:w="2952" w:type="dxa"/>
            <w:tcBorders/>
            <w:vAlign w:val="center"/>
          </w:tcPr>
          <w:p>
            <w:pPr>
              <w:pStyle w:val="TableContents"/>
              <w:widowControl w:val="false"/>
              <w:suppressLineNumbers/>
              <w:spacing w:before="120" w:after="120"/>
              <w:rPr/>
            </w:pPr>
            <w:r>
              <w:rPr>
                <w:rStyle w:val="Strong"/>
              </w:rPr>
              <w:t>Random Forest / Gradient Boosting</w:t>
            </w:r>
          </w:p>
        </w:tc>
        <w:tc>
          <w:tcPr>
            <w:tcW w:w="4278" w:type="dxa"/>
            <w:tcBorders/>
            <w:vAlign w:val="center"/>
          </w:tcPr>
          <w:p>
            <w:pPr>
              <w:pStyle w:val="TableContents"/>
              <w:widowControl w:val="false"/>
              <w:suppressLineNumbers/>
              <w:spacing w:before="120" w:after="120"/>
              <w:rPr/>
            </w:pPr>
            <w:r>
              <w:rPr/>
              <w:t>Identificano i predittori più rilevanti.</w:t>
            </w:r>
          </w:p>
        </w:tc>
      </w:tr>
      <w:tr>
        <w:trPr/>
        <w:tc>
          <w:tcPr>
            <w:tcW w:w="2408" w:type="dxa"/>
            <w:tcBorders/>
            <w:vAlign w:val="center"/>
          </w:tcPr>
          <w:p>
            <w:pPr>
              <w:pStyle w:val="TableContents"/>
              <w:widowControl w:val="false"/>
              <w:suppressLineNumbers/>
              <w:spacing w:before="120" w:after="120"/>
              <w:rPr/>
            </w:pPr>
            <w:r>
              <w:rPr/>
              <w:t>Trigger climatici acuti</w:t>
            </w:r>
          </w:p>
        </w:tc>
        <w:tc>
          <w:tcPr>
            <w:tcW w:w="2952" w:type="dxa"/>
            <w:tcBorders/>
            <w:vAlign w:val="center"/>
          </w:tcPr>
          <w:p>
            <w:pPr>
              <w:pStyle w:val="TableContents"/>
              <w:widowControl w:val="false"/>
              <w:suppressLineNumbers/>
              <w:spacing w:before="120" w:after="120"/>
              <w:rPr/>
            </w:pPr>
            <w:r>
              <w:rPr>
                <w:rStyle w:val="Strong"/>
              </w:rPr>
              <w:t>Case-Crossover</w:t>
            </w:r>
          </w:p>
        </w:tc>
        <w:tc>
          <w:tcPr>
            <w:tcW w:w="4278" w:type="dxa"/>
            <w:tcBorders/>
            <w:vAlign w:val="center"/>
          </w:tcPr>
          <w:p>
            <w:pPr>
              <w:pStyle w:val="TableContents"/>
              <w:widowControl w:val="false"/>
              <w:suppressLineNumbers/>
              <w:spacing w:before="120" w:after="120"/>
              <w:rPr/>
            </w:pPr>
            <w:r>
              <w:rPr/>
              <w:t>Valutano effetti meteorologici immediati.</w:t>
            </w:r>
          </w:p>
        </w:tc>
      </w:tr>
    </w:tbl>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Linee Guida di Integrazione</w:t>
      </w:r>
    </w:p>
    <w:p>
      <w:pPr>
        <w:pStyle w:val="BodyText"/>
        <w:numPr>
          <w:ilvl w:val="0"/>
          <w:numId w:val="19"/>
        </w:numPr>
        <w:tabs>
          <w:tab w:val="clear" w:pos="708"/>
          <w:tab w:val="left" w:pos="0" w:leader="none"/>
        </w:tabs>
        <w:spacing w:lineRule="auto" w:line="360" w:before="120" w:after="120"/>
        <w:ind w:hanging="283" w:left="709"/>
        <w:rPr/>
      </w:pPr>
      <w:r>
        <w:rPr/>
        <w:t xml:space="preserve">Utilizzare </w:t>
      </w:r>
      <w:r>
        <w:rPr>
          <w:rStyle w:val="Strong"/>
        </w:rPr>
        <w:t>GAM / DLNM</w:t>
      </w:r>
      <w:r>
        <w:rPr/>
        <w:t xml:space="preserve"> nel modulo CU15 per analisi epidemiologiche.</w:t>
      </w:r>
    </w:p>
    <w:p>
      <w:pPr>
        <w:pStyle w:val="BodyText"/>
        <w:numPr>
          <w:ilvl w:val="0"/>
          <w:numId w:val="19"/>
        </w:numPr>
        <w:tabs>
          <w:tab w:val="clear" w:pos="708"/>
          <w:tab w:val="left" w:pos="0" w:leader="none"/>
        </w:tabs>
        <w:spacing w:lineRule="auto" w:line="360" w:before="120" w:after="120"/>
        <w:ind w:hanging="283" w:left="709"/>
        <w:rPr/>
      </w:pPr>
      <w:r>
        <w:rPr/>
        <w:t xml:space="preserve">Applicare </w:t>
      </w:r>
      <w:r>
        <w:rPr>
          <w:rStyle w:val="Strong"/>
        </w:rPr>
        <w:t>ARIMAX</w:t>
      </w:r>
      <w:r>
        <w:rPr/>
        <w:t xml:space="preserve"> nel CU18 per previsioni brevi.</w:t>
      </w:r>
    </w:p>
    <w:p>
      <w:pPr>
        <w:pStyle w:val="BodyText"/>
        <w:numPr>
          <w:ilvl w:val="0"/>
          <w:numId w:val="19"/>
        </w:numPr>
        <w:tabs>
          <w:tab w:val="clear" w:pos="708"/>
          <w:tab w:val="left" w:pos="0" w:leader="none"/>
        </w:tabs>
        <w:spacing w:lineRule="auto" w:line="360" w:before="120" w:after="120"/>
        <w:ind w:hanging="283" w:left="709"/>
        <w:rPr/>
      </w:pPr>
      <w:r>
        <w:rPr/>
        <w:t xml:space="preserve">Impiegare </w:t>
      </w:r>
      <w:r>
        <w:rPr>
          <w:rStyle w:val="Strong"/>
        </w:rPr>
        <w:t>Modelli Spaziali</w:t>
      </w:r>
      <w:r>
        <w:rPr/>
        <w:t xml:space="preserve"> nel CU19 per mappatura e clusterizzazione.</w:t>
      </w:r>
    </w:p>
    <w:p>
      <w:pPr>
        <w:pStyle w:val="BodyText"/>
        <w:numPr>
          <w:ilvl w:val="0"/>
          <w:numId w:val="19"/>
        </w:numPr>
        <w:tabs>
          <w:tab w:val="clear" w:pos="708"/>
          <w:tab w:val="left" w:pos="0" w:leader="none"/>
        </w:tabs>
        <w:spacing w:lineRule="auto" w:line="360" w:before="120" w:after="120"/>
        <w:ind w:hanging="283" w:left="709"/>
        <w:rPr/>
      </w:pPr>
      <w:r>
        <w:rPr/>
        <w:t xml:space="preserve">Adottare </w:t>
      </w:r>
      <w:r>
        <w:rPr>
          <w:rStyle w:val="Strong"/>
        </w:rPr>
        <w:t>Random Forest</w:t>
      </w:r>
      <w:r>
        <w:rPr/>
        <w:t xml:space="preserve"> per classificazione dei driver e validazione.</w:t>
      </w:r>
    </w:p>
    <w:p>
      <w:pPr>
        <w:pStyle w:val="BodyText"/>
        <w:numPr>
          <w:ilvl w:val="0"/>
          <w:numId w:val="19"/>
        </w:numPr>
        <w:tabs>
          <w:tab w:val="clear" w:pos="708"/>
          <w:tab w:val="left" w:pos="0" w:leader="none"/>
        </w:tabs>
        <w:spacing w:lineRule="auto" w:line="360" w:before="120" w:after="120"/>
        <w:ind w:hanging="283" w:left="709"/>
        <w:rPr/>
      </w:pPr>
      <w:r>
        <w:rPr/>
        <w:t xml:space="preserve">Usare </w:t>
      </w:r>
      <w:r>
        <w:rPr>
          <w:rStyle w:val="Strong"/>
        </w:rPr>
        <w:t>Case-Crossover</w:t>
      </w:r>
      <w:r>
        <w:rPr/>
        <w:t xml:space="preserve"> per confermare effetti meteorologici acuti.</w:t>
      </w:r>
    </w:p>
    <w:p>
      <w:pPr>
        <w:pStyle w:val="BodyText"/>
        <w:numPr>
          <w:ilvl w:val="0"/>
          <w:numId w:val="19"/>
        </w:numPr>
        <w:tabs>
          <w:tab w:val="clear" w:pos="708"/>
          <w:tab w:val="left" w:pos="0" w:leader="none"/>
        </w:tabs>
        <w:spacing w:lineRule="auto" w:line="360" w:before="120" w:after="120"/>
        <w:ind w:hanging="283" w:left="709"/>
        <w:rPr/>
      </w:pPr>
      <w:r>
        <w:rPr/>
        <w:t xml:space="preserve">Integrare dataset </w:t>
      </w:r>
      <w:r>
        <w:rPr>
          <w:rStyle w:val="Strong"/>
        </w:rPr>
        <w:t>ARPA</w:t>
      </w:r>
      <w:r>
        <w:rPr/>
        <w:t xml:space="preserve"> e </w:t>
      </w:r>
      <w:r>
        <w:rPr>
          <w:rStyle w:val="Strong"/>
        </w:rPr>
        <w:t>ISPRA</w:t>
      </w:r>
      <w:r>
        <w:rPr/>
        <w:t xml:space="preserve"> per migliorare la qualità e la precisione delle analisi.</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Sintesi Finale</w:t>
      </w:r>
    </w:p>
    <w:p>
      <w:pPr>
        <w:pStyle w:val="BodyText"/>
        <w:spacing w:lineRule="auto" w:line="360" w:before="120" w:after="120"/>
        <w:rPr/>
      </w:pPr>
      <w:r>
        <w:rPr/>
        <w:t>L’analisi della legionellosi in HealthTrace consente di unire epidemiologia, dati ambientali e modellazione spaziale in un’unica piattaforma. Il sistema fornisce strumenti predittivi e interpretativi a supporto della prevenzione, permettendo un monitoraggio costante del rischio ambientale e sanitario.</w:t>
      </w:r>
    </w:p>
    <w:p>
      <w:pPr>
        <w:pStyle w:val="Normal"/>
        <w:rPr/>
      </w:pPr>
      <w:r>
        <w:rPr/>
      </w:r>
    </w:p>
    <w:p>
      <w:pPr>
        <w:pStyle w:val="Heading3"/>
        <w:rPr/>
      </w:pPr>
      <w:bookmarkStart w:id="8" w:name="_Toc211844805"/>
      <w:r>
        <w:rPr/>
        <w:t>Epatite A (Malattia a Trasmissione Idrica e Alimentare)</w:t>
      </w:r>
      <w:bookmarkEnd w:id="8"/>
    </w:p>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Motivazioni della Scelta</w:t>
      </w:r>
    </w:p>
    <w:p>
      <w:pPr>
        <w:pStyle w:val="BodyText"/>
        <w:spacing w:lineRule="auto" w:line="360" w:before="120" w:after="120"/>
        <w:rPr/>
      </w:pPr>
      <w:r>
        <w:rPr/>
        <w:t>L’epatite A è una malattia infettiva a trasmissione idrica e alimentare, con focolai ricorrenti in Campania, Calabria e Puglia.</w:t>
        <w:br/>
        <w:t>La diffusione è fortemente associata alla contaminazione dell’acqua (E. coli, cloro residuo, pH) e a eventi meteorologici estremi come alluvioni e piogge intense.</w:t>
        <w:br/>
        <w:t>I dati utili sono disponibili tramite il sistema ARPAC (S07) e le API idro-meteorologiche di ARPA e ISPRA.</w:t>
      </w:r>
    </w:p>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Valore per il Progetto</w:t>
      </w:r>
    </w:p>
    <w:p>
      <w:pPr>
        <w:pStyle w:val="BodyText"/>
        <w:numPr>
          <w:ilvl w:val="0"/>
          <w:numId w:val="20"/>
        </w:numPr>
        <w:tabs>
          <w:tab w:val="clear" w:pos="708"/>
          <w:tab w:val="left" w:pos="0" w:leader="none"/>
        </w:tabs>
        <w:spacing w:lineRule="auto" w:line="360" w:before="120" w:after="120"/>
        <w:ind w:hanging="283" w:left="709"/>
        <w:rPr/>
      </w:pPr>
      <w:r>
        <w:rPr/>
        <w:t>Consente di integrare dati idrologici e meteorologici nel DWH di HealthTrace.</w:t>
      </w:r>
    </w:p>
    <w:p>
      <w:pPr>
        <w:pStyle w:val="BodyText"/>
        <w:numPr>
          <w:ilvl w:val="0"/>
          <w:numId w:val="20"/>
        </w:numPr>
        <w:tabs>
          <w:tab w:val="clear" w:pos="708"/>
          <w:tab w:val="left" w:pos="0" w:leader="none"/>
        </w:tabs>
        <w:spacing w:lineRule="auto" w:line="360" w:before="120" w:after="120"/>
        <w:ind w:hanging="283" w:left="709"/>
        <w:rPr/>
      </w:pPr>
      <w:r>
        <w:rPr/>
        <w:t>Supporta analisi spazio-temporali e stagionali dei focolai.</w:t>
      </w:r>
    </w:p>
    <w:p>
      <w:pPr>
        <w:pStyle w:val="BodyText"/>
        <w:numPr>
          <w:ilvl w:val="0"/>
          <w:numId w:val="20"/>
        </w:numPr>
        <w:tabs>
          <w:tab w:val="clear" w:pos="708"/>
          <w:tab w:val="left" w:pos="0" w:leader="none"/>
        </w:tabs>
        <w:spacing w:lineRule="auto" w:line="360" w:before="120" w:after="120"/>
        <w:ind w:hanging="283" w:left="709"/>
        <w:rPr/>
      </w:pPr>
      <w:r>
        <w:rPr/>
        <w:t>Fornisce indicatori quantitativi sull’impatto dei fattori ambientali sulla sicurezza idrica e alimentare.</w:t>
      </w:r>
    </w:p>
    <w:p>
      <w:pPr>
        <w:pStyle w:val="BodyText"/>
        <w:numPr>
          <w:ilvl w:val="0"/>
          <w:numId w:val="20"/>
        </w:numPr>
        <w:tabs>
          <w:tab w:val="clear" w:pos="708"/>
          <w:tab w:val="left" w:pos="0" w:leader="none"/>
        </w:tabs>
        <w:spacing w:lineRule="auto" w:line="360" w:before="120" w:after="120"/>
        <w:ind w:hanging="283" w:left="709"/>
        <w:rPr/>
      </w:pPr>
      <w:r>
        <w:rPr/>
        <w:t>Automatizza l’aggiornamento continuo dei dati tramite API ARPA, ARPAC e ISPRA.</w:t>
      </w:r>
    </w:p>
    <w:p>
      <w:pPr>
        <w:pStyle w:val="BodyText"/>
        <w:numPr>
          <w:ilvl w:val="0"/>
          <w:numId w:val="20"/>
        </w:numPr>
        <w:tabs>
          <w:tab w:val="clear" w:pos="708"/>
          <w:tab w:val="left" w:pos="0" w:leader="none"/>
        </w:tabs>
        <w:spacing w:lineRule="auto" w:line="360" w:before="120" w:after="120"/>
        <w:ind w:hanging="283" w:left="709"/>
        <w:rPr/>
      </w:pPr>
      <w:r>
        <w:rPr/>
        <w:t>Si integra con i moduli CU16 (Correlazione), CU18 (Previsione) e CU19 (Visualizzazione Geospaziale).</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Modelli e Applicazioni</w:t>
      </w:r>
    </w:p>
    <w:tbl>
      <w:tblPr>
        <w:tblW w:w="9638" w:type="dxa"/>
        <w:jc w:val="left"/>
        <w:tblInd w:w="28" w:type="dxa"/>
        <w:tblLayout w:type="fixed"/>
        <w:tblCellMar>
          <w:top w:w="28" w:type="dxa"/>
          <w:left w:w="28" w:type="dxa"/>
          <w:bottom w:w="28" w:type="dxa"/>
          <w:right w:w="28" w:type="dxa"/>
        </w:tblCellMar>
      </w:tblPr>
      <w:tblGrid>
        <w:gridCol w:w="2144"/>
        <w:gridCol w:w="4419"/>
        <w:gridCol w:w="3075"/>
      </w:tblGrid>
      <w:tr>
        <w:trPr>
          <w:tblHeader w:val="true"/>
        </w:trPr>
        <w:tc>
          <w:tcPr>
            <w:tcW w:w="2144" w:type="dxa"/>
            <w:tcBorders/>
            <w:vAlign w:val="center"/>
          </w:tcPr>
          <w:p>
            <w:pPr>
              <w:pStyle w:val="TableHeading"/>
              <w:spacing w:before="120" w:after="120"/>
              <w:jc w:val="center"/>
              <w:rPr/>
            </w:pPr>
            <w:r>
              <w:rPr/>
              <w:t>Modello</w:t>
            </w:r>
          </w:p>
        </w:tc>
        <w:tc>
          <w:tcPr>
            <w:tcW w:w="4419" w:type="dxa"/>
            <w:tcBorders/>
            <w:vAlign w:val="center"/>
          </w:tcPr>
          <w:p>
            <w:pPr>
              <w:pStyle w:val="TableHeading"/>
              <w:spacing w:before="120" w:after="120"/>
              <w:jc w:val="center"/>
              <w:rPr/>
            </w:pPr>
            <w:r>
              <w:rPr/>
              <w:t>Scopo</w:t>
            </w:r>
          </w:p>
        </w:tc>
        <w:tc>
          <w:tcPr>
            <w:tcW w:w="3075" w:type="dxa"/>
            <w:tcBorders/>
            <w:vAlign w:val="center"/>
          </w:tcPr>
          <w:p>
            <w:pPr>
              <w:pStyle w:val="TableHeading"/>
              <w:spacing w:before="120" w:after="120"/>
              <w:jc w:val="center"/>
              <w:rPr/>
            </w:pPr>
            <w:r>
              <w:rPr/>
              <w:t>Miglior utilizzo</w:t>
            </w:r>
          </w:p>
        </w:tc>
      </w:tr>
      <w:tr>
        <w:trPr/>
        <w:tc>
          <w:tcPr>
            <w:tcW w:w="2144" w:type="dxa"/>
            <w:tcBorders/>
            <w:vAlign w:val="center"/>
          </w:tcPr>
          <w:p>
            <w:pPr>
              <w:pStyle w:val="TableContents"/>
              <w:widowControl w:val="false"/>
              <w:suppressLineNumbers/>
              <w:spacing w:before="120" w:after="120"/>
              <w:rPr/>
            </w:pPr>
            <w:r>
              <w:rPr>
                <w:rStyle w:val="Strong"/>
              </w:rPr>
              <w:t>GLM / GAM</w:t>
            </w:r>
          </w:p>
        </w:tc>
        <w:tc>
          <w:tcPr>
            <w:tcW w:w="4419" w:type="dxa"/>
            <w:tcBorders/>
            <w:vAlign w:val="center"/>
          </w:tcPr>
          <w:p>
            <w:pPr>
              <w:pStyle w:val="TableContents"/>
              <w:widowControl w:val="false"/>
              <w:suppressLineNumbers/>
              <w:spacing w:before="120" w:after="120"/>
              <w:rPr/>
            </w:pPr>
            <w:r>
              <w:rPr/>
              <w:t>Analizzare correlazioni tra parametri idrici e meteorologici e incidenza della malattia.</w:t>
            </w:r>
          </w:p>
        </w:tc>
        <w:tc>
          <w:tcPr>
            <w:tcW w:w="3075" w:type="dxa"/>
            <w:tcBorders/>
            <w:vAlign w:val="center"/>
          </w:tcPr>
          <w:p>
            <w:pPr>
              <w:pStyle w:val="TableContents"/>
              <w:widowControl w:val="false"/>
              <w:suppressLineNumbers/>
              <w:spacing w:before="120" w:after="120"/>
              <w:rPr/>
            </w:pPr>
            <w:r>
              <w:rPr/>
              <w:t>Interpretazione epidemiologica.</w:t>
            </w:r>
          </w:p>
        </w:tc>
      </w:tr>
      <w:tr>
        <w:trPr/>
        <w:tc>
          <w:tcPr>
            <w:tcW w:w="2144" w:type="dxa"/>
            <w:tcBorders/>
            <w:vAlign w:val="center"/>
          </w:tcPr>
          <w:p>
            <w:pPr>
              <w:pStyle w:val="TableContents"/>
              <w:widowControl w:val="false"/>
              <w:suppressLineNumbers/>
              <w:spacing w:before="120" w:after="120"/>
              <w:rPr/>
            </w:pPr>
            <w:r>
              <w:rPr>
                <w:rStyle w:val="Strong"/>
              </w:rPr>
              <w:t>DLNM</w:t>
            </w:r>
          </w:p>
        </w:tc>
        <w:tc>
          <w:tcPr>
            <w:tcW w:w="4419" w:type="dxa"/>
            <w:tcBorders/>
            <w:vAlign w:val="center"/>
          </w:tcPr>
          <w:p>
            <w:pPr>
              <w:pStyle w:val="TableContents"/>
              <w:widowControl w:val="false"/>
              <w:suppressLineNumbers/>
              <w:spacing w:before="120" w:after="120"/>
              <w:rPr/>
            </w:pPr>
            <w:r>
              <w:rPr/>
              <w:t>Modellare effetti ritardati e non lineari delle variabili ambientali.</w:t>
            </w:r>
          </w:p>
        </w:tc>
        <w:tc>
          <w:tcPr>
            <w:tcW w:w="3075" w:type="dxa"/>
            <w:tcBorders/>
            <w:vAlign w:val="center"/>
          </w:tcPr>
          <w:p>
            <w:pPr>
              <w:pStyle w:val="TableContents"/>
              <w:widowControl w:val="false"/>
              <w:suppressLineNumbers/>
              <w:spacing w:before="120" w:after="120"/>
              <w:rPr/>
            </w:pPr>
            <w:r>
              <w:rPr/>
              <w:t>Analisi a breve termine con lag multipli.</w:t>
            </w:r>
          </w:p>
        </w:tc>
      </w:tr>
      <w:tr>
        <w:trPr/>
        <w:tc>
          <w:tcPr>
            <w:tcW w:w="2144" w:type="dxa"/>
            <w:tcBorders/>
            <w:vAlign w:val="center"/>
          </w:tcPr>
          <w:p>
            <w:pPr>
              <w:pStyle w:val="TableContents"/>
              <w:widowControl w:val="false"/>
              <w:suppressLineNumbers/>
              <w:spacing w:before="120" w:after="120"/>
              <w:rPr/>
            </w:pPr>
            <w:r>
              <w:rPr>
                <w:rStyle w:val="Strong"/>
              </w:rPr>
              <w:t>ARIMAX</w:t>
            </w:r>
          </w:p>
        </w:tc>
        <w:tc>
          <w:tcPr>
            <w:tcW w:w="4419" w:type="dxa"/>
            <w:tcBorders/>
            <w:vAlign w:val="center"/>
          </w:tcPr>
          <w:p>
            <w:pPr>
              <w:pStyle w:val="TableContents"/>
              <w:widowControl w:val="false"/>
              <w:suppressLineNumbers/>
              <w:spacing w:before="120" w:after="120"/>
              <w:rPr/>
            </w:pPr>
            <w:r>
              <w:rPr/>
              <w:t>Prevedere variazioni stagionali e brevi.</w:t>
            </w:r>
          </w:p>
        </w:tc>
        <w:tc>
          <w:tcPr>
            <w:tcW w:w="3075" w:type="dxa"/>
            <w:tcBorders/>
            <w:vAlign w:val="center"/>
          </w:tcPr>
          <w:p>
            <w:pPr>
              <w:pStyle w:val="TableContents"/>
              <w:widowControl w:val="false"/>
              <w:suppressLineNumbers/>
              <w:spacing w:before="120" w:after="120"/>
              <w:rPr/>
            </w:pPr>
            <w:r>
              <w:rPr/>
              <w:t>Allerta precoce e previsione stagionale.</w:t>
            </w:r>
          </w:p>
        </w:tc>
      </w:tr>
      <w:tr>
        <w:trPr/>
        <w:tc>
          <w:tcPr>
            <w:tcW w:w="2144" w:type="dxa"/>
            <w:tcBorders/>
            <w:vAlign w:val="center"/>
          </w:tcPr>
          <w:p>
            <w:pPr>
              <w:pStyle w:val="TableContents"/>
              <w:widowControl w:val="false"/>
              <w:suppressLineNumbers/>
              <w:spacing w:before="120" w:after="120"/>
              <w:rPr/>
            </w:pPr>
            <w:r>
              <w:rPr>
                <w:rStyle w:val="Strong"/>
              </w:rPr>
              <w:t>Modelli Spaziali</w:t>
            </w:r>
          </w:p>
        </w:tc>
        <w:tc>
          <w:tcPr>
            <w:tcW w:w="4419" w:type="dxa"/>
            <w:tcBorders/>
            <w:vAlign w:val="center"/>
          </w:tcPr>
          <w:p>
            <w:pPr>
              <w:pStyle w:val="TableContents"/>
              <w:widowControl w:val="false"/>
              <w:suppressLineNumbers/>
              <w:spacing w:before="120" w:after="120"/>
              <w:rPr/>
            </w:pPr>
            <w:r>
              <w:rPr/>
              <w:t>Identificare cluster di contaminazione e distribuzione territoriale del rischio.</w:t>
            </w:r>
          </w:p>
        </w:tc>
        <w:tc>
          <w:tcPr>
            <w:tcW w:w="3075" w:type="dxa"/>
            <w:tcBorders/>
            <w:vAlign w:val="center"/>
          </w:tcPr>
          <w:p>
            <w:pPr>
              <w:pStyle w:val="TableContents"/>
              <w:widowControl w:val="false"/>
              <w:suppressLineNumbers/>
              <w:spacing w:before="120" w:after="120"/>
              <w:rPr/>
            </w:pPr>
            <w:r>
              <w:rPr/>
              <w:t>Mappatura del rischio e hotspot idrici.</w:t>
            </w:r>
          </w:p>
        </w:tc>
      </w:tr>
      <w:tr>
        <w:trPr/>
        <w:tc>
          <w:tcPr>
            <w:tcW w:w="2144" w:type="dxa"/>
            <w:tcBorders/>
            <w:vAlign w:val="center"/>
          </w:tcPr>
          <w:p>
            <w:pPr>
              <w:pStyle w:val="TableContents"/>
              <w:widowControl w:val="false"/>
              <w:suppressLineNumbers/>
              <w:spacing w:before="120" w:after="120"/>
              <w:rPr/>
            </w:pPr>
            <w:r>
              <w:rPr>
                <w:rStyle w:val="Strong"/>
              </w:rPr>
              <w:t>Random Forest / Gradient Boosting</w:t>
            </w:r>
          </w:p>
        </w:tc>
        <w:tc>
          <w:tcPr>
            <w:tcW w:w="4419" w:type="dxa"/>
            <w:tcBorders/>
            <w:vAlign w:val="center"/>
          </w:tcPr>
          <w:p>
            <w:pPr>
              <w:pStyle w:val="TableContents"/>
              <w:widowControl w:val="false"/>
              <w:suppressLineNumbers/>
              <w:spacing w:before="120" w:after="120"/>
              <w:rPr/>
            </w:pPr>
            <w:r>
              <w:rPr/>
              <w:t>Classificare e ordinare i predittori più influenti (pioggia, pH, cloro).</w:t>
            </w:r>
          </w:p>
        </w:tc>
        <w:tc>
          <w:tcPr>
            <w:tcW w:w="3075" w:type="dxa"/>
            <w:tcBorders/>
            <w:vAlign w:val="center"/>
          </w:tcPr>
          <w:p>
            <w:pPr>
              <w:pStyle w:val="TableContents"/>
              <w:widowControl w:val="false"/>
              <w:suppressLineNumbers/>
              <w:spacing w:before="120" w:after="120"/>
              <w:rPr/>
            </w:pPr>
            <w:r>
              <w:rPr/>
              <w:t>Prioritizzazione dei fattori per dashboard analitiche.</w:t>
            </w:r>
          </w:p>
        </w:tc>
      </w:tr>
    </w:tbl>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Differenze Principali</w:t>
      </w:r>
    </w:p>
    <w:p>
      <w:pPr>
        <w:pStyle w:val="BodyText"/>
        <w:numPr>
          <w:ilvl w:val="0"/>
          <w:numId w:val="21"/>
        </w:numPr>
        <w:tabs>
          <w:tab w:val="clear" w:pos="708"/>
          <w:tab w:val="left" w:pos="0" w:leader="none"/>
        </w:tabs>
        <w:spacing w:lineRule="auto" w:line="360" w:before="120" w:after="120"/>
        <w:ind w:hanging="283" w:left="709"/>
        <w:rPr/>
      </w:pPr>
      <w:r>
        <w:rPr>
          <w:rStyle w:val="Strong"/>
        </w:rPr>
        <w:t>GAM / GLM:</w:t>
      </w:r>
      <w:r>
        <w:rPr/>
        <w:t xml:space="preserve"> correlazioni lineari e interpretabili.</w:t>
      </w:r>
    </w:p>
    <w:p>
      <w:pPr>
        <w:pStyle w:val="BodyText"/>
        <w:numPr>
          <w:ilvl w:val="0"/>
          <w:numId w:val="21"/>
        </w:numPr>
        <w:tabs>
          <w:tab w:val="clear" w:pos="708"/>
          <w:tab w:val="left" w:pos="0" w:leader="none"/>
        </w:tabs>
        <w:spacing w:lineRule="auto" w:line="360" w:before="120" w:after="120"/>
        <w:ind w:hanging="283" w:left="709"/>
        <w:rPr/>
      </w:pPr>
      <w:r>
        <w:rPr>
          <w:rStyle w:val="Strong"/>
        </w:rPr>
        <w:t>DLNM:</w:t>
      </w:r>
      <w:r>
        <w:rPr/>
        <w:t xml:space="preserve"> analisi ritardate e non lineari.</w:t>
      </w:r>
    </w:p>
    <w:p>
      <w:pPr>
        <w:pStyle w:val="BodyText"/>
        <w:numPr>
          <w:ilvl w:val="0"/>
          <w:numId w:val="21"/>
        </w:numPr>
        <w:tabs>
          <w:tab w:val="clear" w:pos="708"/>
          <w:tab w:val="left" w:pos="0" w:leader="none"/>
        </w:tabs>
        <w:spacing w:lineRule="auto" w:line="360" w:before="120" w:after="120"/>
        <w:ind w:hanging="283" w:left="709"/>
        <w:rPr/>
      </w:pPr>
      <w:r>
        <w:rPr>
          <w:rStyle w:val="Strong"/>
        </w:rPr>
        <w:t>ARIMAX:</w:t>
      </w:r>
      <w:r>
        <w:rPr/>
        <w:t xml:space="preserve"> previsione stagionale e a breve termine.</w:t>
      </w:r>
    </w:p>
    <w:p>
      <w:pPr>
        <w:pStyle w:val="BodyText"/>
        <w:numPr>
          <w:ilvl w:val="0"/>
          <w:numId w:val="21"/>
        </w:numPr>
        <w:tabs>
          <w:tab w:val="clear" w:pos="708"/>
          <w:tab w:val="left" w:pos="0" w:leader="none"/>
        </w:tabs>
        <w:spacing w:lineRule="auto" w:line="360" w:before="120" w:after="120"/>
        <w:ind w:hanging="283" w:left="709"/>
        <w:rPr/>
      </w:pPr>
      <w:r>
        <w:rPr>
          <w:rStyle w:val="Strong"/>
        </w:rPr>
        <w:t>Modelli Spaziali:</w:t>
      </w:r>
      <w:r>
        <w:rPr/>
        <w:t xml:space="preserve"> individuano i cluster di contaminazione.</w:t>
      </w:r>
    </w:p>
    <w:p>
      <w:pPr>
        <w:pStyle w:val="BodyText"/>
        <w:numPr>
          <w:ilvl w:val="0"/>
          <w:numId w:val="21"/>
        </w:numPr>
        <w:tabs>
          <w:tab w:val="clear" w:pos="708"/>
          <w:tab w:val="left" w:pos="0" w:leader="none"/>
        </w:tabs>
        <w:spacing w:lineRule="auto" w:line="360" w:before="120" w:after="120"/>
        <w:ind w:hanging="283" w:left="709"/>
        <w:rPr/>
      </w:pPr>
      <w:r>
        <w:rPr>
          <w:rStyle w:val="Strong"/>
        </w:rPr>
        <w:t>Random Forest:</w:t>
      </w:r>
      <w:r>
        <w:rPr/>
        <w:t xml:space="preserve"> forniscono ranking e validazione dei fattori di rischio.</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Scelta del Modello per Scenario</w:t>
      </w:r>
    </w:p>
    <w:tbl>
      <w:tblPr>
        <w:tblW w:w="9638" w:type="dxa"/>
        <w:jc w:val="left"/>
        <w:tblInd w:w="28" w:type="dxa"/>
        <w:tblLayout w:type="fixed"/>
        <w:tblCellMar>
          <w:top w:w="28" w:type="dxa"/>
          <w:left w:w="28" w:type="dxa"/>
          <w:bottom w:w="28" w:type="dxa"/>
          <w:right w:w="28" w:type="dxa"/>
        </w:tblCellMar>
      </w:tblPr>
      <w:tblGrid>
        <w:gridCol w:w="2997"/>
        <w:gridCol w:w="2951"/>
        <w:gridCol w:w="3690"/>
      </w:tblGrid>
      <w:tr>
        <w:trPr>
          <w:tblHeader w:val="true"/>
        </w:trPr>
        <w:tc>
          <w:tcPr>
            <w:tcW w:w="2997" w:type="dxa"/>
            <w:tcBorders/>
            <w:vAlign w:val="center"/>
          </w:tcPr>
          <w:p>
            <w:pPr>
              <w:pStyle w:val="TableHeading"/>
              <w:spacing w:before="120" w:after="120"/>
              <w:jc w:val="center"/>
              <w:rPr/>
            </w:pPr>
            <w:r>
              <w:rPr/>
              <w:t>Scenario</w:t>
            </w:r>
          </w:p>
        </w:tc>
        <w:tc>
          <w:tcPr>
            <w:tcW w:w="2951" w:type="dxa"/>
            <w:tcBorders/>
            <w:vAlign w:val="center"/>
          </w:tcPr>
          <w:p>
            <w:pPr>
              <w:pStyle w:val="TableHeading"/>
              <w:spacing w:before="120" w:after="120"/>
              <w:jc w:val="center"/>
              <w:rPr/>
            </w:pPr>
            <w:r>
              <w:rPr/>
              <w:t>Modello Raccomandato</w:t>
            </w:r>
          </w:p>
        </w:tc>
        <w:tc>
          <w:tcPr>
            <w:tcW w:w="3690" w:type="dxa"/>
            <w:tcBorders/>
            <w:vAlign w:val="center"/>
          </w:tcPr>
          <w:p>
            <w:pPr>
              <w:pStyle w:val="TableHeading"/>
              <w:spacing w:before="120" w:after="120"/>
              <w:jc w:val="center"/>
              <w:rPr/>
            </w:pPr>
            <w:r>
              <w:rPr/>
              <w:t>Motivazione</w:t>
            </w:r>
          </w:p>
        </w:tc>
      </w:tr>
      <w:tr>
        <w:trPr/>
        <w:tc>
          <w:tcPr>
            <w:tcW w:w="2997" w:type="dxa"/>
            <w:tcBorders/>
            <w:vAlign w:val="center"/>
          </w:tcPr>
          <w:p>
            <w:pPr>
              <w:pStyle w:val="TableContents"/>
              <w:widowControl w:val="false"/>
              <w:suppressLineNumbers/>
              <w:spacing w:before="120" w:after="120"/>
              <w:rPr/>
            </w:pPr>
            <w:r>
              <w:rPr/>
              <w:t>Impatto di contaminazione e pioggia</w:t>
            </w:r>
          </w:p>
        </w:tc>
        <w:tc>
          <w:tcPr>
            <w:tcW w:w="2951" w:type="dxa"/>
            <w:tcBorders/>
            <w:vAlign w:val="center"/>
          </w:tcPr>
          <w:p>
            <w:pPr>
              <w:pStyle w:val="TableContents"/>
              <w:widowControl w:val="false"/>
              <w:suppressLineNumbers/>
              <w:spacing w:before="120" w:after="120"/>
              <w:rPr/>
            </w:pPr>
            <w:r>
              <w:rPr>
                <w:rStyle w:val="Strong"/>
              </w:rPr>
              <w:t>GAM / DLNM</w:t>
            </w:r>
          </w:p>
        </w:tc>
        <w:tc>
          <w:tcPr>
            <w:tcW w:w="3690" w:type="dxa"/>
            <w:tcBorders/>
            <w:vAlign w:val="center"/>
          </w:tcPr>
          <w:p>
            <w:pPr>
              <w:pStyle w:val="TableContents"/>
              <w:widowControl w:val="false"/>
              <w:suppressLineNumbers/>
              <w:spacing w:before="120" w:after="120"/>
              <w:rPr/>
            </w:pPr>
            <w:r>
              <w:rPr/>
              <w:t>Catturano effetti diretti e ritardati.</w:t>
            </w:r>
          </w:p>
        </w:tc>
      </w:tr>
      <w:tr>
        <w:trPr/>
        <w:tc>
          <w:tcPr>
            <w:tcW w:w="2997" w:type="dxa"/>
            <w:tcBorders/>
            <w:vAlign w:val="center"/>
          </w:tcPr>
          <w:p>
            <w:pPr>
              <w:pStyle w:val="TableContents"/>
              <w:widowControl w:val="false"/>
              <w:suppressLineNumbers/>
              <w:spacing w:before="120" w:after="120"/>
              <w:rPr/>
            </w:pPr>
            <w:r>
              <w:rPr/>
              <w:t>Zone ad alto rischio</w:t>
            </w:r>
          </w:p>
        </w:tc>
        <w:tc>
          <w:tcPr>
            <w:tcW w:w="2951" w:type="dxa"/>
            <w:tcBorders/>
            <w:vAlign w:val="center"/>
          </w:tcPr>
          <w:p>
            <w:pPr>
              <w:pStyle w:val="TableContents"/>
              <w:widowControl w:val="false"/>
              <w:suppressLineNumbers/>
              <w:spacing w:before="120" w:after="120"/>
              <w:rPr/>
            </w:pPr>
            <w:r>
              <w:rPr>
                <w:rStyle w:val="Strong"/>
              </w:rPr>
              <w:t>Modelli Spaziali</w:t>
            </w:r>
          </w:p>
        </w:tc>
        <w:tc>
          <w:tcPr>
            <w:tcW w:w="3690" w:type="dxa"/>
            <w:tcBorders/>
            <w:vAlign w:val="center"/>
          </w:tcPr>
          <w:p>
            <w:pPr>
              <w:pStyle w:val="TableContents"/>
              <w:widowControl w:val="false"/>
              <w:suppressLineNumbers/>
              <w:spacing w:before="120" w:after="120"/>
              <w:rPr/>
            </w:pPr>
            <w:r>
              <w:rPr/>
              <w:t>Rilevano cluster e concentrazioni geografiche.</w:t>
            </w:r>
          </w:p>
        </w:tc>
      </w:tr>
      <w:tr>
        <w:trPr/>
        <w:tc>
          <w:tcPr>
            <w:tcW w:w="2997" w:type="dxa"/>
            <w:tcBorders/>
            <w:vAlign w:val="center"/>
          </w:tcPr>
          <w:p>
            <w:pPr>
              <w:pStyle w:val="TableContents"/>
              <w:widowControl w:val="false"/>
              <w:suppressLineNumbers/>
              <w:spacing w:before="120" w:after="120"/>
              <w:rPr/>
            </w:pPr>
            <w:r>
              <w:rPr/>
              <w:t>Previsioni stagionali</w:t>
            </w:r>
          </w:p>
        </w:tc>
        <w:tc>
          <w:tcPr>
            <w:tcW w:w="2951" w:type="dxa"/>
            <w:tcBorders/>
            <w:vAlign w:val="center"/>
          </w:tcPr>
          <w:p>
            <w:pPr>
              <w:pStyle w:val="TableContents"/>
              <w:widowControl w:val="false"/>
              <w:suppressLineNumbers/>
              <w:spacing w:before="120" w:after="120"/>
              <w:rPr/>
            </w:pPr>
            <w:r>
              <w:rPr>
                <w:rStyle w:val="Strong"/>
              </w:rPr>
              <w:t>ARIMAX</w:t>
            </w:r>
          </w:p>
        </w:tc>
        <w:tc>
          <w:tcPr>
            <w:tcW w:w="3690" w:type="dxa"/>
            <w:tcBorders/>
            <w:vAlign w:val="center"/>
          </w:tcPr>
          <w:p>
            <w:pPr>
              <w:pStyle w:val="TableContents"/>
              <w:widowControl w:val="false"/>
              <w:suppressLineNumbers/>
              <w:spacing w:before="120" w:after="120"/>
              <w:rPr/>
            </w:pPr>
            <w:r>
              <w:rPr/>
              <w:t>Generano allerte basate su tendenze storiche.</w:t>
            </w:r>
          </w:p>
        </w:tc>
      </w:tr>
      <w:tr>
        <w:trPr/>
        <w:tc>
          <w:tcPr>
            <w:tcW w:w="2997" w:type="dxa"/>
            <w:tcBorders/>
            <w:vAlign w:val="center"/>
          </w:tcPr>
          <w:p>
            <w:pPr>
              <w:pStyle w:val="TableContents"/>
              <w:widowControl w:val="false"/>
              <w:suppressLineNumbers/>
              <w:spacing w:before="120" w:after="120"/>
              <w:rPr/>
            </w:pPr>
            <w:r>
              <w:rPr/>
              <w:t>Driver ambientali chiave</w:t>
            </w:r>
          </w:p>
        </w:tc>
        <w:tc>
          <w:tcPr>
            <w:tcW w:w="2951" w:type="dxa"/>
            <w:tcBorders/>
            <w:vAlign w:val="center"/>
          </w:tcPr>
          <w:p>
            <w:pPr>
              <w:pStyle w:val="TableContents"/>
              <w:widowControl w:val="false"/>
              <w:suppressLineNumbers/>
              <w:spacing w:before="120" w:after="120"/>
              <w:rPr/>
            </w:pPr>
            <w:r>
              <w:rPr>
                <w:rStyle w:val="Strong"/>
              </w:rPr>
              <w:t>Random Forest / Gradient Boosting</w:t>
            </w:r>
          </w:p>
        </w:tc>
        <w:tc>
          <w:tcPr>
            <w:tcW w:w="3690" w:type="dxa"/>
            <w:tcBorders/>
            <w:vAlign w:val="center"/>
          </w:tcPr>
          <w:p>
            <w:pPr>
              <w:pStyle w:val="TableContents"/>
              <w:widowControl w:val="false"/>
              <w:suppressLineNumbers/>
              <w:spacing w:before="120" w:after="120"/>
              <w:rPr/>
            </w:pPr>
            <w:r>
              <w:rPr/>
              <w:t>Classificano i fattori più influenti.</w:t>
            </w:r>
          </w:p>
        </w:tc>
      </w:tr>
    </w:tbl>
    <w:p>
      <w:pPr>
        <w:pStyle w:val="Heading4"/>
        <w:spacing w:before="120" w:after="120"/>
        <w:ind w:hanging="0" w:left="0"/>
        <w:rPr>
          <w:rFonts w:eastAsia="Calibri" w:cs="Calibri"/>
          <w:color w:val="auto"/>
          <w:sz w:val="22"/>
          <w:szCs w:val="22"/>
          <w14:ligatures w14:val="none"/>
        </w:rPr>
      </w:pPr>
      <w:r>
        <w:rPr>
          <w:rStyle w:val="Strong"/>
          <w:rFonts w:eastAsia="Calibri" w:cs="Calibri"/>
          <w:color w:val="auto"/>
          <w:sz w:val="22"/>
          <w:szCs w:val="22"/>
          <w14:ligatures w14:val="none"/>
        </w:rPr>
        <w:t>Linee Guida di Integrazione</w:t>
      </w:r>
    </w:p>
    <w:p>
      <w:pPr>
        <w:pStyle w:val="BodyText"/>
        <w:numPr>
          <w:ilvl w:val="0"/>
          <w:numId w:val="22"/>
        </w:numPr>
        <w:tabs>
          <w:tab w:val="clear" w:pos="708"/>
          <w:tab w:val="left" w:pos="0" w:leader="none"/>
        </w:tabs>
        <w:spacing w:lineRule="auto" w:line="360" w:before="120" w:after="120"/>
        <w:ind w:hanging="283" w:left="709"/>
        <w:rPr/>
      </w:pPr>
      <w:r>
        <w:rPr/>
        <w:t xml:space="preserve">Utilizzare </w:t>
      </w:r>
      <w:r>
        <w:rPr>
          <w:rStyle w:val="Strong"/>
        </w:rPr>
        <w:t>GAM / DLNM</w:t>
      </w:r>
      <w:r>
        <w:rPr/>
        <w:t xml:space="preserve"> per correlazioni ed esposizione–risposta (CU16).</w:t>
      </w:r>
    </w:p>
    <w:p>
      <w:pPr>
        <w:pStyle w:val="BodyText"/>
        <w:numPr>
          <w:ilvl w:val="0"/>
          <w:numId w:val="22"/>
        </w:numPr>
        <w:tabs>
          <w:tab w:val="clear" w:pos="708"/>
          <w:tab w:val="left" w:pos="0" w:leader="none"/>
        </w:tabs>
        <w:spacing w:lineRule="auto" w:line="360" w:before="120" w:after="120"/>
        <w:ind w:hanging="283" w:left="709"/>
        <w:rPr/>
      </w:pPr>
      <w:r>
        <w:rPr/>
        <w:t xml:space="preserve">Applicare </w:t>
      </w:r>
      <w:r>
        <w:rPr>
          <w:rStyle w:val="Strong"/>
        </w:rPr>
        <w:t>ARIMAX</w:t>
      </w:r>
      <w:r>
        <w:rPr/>
        <w:t xml:space="preserve"> per previsioni e monitoraggi (CU18).</w:t>
      </w:r>
    </w:p>
    <w:p>
      <w:pPr>
        <w:pStyle w:val="BodyText"/>
        <w:numPr>
          <w:ilvl w:val="0"/>
          <w:numId w:val="22"/>
        </w:numPr>
        <w:tabs>
          <w:tab w:val="clear" w:pos="708"/>
          <w:tab w:val="left" w:pos="0" w:leader="none"/>
        </w:tabs>
        <w:spacing w:lineRule="auto" w:line="360" w:before="120" w:after="120"/>
        <w:ind w:hanging="283" w:left="709"/>
        <w:rPr/>
      </w:pPr>
      <w:r>
        <w:rPr/>
        <w:t xml:space="preserve">Impiegare </w:t>
      </w:r>
      <w:r>
        <w:rPr>
          <w:rStyle w:val="Strong"/>
        </w:rPr>
        <w:t>Modelli Spaziali</w:t>
      </w:r>
      <w:r>
        <w:rPr/>
        <w:t xml:space="preserve"> per mappe e heatmap nel CU19.</w:t>
      </w:r>
    </w:p>
    <w:p>
      <w:pPr>
        <w:pStyle w:val="BodyText"/>
        <w:numPr>
          <w:ilvl w:val="0"/>
          <w:numId w:val="22"/>
        </w:numPr>
        <w:tabs>
          <w:tab w:val="clear" w:pos="708"/>
          <w:tab w:val="left" w:pos="0" w:leader="none"/>
        </w:tabs>
        <w:spacing w:lineRule="auto" w:line="360" w:before="120" w:after="120"/>
        <w:ind w:hanging="283" w:left="709"/>
        <w:rPr/>
      </w:pPr>
      <w:r>
        <w:rPr/>
        <w:t xml:space="preserve">Adottare </w:t>
      </w:r>
      <w:r>
        <w:rPr>
          <w:rStyle w:val="Strong"/>
        </w:rPr>
        <w:t>Random Forest</w:t>
      </w:r>
      <w:r>
        <w:rPr/>
        <w:t xml:space="preserve"> per dashboard di importanza variabile (CU20).</w:t>
      </w:r>
    </w:p>
    <w:p>
      <w:pPr>
        <w:pStyle w:val="BodyText"/>
        <w:numPr>
          <w:ilvl w:val="0"/>
          <w:numId w:val="22"/>
        </w:numPr>
        <w:tabs>
          <w:tab w:val="clear" w:pos="708"/>
          <w:tab w:val="left" w:pos="0" w:leader="none"/>
        </w:tabs>
        <w:spacing w:lineRule="auto" w:line="360" w:before="120" w:after="120"/>
        <w:ind w:hanging="283" w:left="709"/>
        <w:rPr/>
      </w:pPr>
      <w:r>
        <w:rPr/>
        <w:t xml:space="preserve">Integrare </w:t>
      </w:r>
      <w:r>
        <w:rPr>
          <w:rStyle w:val="Strong"/>
        </w:rPr>
        <w:t>API ARPAC, ARPA e ISPRA</w:t>
      </w:r>
      <w:r>
        <w:rPr/>
        <w:t xml:space="preserve"> per aggiornamenti automatici nel DWH.</w:t>
      </w:r>
    </w:p>
    <w:p>
      <w:pPr>
        <w:pStyle w:val="Heading3"/>
        <w:numPr>
          <w:ilvl w:val="0"/>
          <w:numId w:val="0"/>
        </w:numPr>
        <w:spacing w:before="120" w:after="120"/>
        <w:ind w:hanging="0" w:left="720"/>
        <w:rPr>
          <w:rFonts w:eastAsia="Calibri" w:cs="Calibri"/>
          <w:color w:val="auto"/>
          <w:sz w:val="22"/>
          <w:szCs w:val="22"/>
          <w14:ligatures w14:val="none"/>
        </w:rPr>
      </w:pPr>
      <w:r>
        <w:rPr>
          <w:rStyle w:val="Strong"/>
          <w:rFonts w:eastAsia="Calibri" w:cs="Calibri"/>
          <w:color w:val="auto"/>
          <w:sz w:val="22"/>
          <w:szCs w:val="22"/>
          <w14:ligatures w14:val="none"/>
        </w:rPr>
        <w:t>Sintesi Finale</w:t>
      </w:r>
    </w:p>
    <w:p>
      <w:pPr>
        <w:pStyle w:val="BodyText"/>
        <w:spacing w:lineRule="auto" w:line="360" w:before="120" w:after="120"/>
        <w:rPr/>
      </w:pPr>
      <w:r>
        <w:rPr/>
        <w:t>L’epatite A è un caso strategico per la correlazione tra ambiente e salute pubblica.</w:t>
        <w:br/>
        <w:t>HealthTrace combina modelli statistici e predittivi per analizzare, prevedere e visualizzare il rischio di contaminazioni idriche e alimentari in tempo quasi reale, basandosi su un flusso dati completamente automatizzato e integrato nel DWH ambientale.</w:t>
      </w:r>
    </w:p>
    <w:p>
      <w:pPr>
        <w:pStyle w:val="Normal"/>
        <w:rPr/>
      </w:pPr>
      <w:r>
        <w:rPr/>
      </w:r>
    </w:p>
    <w:p>
      <w:pPr>
        <w:pStyle w:val="Heading3"/>
        <w:rPr/>
      </w:pPr>
      <w:bookmarkStart w:id="9" w:name="_Toc211844806"/>
      <w:r>
        <w:rPr/>
        <w:t>Tabella Riassuntiva</w:t>
      </w:r>
      <w:bookmarkEnd w:id="9"/>
    </w:p>
    <w:tbl>
      <w:tblPr>
        <w:tblStyle w:val="Tabellagriglia4-colore5"/>
        <w:tblW w:w="985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2"/>
        <w:gridCol w:w="1945"/>
        <w:gridCol w:w="2085"/>
        <w:gridCol w:w="2315"/>
        <w:gridCol w:w="2286"/>
      </w:tblGrid>
      <w:tr>
        <w:trPr>
          <w:cnfStyle w:val="100000000000" w:firstRow="1" w:lastRow="0" w:firstColumn="0" w:lastColumn="0" w:oddVBand="0" w:evenVBand="0" w:oddHBand="0" w:evenHBand="0" w:firstRowFirstColumn="0" w:firstRowLastColumn="0" w:lastRowFirstColumn="0" w:lastRowLastColumn="0"/>
        </w:trPr>
        <w:tc>
          <w:tcPr>
            <w:tcW w:w="1222"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rPr>
                <w:b/>
                <w:bCs/>
                <w:color w:themeColor="background1" w:val="FFFFFF"/>
                <w:sz w:val="22"/>
                <w:szCs w:val="22"/>
                <w:lang w:val="it-IT" w:bidi="ar-SA"/>
              </w:rPr>
            </w:pPr>
            <w:r>
              <w:rPr>
                <w:b/>
                <w:bCs/>
                <w:color w:themeColor="background1" w:val="FFFFFF"/>
                <w:sz w:val="22"/>
                <w:szCs w:val="22"/>
                <w:lang w:val="it-IT" w:bidi="ar-SA"/>
              </w:rPr>
            </w:r>
          </w:p>
        </w:tc>
        <w:tc>
          <w:tcPr>
            <w:tcW w:w="1945"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color w:themeColor="background1" w:val="FFFFFF"/>
                <w:sz w:val="22"/>
                <w:szCs w:val="22"/>
                <w:lang w:val="it-IT" w:bidi="ar-SA"/>
              </w:rPr>
            </w:pPr>
            <w:r>
              <w:rPr>
                <w:b/>
                <w:bCs/>
                <w:color w:themeColor="background1" w:val="FFFFFF"/>
                <w:sz w:val="22"/>
                <w:szCs w:val="22"/>
                <w:lang w:val="it-IT" w:bidi="ar-SA"/>
              </w:rPr>
              <w:t>Category</w:t>
            </w:r>
          </w:p>
        </w:tc>
        <w:tc>
          <w:tcPr>
            <w:tcW w:w="2085"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color w:themeColor="background1" w:val="FFFFFF"/>
                <w:sz w:val="22"/>
                <w:szCs w:val="22"/>
                <w:lang w:val="it-IT" w:bidi="ar-SA"/>
              </w:rPr>
            </w:pPr>
            <w:r>
              <w:rPr>
                <w:b/>
                <w:bCs/>
                <w:color w:themeColor="background1" w:val="FFFFFF"/>
                <w:sz w:val="22"/>
                <w:szCs w:val="22"/>
                <w:lang w:val="it-IT" w:bidi="ar-SA"/>
              </w:rPr>
              <w:t>Key Environmental Drivers</w:t>
            </w:r>
          </w:p>
        </w:tc>
        <w:tc>
          <w:tcPr>
            <w:tcW w:w="2315"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lang w:val="en-US"/>
              </w:rPr>
            </w:pPr>
            <w:r>
              <w:rPr>
                <w:b/>
                <w:bCs/>
                <w:color w:themeColor="background1" w:val="FFFFFF"/>
                <w:sz w:val="22"/>
                <w:szCs w:val="22"/>
                <w:lang w:val="en-US" w:bidi="ar-SA"/>
              </w:rPr>
              <w:t>Why It Fits Italian Context</w:t>
            </w:r>
          </w:p>
        </w:tc>
        <w:tc>
          <w:tcPr>
            <w:tcW w:w="2286"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color w:themeColor="background1" w:val="FFFFFF"/>
                <w:sz w:val="22"/>
                <w:szCs w:val="22"/>
                <w:lang w:val="it-IT" w:bidi="ar-SA"/>
              </w:rPr>
            </w:pPr>
            <w:r>
              <w:rPr>
                <w:b/>
                <w:bCs/>
                <w:color w:themeColor="background1" w:val="FFFFFF"/>
                <w:sz w:val="22"/>
                <w:szCs w:val="22"/>
                <w:lang w:val="it-IT" w:bidi="ar-SA"/>
              </w:rPr>
              <w:t>Model Type / Dashboard Use</w:t>
            </w:r>
          </w:p>
        </w:tc>
      </w:tr>
      <w:tr>
        <w:trPr>
          <w:cnfStyle w:val="000000100000" w:firstRow="0" w:lastRow="0" w:firstColumn="0" w:lastColumn="0" w:oddVBand="0" w:evenVBand="0" w:oddHBand="1" w:evenHBand="0" w:firstRowFirstColumn="0" w:firstRowLastColumn="0" w:lastRowFirstColumn="0" w:lastRowLastColumn="0"/>
        </w:trPr>
        <w:tc>
          <w:tcPr>
            <w:tcW w:w="122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true"/>
              <w:spacing w:before="120" w:after="120"/>
              <w:rPr>
                <w:b/>
                <w:bCs/>
                <w:sz w:val="22"/>
                <w:szCs w:val="22"/>
                <w:lang w:val="it-IT" w:bidi="ar-SA"/>
              </w:rPr>
            </w:pPr>
            <w:r>
              <w:rPr>
                <w:b/>
                <w:bCs/>
                <w:sz w:val="22"/>
                <w:szCs w:val="22"/>
                <w:lang w:val="it-IT" w:bidi="ar-SA"/>
              </w:rPr>
              <w:t>Influenza</w:t>
            </w:r>
          </w:p>
        </w:tc>
        <w:tc>
          <w:tcPr>
            <w:tcW w:w="194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Respiratory</w:t>
            </w:r>
          </w:p>
        </w:tc>
        <w:tc>
          <w:tcPr>
            <w:tcW w:w="208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PM₂.₅, PM₁₀, NO₂, Temp, Humidity</w:t>
            </w:r>
          </w:p>
        </w:tc>
        <w:tc>
          <w:tcPr>
            <w:tcW w:w="231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Most common; strong air-pollution link</w:t>
            </w:r>
          </w:p>
        </w:tc>
        <w:tc>
          <w:tcPr>
            <w:tcW w:w="2286"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Time-series &amp; prediction dashboards</w:t>
            </w:r>
          </w:p>
        </w:tc>
      </w:tr>
      <w:tr>
        <w:trPr>
          <w:trHeight w:val="799" w:hRule="atLeast"/>
        </w:trPr>
        <w:tc>
          <w:tcPr>
            <w:tcW w:w="122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b/>
                <w:bCs/>
                <w:sz w:val="22"/>
                <w:szCs w:val="22"/>
                <w:lang w:val="it-IT" w:bidi="ar-SA"/>
              </w:rPr>
            </w:pPr>
            <w:r>
              <w:rPr>
                <w:b/>
                <w:bCs/>
                <w:sz w:val="22"/>
                <w:szCs w:val="22"/>
                <w:lang w:val="it-IT" w:bidi="ar-SA"/>
              </w:rPr>
              <w:t>Legionellosi</w:t>
            </w:r>
          </w:p>
        </w:tc>
        <w:tc>
          <w:tcPr>
            <w:tcW w:w="194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Respiratory / Water-aerosol</w:t>
            </w:r>
          </w:p>
        </w:tc>
        <w:tc>
          <w:tcPr>
            <w:tcW w:w="208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Temp, Humidity, Water quality</w:t>
            </w:r>
          </w:p>
        </w:tc>
        <w:tc>
          <w:tcPr>
            <w:tcW w:w="231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High incidence in Italy; ARPA data available</w:t>
            </w:r>
          </w:p>
        </w:tc>
        <w:tc>
          <w:tcPr>
            <w:tcW w:w="2286"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Spatial correlation &amp; cluster maps</w:t>
            </w:r>
          </w:p>
        </w:tc>
      </w:tr>
      <w:tr>
        <w:trPr>
          <w:cnfStyle w:val="000000100000" w:firstRow="0" w:lastRow="0" w:firstColumn="0" w:lastColumn="0" w:oddVBand="0" w:evenVBand="0" w:oddHBand="1" w:evenHBand="0" w:firstRowFirstColumn="0" w:firstRowLastColumn="0" w:lastRowFirstColumn="0" w:lastRowLastColumn="0"/>
        </w:trPr>
        <w:tc>
          <w:tcPr>
            <w:tcW w:w="122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true"/>
              <w:spacing w:before="120" w:after="120"/>
              <w:rPr>
                <w:b/>
                <w:bCs/>
                <w:sz w:val="22"/>
                <w:szCs w:val="22"/>
                <w:lang w:val="it-IT" w:bidi="ar-SA"/>
              </w:rPr>
            </w:pPr>
            <w:r>
              <w:rPr>
                <w:b/>
                <w:bCs/>
                <w:sz w:val="22"/>
                <w:szCs w:val="22"/>
                <w:lang w:val="it-IT" w:bidi="ar-SA"/>
              </w:rPr>
              <w:t>Epatite A</w:t>
            </w:r>
          </w:p>
        </w:tc>
        <w:tc>
          <w:tcPr>
            <w:tcW w:w="194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Waterborne</w:t>
            </w:r>
          </w:p>
        </w:tc>
        <w:tc>
          <w:tcPr>
            <w:tcW w:w="208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Water pH, E. coli, Rainfall</w:t>
            </w:r>
          </w:p>
        </w:tc>
        <w:tc>
          <w:tcPr>
            <w:tcW w:w="231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Recurrent outbreaks in South; ARPAC datasets</w:t>
            </w:r>
          </w:p>
        </w:tc>
        <w:tc>
          <w:tcPr>
            <w:tcW w:w="2286"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Spatio-temporal forecasting &amp; alerts</w:t>
            </w:r>
          </w:p>
        </w:tc>
      </w:tr>
    </w:tbl>
    <w:p>
      <w:pPr>
        <w:pStyle w:val="Normal"/>
        <w:widowControl/>
        <w:suppressAutoHyphens w:val="true"/>
        <w:spacing w:before="120" w:after="120"/>
        <w:rPr>
          <w:b/>
          <w:bCs/>
          <w:color w:themeColor="background1" w:val="FFFFFF"/>
          <w:sz w:val="22"/>
          <w:szCs w:val="22"/>
          <w:lang w:val="it-IT" w:bidi="ar-SA"/>
        </w:rPr>
      </w:pPr>
      <w:r>
        <w:rPr>
          <w:b/>
          <w:bCs/>
          <w:color w:themeColor="background1" w:val="FFFFFF"/>
          <w:sz w:val="22"/>
          <w:szCs w:val="22"/>
          <w:lang w:val="it-IT" w:bidi="ar-SA"/>
        </w:rPr>
        <w:t>Disease</w:t>
      </w:r>
    </w:p>
    <w:p>
      <w:pPr>
        <w:pStyle w:val="Normal"/>
        <w:tabs>
          <w:tab w:val="clear" w:pos="708"/>
          <w:tab w:val="left" w:pos="0" w:leader="none"/>
        </w:tabs>
        <w:rPr/>
      </w:pPr>
      <w:r>
        <w:rPr>
          <w:b/>
          <w:bCs/>
        </w:rPr>
        <w:t>Conclusioni</w:t>
      </w:r>
    </w:p>
    <w:p>
      <w:pPr>
        <w:pStyle w:val="Normal"/>
        <w:rPr/>
      </w:pPr>
      <w:r>
        <w:rPr/>
        <w:t xml:space="preserve">Le tre patologie selezionate — </w:t>
      </w:r>
      <w:r>
        <w:rPr>
          <w:b/>
          <w:bCs/>
        </w:rPr>
        <w:t>Influenza Stagionale</w:t>
      </w:r>
      <w:r>
        <w:rPr/>
        <w:t xml:space="preserve">, </w:t>
      </w:r>
      <w:r>
        <w:rPr>
          <w:b/>
          <w:bCs/>
        </w:rPr>
        <w:t>Legionellosi</w:t>
      </w:r>
      <w:r>
        <w:rPr/>
        <w:t xml:space="preserve"> ed </w:t>
      </w:r>
      <w:r>
        <w:rPr>
          <w:b/>
          <w:bCs/>
        </w:rPr>
        <w:t>Epatite A</w:t>
      </w:r>
      <w:r>
        <w:rPr/>
        <w:t xml:space="preserve"> — rappresentano un </w:t>
      </w:r>
      <w:r>
        <w:rPr>
          <w:b/>
          <w:bCs/>
        </w:rPr>
        <w:t>campione bilanciato di malattie respiratorie, vettoriali/idriche e ambientalmente sensibili</w:t>
      </w:r>
      <w:r>
        <w:rPr/>
        <w:t>, tutte rilevanti per il contesto italiano. Esse garantiscono:</w:t>
      </w:r>
    </w:p>
    <w:p>
      <w:pPr>
        <w:pStyle w:val="Normal"/>
        <w:numPr>
          <w:ilvl w:val="0"/>
          <w:numId w:val="13"/>
        </w:numPr>
        <w:rPr/>
      </w:pPr>
      <w:r>
        <w:rPr>
          <w:b/>
          <w:bCs/>
        </w:rPr>
        <w:t>Disponibilità di dati ambientali e clinici</w:t>
      </w:r>
      <w:r>
        <w:rPr/>
        <w:t xml:space="preserve"> presso fonti ufficiali (ARPAC, ISPRA, ISS, ISTAT);</w:t>
      </w:r>
    </w:p>
    <w:p>
      <w:pPr>
        <w:pStyle w:val="Normal"/>
        <w:numPr>
          <w:ilvl w:val="0"/>
          <w:numId w:val="13"/>
        </w:numPr>
        <w:rPr/>
      </w:pPr>
      <w:r>
        <w:rPr>
          <w:b/>
          <w:bCs/>
        </w:rPr>
        <w:t>Valutabilità quantitativa</w:t>
      </w:r>
      <w:r>
        <w:rPr/>
        <w:t xml:space="preserve"> delle correlazioni con gli inquinanti e le variabili climatiche;</w:t>
      </w:r>
    </w:p>
    <w:p>
      <w:pPr>
        <w:pStyle w:val="Normal"/>
        <w:numPr>
          <w:ilvl w:val="0"/>
          <w:numId w:val="13"/>
        </w:numPr>
        <w:rPr/>
      </w:pPr>
      <w:r>
        <w:rPr>
          <w:b/>
          <w:bCs/>
        </w:rPr>
        <w:t>Applicabilità diretta</w:t>
      </w:r>
      <w:r>
        <w:rPr/>
        <w:t xml:space="preserve"> dei modelli predittivi e delle dashboard </w:t>
      </w:r>
      <w:r>
        <w:rPr>
          <w:i/>
          <w:iCs/>
        </w:rPr>
        <w:t>HealthTrace</w:t>
      </w:r>
      <w:r>
        <w:rPr/>
        <w:t xml:space="preserve"> per supportare decisioni di sanità pubblica, prevenzione e pianificazione territoriale.</w:t>
      </w:r>
    </w:p>
    <w:p>
      <w:pPr>
        <w:pStyle w:val="Normal"/>
        <w:rPr/>
      </w:pPr>
      <w:r>
        <w:rPr/>
        <w:t xml:space="preserve">In sintesi, questa selezione massimizza il valore scientifico, operativo e predittivo del progetto, consentendo di </w:t>
      </w:r>
      <w:r>
        <w:rPr>
          <w:b/>
          <w:bCs/>
        </w:rPr>
        <w:t>gestire e prevedere l’incidenza delle malattie infettive in funzione dei parametri ambientali</w:t>
      </w:r>
      <w:r>
        <w:rPr/>
        <w:t xml:space="preserve"> monitorati in tempo reale sul territorio nazionale.</w:t>
      </w:r>
    </w:p>
    <w:p>
      <w:pPr>
        <w:pStyle w:val="Normal"/>
        <w:rPr>
          <w:u w:val="single"/>
        </w:rPr>
      </w:pPr>
      <w:r>
        <w:rPr>
          <w:u w:val="single"/>
        </w:rPr>
      </w:r>
    </w:p>
    <w:p>
      <w:pPr>
        <w:pStyle w:val="Normal"/>
        <w:rPr/>
      </w:pPr>
      <w:r>
        <w:rPr/>
      </w:r>
    </w:p>
    <w:p>
      <w:pPr>
        <w:pStyle w:val="Heading2"/>
        <w:numPr>
          <w:ilvl w:val="0"/>
          <w:numId w:val="0"/>
        </w:numPr>
        <w:ind w:hanging="0" w:left="576"/>
        <w:rPr/>
      </w:pPr>
      <w:r>
        <w:rPr/>
      </w:r>
    </w:p>
    <w:p>
      <w:pPr>
        <w:pStyle w:val="Normal"/>
        <w:rPr/>
      </w:pPr>
      <w:r>
        <w:rPr/>
      </w:r>
      <w:r>
        <w:br w:type="page"/>
      </w:r>
    </w:p>
    <w:p>
      <w:pPr>
        <w:pStyle w:val="Heading1"/>
        <w:spacing w:before="0" w:after="80"/>
        <w:rPr/>
      </w:pPr>
      <w:bookmarkStart w:id="10" w:name="_Toc211844808"/>
      <w:r>
        <w:rPr/>
        <w:t>API</w:t>
      </w:r>
      <w:bookmarkEnd w:id="10"/>
    </w:p>
    <w:p>
      <w:pPr>
        <w:pStyle w:val="Normal"/>
        <w:rPr>
          <w:lang w:val="en-US"/>
        </w:rPr>
      </w:pPr>
      <w:r>
        <w:rPr>
          <w:highlight w:val="yellow"/>
          <w:lang w:val="en-US"/>
        </w:rPr>
        <w:t>@Amir for the environmental data we can ask for some API that will help us to analyse dataset. Please try to create API you need for our analysis according to the following notation.</w:t>
      </w:r>
    </w:p>
    <w:p>
      <w:pPr>
        <w:pStyle w:val="Normal"/>
        <w:rPr/>
      </w:pPr>
      <w:r>
        <w:rPr/>
        <w:t>Di seguito si riportano alcuni esempi di API che possono essere realizzate per la parte di analytics:</w:t>
      </w:r>
    </w:p>
    <w:p>
      <w:pPr>
        <w:pStyle w:val="ListParagraph"/>
        <w:numPr>
          <w:ilvl w:val="0"/>
          <w:numId w:val="3"/>
        </w:numPr>
        <w:rPr/>
      </w:pPr>
      <w:r>
        <w:rPr/>
        <w:t>istat/anno/intervallo/funzione/inquinante/</w:t>
      </w:r>
    </w:p>
    <w:p>
      <w:pPr>
        <w:pStyle w:val="ListParagraph"/>
        <w:numPr>
          <w:ilvl w:val="1"/>
          <w:numId w:val="3"/>
        </w:numPr>
        <w:rPr/>
      </w:pPr>
      <w:r>
        <w:rPr/>
        <w:t>Intervallo:</w:t>
      </w:r>
    </w:p>
    <w:p>
      <w:pPr>
        <w:pStyle w:val="ListParagraph"/>
        <w:numPr>
          <w:ilvl w:val="2"/>
          <w:numId w:val="3"/>
        </w:numPr>
        <w:rPr/>
      </w:pPr>
      <w:r>
        <w:rPr/>
        <w:t>da 1 a 12, mese di riferimento</w:t>
      </w:r>
    </w:p>
    <w:p>
      <w:pPr>
        <w:pStyle w:val="ListParagraph"/>
        <w:numPr>
          <w:ilvl w:val="2"/>
          <w:numId w:val="3"/>
        </w:numPr>
        <w:rPr/>
      </w:pPr>
      <w:r>
        <w:rPr/>
        <w:t>0, intero anno</w:t>
      </w:r>
    </w:p>
    <w:p>
      <w:pPr>
        <w:pStyle w:val="ListParagraph"/>
        <w:numPr>
          <w:ilvl w:val="1"/>
          <w:numId w:val="3"/>
        </w:numPr>
        <w:rPr/>
      </w:pPr>
      <w:r>
        <w:rPr/>
        <w:t>Funzione:</w:t>
      </w:r>
    </w:p>
    <w:p>
      <w:pPr>
        <w:pStyle w:val="ListParagraph"/>
        <w:numPr>
          <w:ilvl w:val="2"/>
          <w:numId w:val="3"/>
        </w:numPr>
        <w:rPr/>
      </w:pPr>
      <w:r>
        <w:rPr/>
        <w:t>medio di intervallo</w:t>
      </w:r>
    </w:p>
    <w:p>
      <w:pPr>
        <w:pStyle w:val="ListParagraph"/>
        <w:numPr>
          <w:ilvl w:val="2"/>
          <w:numId w:val="3"/>
        </w:numPr>
        <w:rPr/>
      </w:pPr>
      <w:r>
        <w:rPr/>
        <w:t>massimo valore di intervallo</w:t>
      </w:r>
    </w:p>
    <w:p>
      <w:pPr>
        <w:pStyle w:val="ListParagraph"/>
        <w:numPr>
          <w:ilvl w:val="1"/>
          <w:numId w:val="3"/>
        </w:numPr>
        <w:rPr/>
      </w:pPr>
      <w:r>
        <w:rPr/>
        <w:t>Istat:</w:t>
      </w:r>
    </w:p>
    <w:p>
      <w:pPr>
        <w:pStyle w:val="ListParagraph"/>
        <w:numPr>
          <w:ilvl w:val="2"/>
          <w:numId w:val="3"/>
        </w:numPr>
        <w:rPr/>
      </w:pPr>
      <w:r>
        <w:rPr/>
        <w:t>cod. comune</w:t>
      </w:r>
    </w:p>
    <w:p>
      <w:pPr>
        <w:pStyle w:val="ListParagraph"/>
        <w:numPr>
          <w:ilvl w:val="2"/>
          <w:numId w:val="3"/>
        </w:numPr>
        <w:rPr/>
      </w:pPr>
      <w:r>
        <w:rPr/>
        <w:t>cod. provincia</w:t>
      </w:r>
    </w:p>
    <w:p>
      <w:pPr>
        <w:pStyle w:val="ListParagraph"/>
        <w:numPr>
          <w:ilvl w:val="2"/>
          <w:numId w:val="3"/>
        </w:numPr>
        <w:rPr/>
      </w:pPr>
      <w:r>
        <w:rPr/>
        <w:t>cod. regione</w:t>
      </w:r>
    </w:p>
    <w:p>
      <w:pPr>
        <w:pStyle w:val="ListParagraph"/>
        <w:numPr>
          <w:ilvl w:val="0"/>
          <w:numId w:val="3"/>
        </w:numPr>
        <w:rPr/>
      </w:pPr>
      <w:r>
        <w:rPr/>
        <w:t>/clima/istat/anno/intervallo/misura/funzione/</w:t>
      </w:r>
    </w:p>
    <w:p>
      <w:pPr>
        <w:pStyle w:val="ListParagraph"/>
        <w:numPr>
          <w:ilvl w:val="1"/>
          <w:numId w:val="3"/>
        </w:numPr>
        <w:rPr/>
      </w:pPr>
      <w:r>
        <w:rPr/>
        <w:t>Funzione</w:t>
      </w:r>
    </w:p>
    <w:p>
      <w:pPr>
        <w:pStyle w:val="ListParagraph"/>
        <w:numPr>
          <w:ilvl w:val="2"/>
          <w:numId w:val="3"/>
        </w:numPr>
        <w:rPr/>
      </w:pPr>
      <w:r>
        <w:rPr/>
        <w:t>Somma precipitazioni</w:t>
      </w:r>
    </w:p>
    <w:p>
      <w:pPr>
        <w:pStyle w:val="ListParagraph"/>
        <w:numPr>
          <w:ilvl w:val="2"/>
          <w:numId w:val="3"/>
        </w:numPr>
        <w:rPr/>
      </w:pPr>
      <w:r>
        <w:rPr/>
        <w:t>Numero di giorni con precipitazioni</w:t>
      </w:r>
    </w:p>
    <w:p>
      <w:pPr>
        <w:pStyle w:val="Normal"/>
        <w:rPr/>
      </w:pPr>
      <w:r>
        <w:rPr/>
        <w:t>Si riportano diverse banche date per i dati ambientali:</w:t>
      </w:r>
    </w:p>
    <w:p>
      <w:pPr>
        <w:pStyle w:val="ListParagraph"/>
        <w:widowControl w:val="false"/>
        <w:numPr>
          <w:ilvl w:val="0"/>
          <w:numId w:val="2"/>
        </w:numPr>
        <w:tabs>
          <w:tab w:val="clear" w:pos="708"/>
          <w:tab w:val="left" w:pos="832" w:leader="none"/>
          <w:tab w:val="left" w:pos="833" w:leader="none"/>
        </w:tabs>
        <w:spacing w:lineRule="auto" w:line="276" w:before="10" w:after="0"/>
        <w:contextualSpacing/>
        <w:rPr/>
      </w:pPr>
      <w:hyperlink r:id="rId42">
        <w:r>
          <w:rPr>
            <w:rStyle w:val="Style"/>
          </w:rPr>
          <w:t>https://indicatoriambientali.isprambiente.it/it/temi</w:t>
        </w:r>
      </w:hyperlink>
    </w:p>
    <w:p>
      <w:pPr>
        <w:pStyle w:val="ListParagraph"/>
        <w:widowControl w:val="false"/>
        <w:numPr>
          <w:ilvl w:val="0"/>
          <w:numId w:val="2"/>
        </w:numPr>
        <w:tabs>
          <w:tab w:val="clear" w:pos="708"/>
          <w:tab w:val="left" w:pos="832" w:leader="none"/>
          <w:tab w:val="left" w:pos="833" w:leader="none"/>
        </w:tabs>
        <w:spacing w:lineRule="auto" w:line="276" w:before="10" w:after="0"/>
        <w:contextualSpacing/>
        <w:rPr/>
      </w:pPr>
      <w:hyperlink r:id="rId43">
        <w:r>
          <w:rPr>
            <w:rStyle w:val="Style"/>
          </w:rPr>
          <w:t>https://www.isprambiente.gov.it/it/banche-dati</w:t>
        </w:r>
      </w:hyperlink>
    </w:p>
    <w:p>
      <w:pPr>
        <w:pStyle w:val="ListParagraph"/>
        <w:widowControl w:val="false"/>
        <w:numPr>
          <w:ilvl w:val="0"/>
          <w:numId w:val="2"/>
        </w:numPr>
        <w:tabs>
          <w:tab w:val="clear" w:pos="708"/>
          <w:tab w:val="left" w:pos="832" w:leader="none"/>
          <w:tab w:val="left" w:pos="833" w:leader="none"/>
        </w:tabs>
        <w:spacing w:lineRule="auto" w:line="276" w:before="10" w:after="0"/>
        <w:contextualSpacing/>
        <w:rPr/>
      </w:pPr>
      <w:hyperlink r:id="rId44">
        <w:r>
          <w:rPr>
            <w:rStyle w:val="Style"/>
          </w:rPr>
          <w:t>https://www.snpambiente.it/dati/</w:t>
        </w:r>
      </w:hyperlink>
    </w:p>
    <w:p>
      <w:pPr>
        <w:pStyle w:val="ListParagraph"/>
        <w:widowControl w:val="false"/>
        <w:numPr>
          <w:ilvl w:val="0"/>
          <w:numId w:val="2"/>
        </w:numPr>
        <w:tabs>
          <w:tab w:val="clear" w:pos="708"/>
          <w:tab w:val="left" w:pos="832" w:leader="none"/>
          <w:tab w:val="left" w:pos="833" w:leader="none"/>
        </w:tabs>
        <w:spacing w:lineRule="auto" w:line="276" w:before="10" w:after="0"/>
        <w:contextualSpacing/>
        <w:rPr/>
      </w:pPr>
      <w:hyperlink r:id="rId45">
        <w:r>
          <w:rPr>
            <w:rStyle w:val="Style"/>
          </w:rPr>
          <w:t>https://dati.arpacampania.it/</w:t>
        </w:r>
      </w:hyperlink>
      <w:r>
        <w:rPr/>
        <w:t xml:space="preserve"> </w:t>
      </w:r>
    </w:p>
    <w:p>
      <w:pPr>
        <w:pStyle w:val="ListParagraph"/>
        <w:widowControl w:val="false"/>
        <w:numPr>
          <w:ilvl w:val="0"/>
          <w:numId w:val="2"/>
        </w:numPr>
        <w:tabs>
          <w:tab w:val="clear" w:pos="708"/>
          <w:tab w:val="left" w:pos="832" w:leader="none"/>
          <w:tab w:val="left" w:pos="833" w:leader="none"/>
        </w:tabs>
        <w:spacing w:lineRule="auto" w:line="276" w:before="10" w:after="0"/>
        <w:contextualSpacing/>
        <w:rPr/>
      </w:pPr>
      <w:hyperlink r:id="rId46">
        <w:r>
          <w:rPr>
            <w:rStyle w:val="Hyperlink"/>
          </w:rPr>
          <w:t>https://dati.arpacampania.it/dataset/monitoraggio-acque-superficiali-s07</w:t>
        </w:r>
      </w:hyperlink>
      <w:r>
        <w:rPr/>
        <w:t xml:space="preserve"> </w:t>
      </w:r>
    </w:p>
    <w:p>
      <w:pPr>
        <w:pStyle w:val="Heading2"/>
        <w:rPr/>
      </w:pPr>
      <w:bookmarkStart w:id="11" w:name="_Toc211844809"/>
      <w:r>
        <w:rPr/>
        <w:t>Analitiche di Base</w:t>
      </w:r>
      <w:bookmarkEnd w:id="11"/>
    </w:p>
    <w:p>
      <w:pPr>
        <w:pStyle w:val="Normal"/>
        <w:rPr/>
      </w:pPr>
      <w:r>
        <w:rPr/>
        <w:t>Per le serie temporali presenti possiamo tirare fuori le seguenti statistiche:</w:t>
      </w:r>
    </w:p>
    <w:p>
      <w:pPr>
        <w:pStyle w:val="ListParagraph"/>
        <w:numPr>
          <w:ilvl w:val="0"/>
          <w:numId w:val="11"/>
        </w:numPr>
        <w:rPr/>
      </w:pPr>
      <w:r>
        <w:rPr/>
        <w:t>Media</w:t>
      </w:r>
    </w:p>
    <w:p>
      <w:pPr>
        <w:pStyle w:val="ListParagraph"/>
        <w:numPr>
          <w:ilvl w:val="0"/>
          <w:numId w:val="11"/>
        </w:numPr>
        <w:rPr/>
      </w:pPr>
      <w:r>
        <w:rPr/>
        <w:t>Varianza</w:t>
      </w:r>
    </w:p>
    <w:p>
      <w:pPr>
        <w:pStyle w:val="ListParagraph"/>
        <w:numPr>
          <w:ilvl w:val="0"/>
          <w:numId w:val="11"/>
        </w:numPr>
        <w:rPr/>
      </w:pPr>
      <w:r>
        <w:rPr/>
        <w:t>Mediana</w:t>
      </w:r>
    </w:p>
    <w:p>
      <w:pPr>
        <w:pStyle w:val="ListParagraph"/>
        <w:numPr>
          <w:ilvl w:val="0"/>
          <w:numId w:val="11"/>
        </w:numPr>
        <w:rPr/>
      </w:pPr>
      <w:r>
        <w:rPr/>
        <w:t>…</w:t>
      </w:r>
    </w:p>
    <w:p>
      <w:pPr>
        <w:pStyle w:val="Heading3"/>
        <w:rPr/>
      </w:pPr>
      <w:bookmarkStart w:id="12" w:name="_Toc211844810"/>
      <w:r>
        <w:rPr/>
        <w:t>PM10</w:t>
      </w:r>
      <w:bookmarkEnd w:id="12"/>
    </w:p>
    <w:p>
      <w:pPr>
        <w:pStyle w:val="Normal"/>
        <w:rPr/>
      </w:pPr>
      <w:r>
        <w:rPr/>
        <w:t xml:space="preserve">Mean </w:t>
      </w:r>
    </w:p>
    <w:p>
      <w:pPr>
        <w:pStyle w:val="Normal"/>
        <w:rPr/>
      </w:pPr>
      <w:r>
        <w:rPr/>
        <w:t>:</w:t>
      </w:r>
    </w:p>
    <w:p>
      <w:pPr>
        <w:pStyle w:val="ListParagraph"/>
        <w:numPr>
          <w:ilvl w:val="0"/>
          <w:numId w:val="3"/>
        </w:numPr>
        <w:rPr/>
      </w:pPr>
      <w:r>
        <w:rPr/>
        <w:t>istat/anno/intervallo/daily-mean/co2/</w:t>
      </w:r>
    </w:p>
    <w:p>
      <w:pPr>
        <w:pStyle w:val="ListParagraph"/>
        <w:numPr>
          <w:ilvl w:val="1"/>
          <w:numId w:val="3"/>
        </w:numPr>
        <w:rPr/>
      </w:pPr>
      <w:r>
        <w:rPr/>
        <w:t>Output</w:t>
      </w:r>
    </w:p>
    <w:p>
      <w:pPr>
        <w:pStyle w:val="ListParagraph"/>
        <w:numPr>
          <w:ilvl w:val="1"/>
          <w:numId w:val="3"/>
        </w:numPr>
        <w:rPr/>
      </w:pPr>
      <w:r>
        <w:rPr/>
        <w:t>Input…</w:t>
      </w:r>
    </w:p>
    <w:p>
      <w:pPr>
        <w:pStyle w:val="ListParagraph"/>
        <w:numPr>
          <w:ilvl w:val="1"/>
          <w:numId w:val="3"/>
        </w:numPr>
        <w:rPr/>
      </w:pPr>
      <w:r>
        <w:rPr/>
      </w:r>
    </w:p>
    <w:p>
      <w:pPr>
        <w:pStyle w:val="Normal"/>
        <w:rPr/>
      </w:pPr>
      <w:r>
        <w:rPr/>
      </w:r>
    </w:p>
    <w:p>
      <w:pPr>
        <w:pStyle w:val="Normal"/>
        <w:spacing w:lineRule="auto" w:line="240" w:before="0" w:after="0"/>
        <w:jc w:val="left"/>
        <w:rPr/>
      </w:pPr>
      <w:r>
        <w:rPr/>
      </w:r>
    </w:p>
    <w:p>
      <w:pPr>
        <w:pStyle w:val="Normal"/>
        <w:spacing w:lineRule="auto" w:line="240" w:before="0" w:after="0"/>
        <w:jc w:val="left"/>
        <w:rPr/>
      </w:pPr>
      <w:r>
        <w:rPr/>
      </w:r>
      <w:r>
        <w:br w:type="page"/>
      </w:r>
    </w:p>
    <w:p>
      <w:pPr>
        <w:pStyle w:val="Heading1"/>
        <w:spacing w:before="0" w:after="80"/>
        <w:rPr/>
      </w:pPr>
      <w:bookmarkStart w:id="13" w:name="_Toc211844811"/>
      <w:r>
        <w:rPr/>
        <w:t>Modelli Analitici</w:t>
      </w:r>
      <w:bookmarkEnd w:id="13"/>
    </w:p>
    <w:p>
      <w:pPr>
        <w:pStyle w:val="Normal"/>
        <w:rPr/>
      </w:pPr>
      <w:r>
        <w:rPr/>
        <w:t>Per analizzare la correlazione tra dati ambientali (come il particolato PM) e il numero di casi di patologie in un determinato territorio, si utilizzano diversi modelli statistici e di machine learning. La scelta del modello dipende dalla natura dei dati (serie temporali, spaziali, ecc.) e dalla complessità della relazione che si vuole studiare.</w:t>
      </w:r>
    </w:p>
    <w:p>
      <w:pPr>
        <w:pStyle w:val="ListParagraph"/>
        <w:numPr>
          <w:ilvl w:val="0"/>
          <w:numId w:val="10"/>
        </w:numPr>
        <w:rPr/>
      </w:pPr>
      <w:r>
        <w:rPr>
          <w:b/>
          <w:bCs/>
        </w:rPr>
        <w:t>Modelli di Regressione</w:t>
      </w:r>
    </w:p>
    <w:p>
      <w:pPr>
        <w:pStyle w:val="ListParagraph"/>
        <w:numPr>
          <w:ilvl w:val="1"/>
          <w:numId w:val="10"/>
        </w:numPr>
        <w:rPr/>
      </w:pPr>
      <w:r>
        <w:rPr>
          <w:b/>
          <w:bCs/>
        </w:rPr>
        <w:t>Regressione Lineare Multipla</w:t>
      </w:r>
      <w:r>
        <w:rPr/>
        <w:t>: Questo modello è utile per determinare se esiste una relazione lineare tra una variabile dipendente (ad esempio, il numero di casi di una patologia) e una o più variabili indipendenti (es. PM2.5, ozono, temperatura, ecc.). Permette di quantificare l'influenza di ciascun fattore inquinante, tenendo conto anche di altre variabili. Ad esempio, si potrebbe calcolare quanto un aumento di un'unità di PM2.5 sia associato a un aumento del numero di casi.</w:t>
      </w:r>
    </w:p>
    <w:p>
      <w:pPr>
        <w:pStyle w:val="ListParagraph"/>
        <w:numPr>
          <w:ilvl w:val="1"/>
          <w:numId w:val="10"/>
        </w:numPr>
        <w:rPr/>
      </w:pPr>
      <w:r>
        <w:rPr>
          <w:b/>
          <w:bCs/>
        </w:rPr>
        <w:t>Modelli di Regressione Logistica</w:t>
      </w:r>
      <w:r>
        <w:rPr/>
        <w:t>: Se la variabile dipendente è binaria (es. "malato" o "non malato"), si usa questo modello per stimare la probabilità che un individuo sia affetto da una patologia in base ai livelli di esposizione agli inquinanti.</w:t>
      </w:r>
    </w:p>
    <w:p>
      <w:pPr>
        <w:pStyle w:val="ListParagraph"/>
        <w:numPr>
          <w:ilvl w:val="1"/>
          <w:numId w:val="10"/>
        </w:numPr>
        <w:rPr/>
      </w:pPr>
      <w:r>
        <w:rPr>
          <w:b/>
          <w:bCs/>
        </w:rPr>
        <w:t>Modelli di Regressione Spaziale</w:t>
      </w:r>
      <w:r>
        <w:rPr/>
        <w:t>: Se si considera la posizione geografica dei casi, questi modelli sono essenziali. Tengono conto del fatto che i dati di aree vicine tendono a essere più simili tra loro (autocorrelazione spaziale), fornendo stime più precise.</w:t>
      </w:r>
    </w:p>
    <w:p>
      <w:pPr>
        <w:pStyle w:val="ListParagraph"/>
        <w:numPr>
          <w:ilvl w:val="0"/>
          <w:numId w:val="10"/>
        </w:numPr>
        <w:rPr/>
      </w:pPr>
      <w:r>
        <w:rPr>
          <w:b/>
          <w:bCs/>
        </w:rPr>
        <w:t xml:space="preserve">Modelli di Serie Storiche. </w:t>
      </w:r>
      <w:r>
        <w:rPr/>
        <w:t>Questi modelli sono perfetti quando si analizzano dati raccolti nel tempo, come le variazioni giornaliere o mensili di inquinanti e patologie.</w:t>
      </w:r>
    </w:p>
    <w:p>
      <w:pPr>
        <w:pStyle w:val="ListParagraph"/>
        <w:numPr>
          <w:ilvl w:val="1"/>
          <w:numId w:val="10"/>
        </w:numPr>
        <w:rPr/>
      </w:pPr>
      <w:r>
        <w:rPr>
          <w:b/>
          <w:bCs/>
        </w:rPr>
        <w:t>Modelli ARIMA (Autoregressive Integrated Moving Average)</w:t>
      </w:r>
      <w:r>
        <w:rPr/>
        <w:t>: Questi modelli sono ideali per prevedere futuri valori di una serie storica basandosi su valori passati. Possono essere usati per analizzare l'impatto ritardato dell'inquinamento sui casi di patologie, ad esempio, per capire se un picco di inquinamento oggi si riflette in un aumento di casi una settimana dopo.</w:t>
      </w:r>
    </w:p>
    <w:p>
      <w:pPr>
        <w:pStyle w:val="ListParagraph"/>
        <w:numPr>
          <w:ilvl w:val="1"/>
          <w:numId w:val="10"/>
        </w:numPr>
        <w:rPr/>
      </w:pPr>
      <w:r>
        <w:rPr>
          <w:b/>
          <w:bCs/>
        </w:rPr>
        <w:t>Modelli a Ritardo Distribuito Non Lineare (DLNM - Distributed Lag Non-linear Models)</w:t>
      </w:r>
      <w:r>
        <w:rPr/>
        <w:t>: Sono modelli avanzati che permettono di catturare sia l'effetto non lineare dell'inquinamento sulla salute (ad esempio, l'effetto non è proporzionale all'aumento dell'inquinante) che gli effetti a lungo termine o ritardati. Sono molto usati nell'epidemiologia ambientale.</w:t>
      </w:r>
    </w:p>
    <w:p>
      <w:pPr>
        <w:pStyle w:val="ListParagraph"/>
        <w:numPr>
          <w:ilvl w:val="0"/>
          <w:numId w:val="10"/>
        </w:numPr>
        <w:rPr/>
      </w:pPr>
      <w:r>
        <w:rPr>
          <w:b/>
          <w:bCs/>
        </w:rPr>
        <w:t xml:space="preserve">Modelli di Machine Learning. </w:t>
      </w:r>
      <w:r>
        <w:rPr/>
        <w:t>Se le relazioni tra inquinanti e patologie sono complesse e non lineari, i modelli di machine learning offrono una maggiore flessibilità.</w:t>
      </w:r>
    </w:p>
    <w:p>
      <w:pPr>
        <w:pStyle w:val="ListParagraph"/>
        <w:numPr>
          <w:ilvl w:val="1"/>
          <w:numId w:val="10"/>
        </w:numPr>
        <w:rPr/>
      </w:pPr>
      <w:r>
        <w:rPr>
          <w:b/>
          <w:bCs/>
        </w:rPr>
        <w:t>Random Forest</w:t>
      </w:r>
      <w:r>
        <w:rPr/>
        <w:t>: Questo modello crea un insieme di "alberi decisionali" e combina le loro previsioni. È efficace nel gestire relazioni complesse e non lineari tra molte variabili, ed è anche utile per identificare le variabili più importanti (ad es. quali inquinanti hanno l'impatto maggiore).</w:t>
      </w:r>
    </w:p>
    <w:p>
      <w:pPr>
        <w:pStyle w:val="ListParagraph"/>
        <w:numPr>
          <w:ilvl w:val="1"/>
          <w:numId w:val="10"/>
        </w:numPr>
        <w:rPr/>
      </w:pPr>
      <w:r>
        <w:rPr>
          <w:b/>
          <w:bCs/>
        </w:rPr>
        <w:t>Reti Neurali Artificiali (ANN)</w:t>
      </w:r>
      <w:r>
        <w:rPr/>
        <w:t>: Ispirate al funzionamento del cervello umano, queste reti possono apprendere schemi molto complessi e non lineari nei dati. Sono particolarmente utili in presenza di grandi quantità di dati e relazioni intricate.</w:t>
      </w:r>
    </w:p>
    <w:p>
      <w:pPr>
        <w:pStyle w:val="ListParagraph"/>
        <w:numPr>
          <w:ilvl w:val="1"/>
          <w:numId w:val="10"/>
        </w:numPr>
        <w:rPr/>
      </w:pPr>
      <w:r>
        <w:rPr>
          <w:b/>
          <w:bCs/>
        </w:rPr>
        <w:t>Support Vector Machines (SVM)</w:t>
      </w:r>
      <w:r>
        <w:rPr/>
        <w:t>: Questi modelli sono eccellenti per la classificazione e la regressione. Creano un confine ottimale che separa diverse classi di dati (es. aree a basso vs. alto rischio di patologia) in base alle variabili ambientali.</w:t>
      </w:r>
    </w:p>
    <w:p>
      <w:pPr>
        <w:pStyle w:val="Heading2"/>
        <w:rPr/>
      </w:pPr>
      <w:bookmarkStart w:id="14" w:name="_Toc211844812"/>
      <w:r>
        <w:rPr/>
        <w:t>Esempio di Regressione Lineare Multipla</w:t>
      </w:r>
      <w:bookmarkEnd w:id="14"/>
    </w:p>
    <w:p>
      <w:pPr>
        <w:pStyle w:val="Normal"/>
        <w:rPr/>
      </w:pPr>
      <w:r>
        <w:rPr/>
        <w:t xml:space="preserve">Immagina di voler capire come il numero di casi di </w:t>
      </w:r>
      <w:r>
        <w:rPr>
          <w:b/>
          <w:bCs/>
        </w:rPr>
        <w:t>bronchite cronica</w:t>
      </w:r>
      <w:r>
        <w:rPr/>
        <w:t xml:space="preserve"> in una provincia (la tua variabile dipendente, Y) sia influenzato da tre fattori ambientali (le tue variabili indipendenti, X):</w:t>
      </w:r>
    </w:p>
    <w:p>
      <w:pPr>
        <w:pStyle w:val="Normal"/>
        <w:numPr>
          <w:ilvl w:val="0"/>
          <w:numId w:val="6"/>
        </w:numPr>
        <w:rPr/>
      </w:pPr>
      <w:r>
        <w:rPr>
          <w:b/>
          <w:bCs/>
        </w:rPr>
        <w:t>X1</w:t>
      </w:r>
      <w:r>
        <w:rPr/>
        <w:t xml:space="preserve">: Concentrazione media annuale di </w:t>
      </w:r>
      <w:r>
        <w:rPr>
          <w:b/>
          <w:bCs/>
        </w:rPr>
        <w:t>PM2.5</w:t>
      </w:r>
    </w:p>
    <w:p>
      <w:pPr>
        <w:pStyle w:val="Normal"/>
        <w:numPr>
          <w:ilvl w:val="0"/>
          <w:numId w:val="6"/>
        </w:numPr>
        <w:rPr/>
      </w:pPr>
      <w:r>
        <w:rPr>
          <w:b/>
          <w:bCs/>
        </w:rPr>
        <w:t>X2</w:t>
      </w:r>
      <w:r>
        <w:rPr/>
        <w:t xml:space="preserve">: Concentrazione media annuale di </w:t>
      </w:r>
      <w:r>
        <w:rPr>
          <w:b/>
          <w:bCs/>
        </w:rPr>
        <w:t>ozono troposferico (O3)</w:t>
      </w:r>
    </w:p>
    <w:p>
      <w:pPr>
        <w:pStyle w:val="Normal"/>
        <w:numPr>
          <w:ilvl w:val="0"/>
          <w:numId w:val="6"/>
        </w:numPr>
        <w:rPr/>
      </w:pPr>
      <w:r>
        <w:rPr>
          <w:b/>
          <w:bCs/>
        </w:rPr>
        <w:t>X3</w:t>
      </w:r>
      <w:r>
        <w:rPr/>
        <w:t xml:space="preserve">: Numero di </w:t>
      </w:r>
      <w:r>
        <w:rPr>
          <w:b/>
          <w:bCs/>
        </w:rPr>
        <w:t>giorni di pioggia</w:t>
      </w:r>
      <w:r>
        <w:rPr/>
        <w:t xml:space="preserve"> all'anno</w:t>
      </w:r>
    </w:p>
    <w:p>
      <w:pPr>
        <w:pStyle w:val="Normal"/>
        <w:rPr/>
      </w:pPr>
      <w:r>
        <w:rPr/>
        <w:t>La formula del modello di regressione lineare multipla sarebbe:</w:t>
      </w:r>
    </w:p>
    <w:p>
      <w:pPr>
        <w:pStyle w:val="Normal"/>
        <w:rPr/>
      </w:pPr>
      <w:r>
        <w:rPr/>
        <w:t>Y=β0​+β1​X1​+β2​X2​+β3​X3​+ε</w:t>
      </w:r>
    </w:p>
    <w:p>
      <w:pPr>
        <w:pStyle w:val="Normal"/>
        <w:rPr/>
      </w:pPr>
      <w:r>
        <w:rPr/>
        <w:t>Dove:</w:t>
      </w:r>
    </w:p>
    <w:p>
      <w:pPr>
        <w:pStyle w:val="Normal"/>
        <w:numPr>
          <w:ilvl w:val="0"/>
          <w:numId w:val="7"/>
        </w:numPr>
        <w:rPr/>
      </w:pPr>
      <w:r>
        <w:rPr/>
        <w:t>Y: Il numero di casi di bronchite cronica.</w:t>
      </w:r>
    </w:p>
    <w:p>
      <w:pPr>
        <w:pStyle w:val="Normal"/>
        <w:numPr>
          <w:ilvl w:val="0"/>
          <w:numId w:val="7"/>
        </w:numPr>
        <w:rPr/>
      </w:pPr>
      <w:r>
        <w:rPr/>
        <w:t>β0​: L'</w:t>
      </w:r>
      <w:r>
        <w:rPr>
          <w:b/>
          <w:bCs/>
        </w:rPr>
        <w:t>intercetta</w:t>
      </w:r>
      <w:r>
        <w:rPr/>
        <w:t>, che rappresenta il numero atteso di casi quando tutte le variabili indipendenti sono pari a zero.</w:t>
      </w:r>
    </w:p>
    <w:p>
      <w:pPr>
        <w:pStyle w:val="Normal"/>
        <w:numPr>
          <w:ilvl w:val="0"/>
          <w:numId w:val="7"/>
        </w:numPr>
        <w:rPr/>
      </w:pPr>
      <w:r>
        <w:rPr/>
        <w:t xml:space="preserve">β1​: Il </w:t>
      </w:r>
      <w:r>
        <w:rPr>
          <w:b/>
          <w:bCs/>
        </w:rPr>
        <w:t>coefficiente</w:t>
      </w:r>
      <w:r>
        <w:rPr/>
        <w:t xml:space="preserve"> del PM2.5. Indica di quanto cambia il numero di casi per ogni aumento di un'unità di PM2.5, tenendo costanti gli altri fattori.</w:t>
      </w:r>
    </w:p>
    <w:p>
      <w:pPr>
        <w:pStyle w:val="Normal"/>
        <w:numPr>
          <w:ilvl w:val="0"/>
          <w:numId w:val="7"/>
        </w:numPr>
        <w:rPr/>
      </w:pPr>
      <w:r>
        <w:rPr/>
        <w:t xml:space="preserve">β2​: Il </w:t>
      </w:r>
      <w:r>
        <w:rPr>
          <w:b/>
          <w:bCs/>
        </w:rPr>
        <w:t>coefficiente</w:t>
      </w:r>
      <w:r>
        <w:rPr/>
        <w:t xml:space="preserve"> dell'ozono. Indica di quanto cambia il numero di casi per ogni aumento di un'unità di O3, tenendo costanti gli altri fattori.</w:t>
      </w:r>
    </w:p>
    <w:p>
      <w:pPr>
        <w:pStyle w:val="Normal"/>
        <w:numPr>
          <w:ilvl w:val="0"/>
          <w:numId w:val="7"/>
        </w:numPr>
        <w:rPr/>
      </w:pPr>
      <w:r>
        <w:rPr/>
        <w:t xml:space="preserve">β3​: Il </w:t>
      </w:r>
      <w:r>
        <w:rPr>
          <w:b/>
          <w:bCs/>
        </w:rPr>
        <w:t>coefficiente</w:t>
      </w:r>
      <w:r>
        <w:rPr/>
        <w:t xml:space="preserve"> dei giorni di pioggia. Indica di quanto cambia il numero di casi per ogni giorno di pioggia in più, tenendo costanti gli altri fattori.</w:t>
      </w:r>
    </w:p>
    <w:p>
      <w:pPr>
        <w:pStyle w:val="Normal"/>
        <w:numPr>
          <w:ilvl w:val="0"/>
          <w:numId w:val="7"/>
        </w:numPr>
        <w:rPr/>
      </w:pPr>
      <w:r>
        <w:rPr/>
        <w:t>ε: L'</w:t>
      </w:r>
      <w:r>
        <w:rPr>
          <w:b/>
          <w:bCs/>
        </w:rPr>
        <w:t>errore</w:t>
      </w:r>
      <w:r>
        <w:rPr/>
        <w:t xml:space="preserve"> casuale, che tiene conto di tutti gli altri fattori non inclusi nel modello.</w:t>
      </w:r>
    </w:p>
    <w:p>
      <w:pPr>
        <w:pStyle w:val="Normal"/>
        <w:rPr>
          <w:b/>
          <w:bCs/>
        </w:rPr>
      </w:pPr>
      <w:r>
        <w:rPr>
          <w:b/>
          <w:bCs/>
        </w:rPr>
        <w:t>Esempio Pratico con Numeri</w:t>
      </w:r>
    </w:p>
    <w:p>
      <w:pPr>
        <w:pStyle w:val="Normal"/>
        <w:rPr/>
      </w:pPr>
      <w:r>
        <w:rPr/>
        <w:t>Supponiamo che, dopo aver analizzato i dati di diverse province, il tuo modello dia i seguenti risultati:</w:t>
      </w:r>
    </w:p>
    <w:p>
      <w:pPr>
        <w:pStyle w:val="Normal"/>
        <w:numPr>
          <w:ilvl w:val="0"/>
          <w:numId w:val="8"/>
        </w:numPr>
        <w:rPr/>
      </w:pPr>
      <w:r>
        <w:rPr/>
        <w:t>Y=50+2.5×PM2.5+1.8×O3−0.5×Giorni_Pioggia</w:t>
      </w:r>
    </w:p>
    <w:p>
      <w:pPr>
        <w:pStyle w:val="Normal"/>
        <w:rPr/>
      </w:pPr>
      <w:r>
        <w:rPr/>
        <w:t>In questo caso:</w:t>
      </w:r>
    </w:p>
    <w:p>
      <w:pPr>
        <w:pStyle w:val="Normal"/>
        <w:numPr>
          <w:ilvl w:val="0"/>
          <w:numId w:val="9"/>
        </w:numPr>
        <w:rPr/>
      </w:pPr>
      <w:r>
        <w:rPr/>
        <w:t>L'intercetta (β0​=50) suggerisce che, in un'area ipotetica con PM2.5 e O3 pari a zero e nessun giorno di pioggia, ci sarebbero 50 casi di bronchite cronica.</w:t>
      </w:r>
    </w:p>
    <w:p>
      <w:pPr>
        <w:pStyle w:val="Normal"/>
        <w:numPr>
          <w:ilvl w:val="0"/>
          <w:numId w:val="9"/>
        </w:numPr>
        <w:rPr/>
      </w:pPr>
      <w:r>
        <w:rPr/>
        <w:t xml:space="preserve">Il PM2.5 ha un coefficiente positivo e significativo (β1​=2.5). Questo indica che per ogni aumento di </w:t>
      </w:r>
      <w:r>
        <w:rPr>
          <w:b/>
          <w:bCs/>
        </w:rPr>
        <w:t>1 μg/m³</w:t>
      </w:r>
      <w:r>
        <w:rPr/>
        <w:t xml:space="preserve"> di PM2.5, il numero di casi di bronchite cronica aumenta di </w:t>
      </w:r>
      <w:r>
        <w:rPr>
          <w:b/>
          <w:bCs/>
        </w:rPr>
        <w:t>2.5</w:t>
      </w:r>
      <w:r>
        <w:rPr/>
        <w:t>, a parità di ozono e giorni di pioggia.</w:t>
      </w:r>
    </w:p>
    <w:p>
      <w:pPr>
        <w:pStyle w:val="Normal"/>
        <w:numPr>
          <w:ilvl w:val="0"/>
          <w:numId w:val="9"/>
        </w:numPr>
        <w:rPr/>
      </w:pPr>
      <w:r>
        <w:rPr/>
        <w:t xml:space="preserve">L'ozono ha anch'esso un coefficiente positivo (β2​=1.8), suggerendo che un aumento di </w:t>
      </w:r>
      <w:r>
        <w:rPr>
          <w:b/>
          <w:bCs/>
        </w:rPr>
        <w:t>1 ppb</w:t>
      </w:r>
      <w:r>
        <w:rPr/>
        <w:t xml:space="preserve"> di O3 è associato a </w:t>
      </w:r>
      <w:r>
        <w:rPr>
          <w:b/>
          <w:bCs/>
        </w:rPr>
        <w:t>1.8</w:t>
      </w:r>
      <w:r>
        <w:rPr/>
        <w:t xml:space="preserve"> casi in più.</w:t>
      </w:r>
    </w:p>
    <w:p>
      <w:pPr>
        <w:pStyle w:val="Normal"/>
        <w:numPr>
          <w:ilvl w:val="0"/>
          <w:numId w:val="9"/>
        </w:numPr>
        <w:rPr/>
      </w:pPr>
      <w:r>
        <w:rPr/>
        <w:t xml:space="preserve">Il numero di giorni di pioggia ha un coefficiente negativo (β3​=−0.5), il che potrebbe indicare che la pioggia, lavando l'aria, ha un effetto protettivo, riducendo i casi. Per ogni giorno di pioggia in più, il numero di casi si riduce di </w:t>
      </w:r>
      <w:r>
        <w:rPr>
          <w:b/>
          <w:bCs/>
        </w:rPr>
        <w:t>0.5</w:t>
      </w:r>
      <w:r>
        <w:rPr/>
        <w:t>.</w:t>
      </w:r>
    </w:p>
    <w:p>
      <w:pPr>
        <w:pStyle w:val="Normal"/>
        <w:rPr/>
      </w:pPr>
      <w:r>
        <w:rPr/>
        <w:t>Questo modello ti permette di stimare il numero di casi di bronchite in una nuova provincia, basandoti sulle sue concentrazioni di PM2.5 e ozono e sul numero di giorni di pioggia. Ti aiuta a quantificare l'impatto di ciascun fattore ambientale, fornendo una base solida per analisi e politiche sanitarie.</w:t>
      </w:r>
    </w:p>
    <w:p>
      <w:pPr>
        <w:pStyle w:val="Heading2"/>
        <w:rPr/>
      </w:pPr>
      <w:bookmarkStart w:id="15" w:name="_Toc211844813"/>
      <w:r>
        <w:rPr/>
        <w:t>Diagramma a blocchi</w:t>
      </w:r>
      <w:bookmarkEnd w:id="15"/>
    </w:p>
    <w:p>
      <w:pPr>
        <w:pStyle w:val="Normal"/>
        <w:rPr/>
      </w:pPr>
      <w:r>
        <w:rPr/>
        <w:t>Di seguito si riporta il diagramma a blocchi di esempio per l’architettura di caricamento e gestione dei dati. Il sistema deve avere una funzione per caricare i dati in batch secondo i vari formati file suggeriti e scaricabili da backend/frontend in maniera massiva tramite un sistema di import di file.</w:t>
      </w:r>
    </w:p>
    <w:p>
      <w:pPr>
        <w:pStyle w:val="Normal"/>
        <w:rPr/>
      </w:pPr>
      <w:r>
        <w:rPr/>
      </w:r>
    </w:p>
    <w:p>
      <w:pPr>
        <w:pStyle w:val="Normal"/>
        <w:rPr/>
      </w:pPr>
      <w:r>
        <w:rPr/>
      </w:r>
    </w:p>
    <w:p>
      <w:pPr>
        <w:pStyle w:val="Normal"/>
        <w:jc w:val="center"/>
        <w:rPr/>
      </w:pPr>
      <w:r>
        <w:rPr/>
        <w:drawing>
          <wp:inline distT="0" distB="0" distL="0" distR="0">
            <wp:extent cx="2560955" cy="3364230"/>
            <wp:effectExtent l="0" t="0" r="0" b="0"/>
            <wp:docPr id="1" name="Immagine 2"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2" descr="Immagine che contiene testo, diagramma, schermata, linea&#10;&#10;Il contenuto generato dall'IA potrebbe non essere corretto."/>
                    <pic:cNvPicPr>
                      <a:picLocks noChangeAspect="1" noChangeArrowheads="1"/>
                    </pic:cNvPicPr>
                  </pic:nvPicPr>
                  <pic:blipFill>
                    <a:blip r:embed="rId47"/>
                    <a:stretch>
                      <a:fillRect/>
                    </a:stretch>
                  </pic:blipFill>
                  <pic:spPr bwMode="auto">
                    <a:xfrm>
                      <a:off x="0" y="0"/>
                      <a:ext cx="2560955" cy="3364230"/>
                    </a:xfrm>
                    <a:prstGeom prst="rect">
                      <a:avLst/>
                    </a:prstGeom>
                    <a:noFill/>
                  </pic:spPr>
                </pic:pic>
              </a:graphicData>
            </a:graphic>
          </wp:inline>
        </w:drawing>
      </w:r>
    </w:p>
    <w:p>
      <w:pPr>
        <w:pStyle w:val="ListParagraph"/>
        <w:numPr>
          <w:ilvl w:val="0"/>
          <w:numId w:val="4"/>
        </w:numPr>
        <w:rPr/>
      </w:pPr>
      <w:r>
        <w:rPr>
          <w:b/>
          <w:bCs/>
        </w:rPr>
        <w:t xml:space="preserve">File: </w:t>
      </w:r>
      <w:r>
        <w:rPr/>
        <w:t xml:space="preserve">Il flusso inizia con un </w:t>
      </w:r>
      <w:r>
        <w:rPr>
          <w:b/>
          <w:bCs/>
        </w:rPr>
        <w:t xml:space="preserve">file </w:t>
      </w:r>
      <w:r>
        <w:rPr/>
        <w:t>che viene caricato per aggiornare i dati.</w:t>
      </w:r>
    </w:p>
    <w:p>
      <w:pPr>
        <w:pStyle w:val="ListParagraph"/>
        <w:numPr>
          <w:ilvl w:val="0"/>
          <w:numId w:val="4"/>
        </w:numPr>
        <w:rPr>
          <w:b/>
          <w:bCs/>
        </w:rPr>
      </w:pPr>
      <w:r>
        <w:rPr>
          <w:b/>
          <w:bCs/>
        </w:rPr>
        <w:t xml:space="preserve">Data Warehouse (DWH): </w:t>
      </w:r>
      <w:r>
        <w:rPr/>
        <w:t xml:space="preserve">Dal file, i dati vengono salvati in un </w:t>
      </w:r>
      <w:r>
        <w:rPr>
          <w:b/>
          <w:bCs/>
        </w:rPr>
        <w:t>Data Warehouse (DWH)</w:t>
      </w:r>
      <w:r>
        <w:rPr/>
        <w:t>. Il suo scopo è quello di raccogliere grandi volumi di dati ed organizzarli per eseguire l'analisi e il reporting</w:t>
      </w:r>
    </w:p>
    <w:p>
      <w:pPr>
        <w:pStyle w:val="ListParagraph"/>
        <w:numPr>
          <w:ilvl w:val="0"/>
          <w:numId w:val="4"/>
        </w:numPr>
        <w:rPr>
          <w:b/>
          <w:bCs/>
        </w:rPr>
      </w:pPr>
      <w:r>
        <w:rPr>
          <w:b/>
          <w:bCs/>
        </w:rPr>
        <w:t>Kafka Broker:</w:t>
      </w:r>
      <w:r>
        <w:rPr/>
        <w:t xml:space="preserve"> Successivamente, i dati dal DWH vengono inviati a un </w:t>
      </w:r>
      <w:r>
        <w:rPr>
          <w:b/>
          <w:bCs/>
        </w:rPr>
        <w:t>Kafka Broker</w:t>
      </w:r>
      <w:r>
        <w:rPr/>
        <w:t>. Kafka è una piattaforma di streaming di eventi. In questo contesto, agisce come un "collettore" che riceve i dati dal DWH e li rende disponibili in tempo reale per altri sistemi. Il suo ruolo è fondamentale per gestire flussi di dati continui e ad alta velocità.</w:t>
      </w:r>
    </w:p>
    <w:p>
      <w:pPr>
        <w:pStyle w:val="ListParagraph"/>
        <w:numPr>
          <w:ilvl w:val="0"/>
          <w:numId w:val="4"/>
        </w:numPr>
        <w:rPr>
          <w:b/>
          <w:bCs/>
        </w:rPr>
      </w:pPr>
      <w:r>
        <w:rPr>
          <w:b/>
          <w:bCs/>
        </w:rPr>
        <w:t xml:space="preserve">Algoritmo (Function Calculations): </w:t>
      </w:r>
      <w:r>
        <w:rPr/>
        <w:t xml:space="preserve">Il flusso prosegue verso un </w:t>
      </w:r>
      <w:r>
        <w:rPr>
          <w:b/>
          <w:bCs/>
        </w:rPr>
        <w:t>Algoritmo</w:t>
      </w:r>
      <w:r>
        <w:rPr/>
        <w:t>. Questo blocco rappresenta il cuore del processo di elaborazione. L'algoritmo riceve i dati in tempo reale da Kafka ed esegue calcoli, analisi e funzioni specifiche.</w:t>
      </w:r>
    </w:p>
    <w:p>
      <w:pPr>
        <w:pStyle w:val="ListParagraph"/>
        <w:numPr>
          <w:ilvl w:val="0"/>
          <w:numId w:val="4"/>
        </w:numPr>
        <w:rPr/>
      </w:pPr>
      <w:r>
        <w:rPr>
          <w:b/>
          <w:bCs/>
        </w:rPr>
        <w:t xml:space="preserve">API: </w:t>
      </w:r>
      <w:r>
        <w:rPr/>
        <w:t>Infine, il risultato dell'algoritmo viene esposto tramite un’API. Quest’ultima è il punto di accesso finale, che permette ad altre applicazioni o servizi di richiedere il risultato dell'algoritmo. In pratica, è un "ponte" che traduce i dati elaborati in un formato standard (come JSON o XML) e li rende disponibili per chiunque ne abbia bisogno.</w:t>
      </w:r>
    </w:p>
    <w:p>
      <w:pPr>
        <w:pStyle w:val="Normal"/>
        <w:spacing w:lineRule="auto" w:line="259" w:before="0" w:after="160"/>
        <w:jc w:val="left"/>
        <w:rPr/>
      </w:pPr>
      <w:r>
        <w:rPr/>
      </w:r>
      <w:r>
        <w:br w:type="page"/>
      </w:r>
    </w:p>
    <w:p>
      <w:pPr>
        <w:pStyle w:val="Heading1"/>
        <w:spacing w:before="0" w:after="80"/>
        <w:rPr/>
      </w:pPr>
      <w:bookmarkStart w:id="16" w:name="_Toc211844814"/>
      <w:r>
        <w:rPr/>
        <w:t>Bibliografia</w:t>
      </w:r>
      <w:bookmarkEnd w:id="16"/>
    </w:p>
    <w:p>
      <w:pPr>
        <w:pStyle w:val="ListParagraph"/>
        <w:numPr>
          <w:ilvl w:val="0"/>
          <w:numId w:val="5"/>
        </w:numPr>
        <w:rPr/>
      </w:pPr>
      <w:hyperlink r:id="rId48">
        <w:r>
          <w:rPr>
            <w:rStyle w:val="Hyperlink"/>
          </w:rPr>
          <w:t>https://www.mdpi.com/1660-4601/18/2/704</w:t>
        </w:r>
      </w:hyperlink>
    </w:p>
    <w:p>
      <w:pPr>
        <w:pStyle w:val="ListParagraph"/>
        <w:numPr>
          <w:ilvl w:val="0"/>
          <w:numId w:val="5"/>
        </w:numPr>
        <w:rPr/>
      </w:pPr>
      <w:r>
        <w:fldChar w:fldCharType="begin"/>
      </w:r>
      <w:r>
        <w:rPr>
          <w:rStyle w:val="Hyperlink"/>
        </w:rPr>
        <w:instrText xml:space="preserve"> HYPERLINK "https://pmc.ncbi.nlm.nih.gov/articles/PMC4827747/" \l "b24-cvj_05_535"</w:instrText>
      </w:r>
      <w:r>
        <w:rPr>
          <w:rStyle w:val="Hyperlink"/>
        </w:rPr>
        <w:fldChar w:fldCharType="separate"/>
      </w:r>
      <w:r>
        <w:rPr>
          <w:rStyle w:val="Hyperlink"/>
        </w:rPr>
        <w:t>https://pmc.ncbi.nlm.nih.gov/articles/PMC4827747/#b24-cvj_05_535</w:t>
      </w:r>
      <w:r>
        <w:rPr>
          <w:rStyle w:val="Hyperlink"/>
        </w:rPr>
        <w:fldChar w:fldCharType="end"/>
      </w:r>
    </w:p>
    <w:p>
      <w:pPr>
        <w:pStyle w:val="ListParagraph"/>
        <w:numPr>
          <w:ilvl w:val="0"/>
          <w:numId w:val="5"/>
        </w:numPr>
        <w:rPr/>
      </w:pPr>
      <w:hyperlink r:id="rId49">
        <w:r>
          <w:rPr>
            <w:rStyle w:val="Hyperlink"/>
          </w:rPr>
          <w:t>https://www.mdpi.com/2076-0817/13/5/370</w:t>
        </w:r>
      </w:hyperlink>
      <w:r>
        <w:rPr/>
        <w:t xml:space="preserve"> </w:t>
      </w:r>
    </w:p>
    <w:p>
      <w:pPr>
        <w:pStyle w:val="ListParagraph"/>
        <w:numPr>
          <w:ilvl w:val="0"/>
          <w:numId w:val="5"/>
        </w:numPr>
        <w:rPr/>
      </w:pPr>
      <w:hyperlink r:id="rId50">
        <w:r>
          <w:rPr>
            <w:rStyle w:val="Hyperlink"/>
          </w:rPr>
          <w:t>https://link.springer.com/article/10.1186/s12936-018-2220-x</w:t>
        </w:r>
      </w:hyperlink>
    </w:p>
    <w:p>
      <w:pPr>
        <w:pStyle w:val="ListParagraph"/>
        <w:numPr>
          <w:ilvl w:val="0"/>
          <w:numId w:val="5"/>
        </w:numPr>
        <w:rPr/>
      </w:pPr>
      <w:hyperlink r:id="rId51">
        <w:r>
          <w:rPr>
            <w:rStyle w:val="Hyperlink"/>
          </w:rPr>
          <w:t>https://journals.lww.com/jvbd/fulltext/2013/50030/Spatial_correlations_of_population_and_ecological.4.aspx</w:t>
        </w:r>
      </w:hyperlink>
      <w:r>
        <w:rPr/>
        <w:t xml:space="preserve"> </w:t>
      </w:r>
    </w:p>
    <w:p>
      <w:pPr>
        <w:pStyle w:val="ListParagraph"/>
        <w:numPr>
          <w:ilvl w:val="0"/>
          <w:numId w:val="5"/>
        </w:numPr>
        <w:rPr/>
      </w:pPr>
      <w:hyperlink r:id="rId52">
        <w:r>
          <w:rPr>
            <w:rStyle w:val="Hyperlink"/>
          </w:rPr>
          <w:t>https://link.springer.com/content/pdf/10.1186/1476-072X-13-26.pdf</w:t>
        </w:r>
      </w:hyperlink>
      <w:r>
        <w:rPr/>
        <w:t xml:space="preserve"> </w:t>
      </w:r>
    </w:p>
    <w:p>
      <w:pPr>
        <w:pStyle w:val="Normal"/>
        <w:widowControl/>
        <w:suppressAutoHyphens w:val="true"/>
        <w:bidi w:val="0"/>
        <w:spacing w:lineRule="auto" w:line="360" w:before="120" w:after="120"/>
        <w:jc w:val="both"/>
        <w:rPr/>
      </w:pPr>
      <w:r>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roman"/>
    <w:pitch w:val="variable"/>
  </w:font>
  <w:font w:name="Aptos Narrow">
    <w:charset w:val="01"/>
    <w:family w:val="swiss"/>
    <w:pitch w:val="variable"/>
  </w:font>
  <w:font w:name="Linux Libertine O">
    <w:charset w:val="01"/>
    <w:family w:val="roman"/>
    <w:pitch w:val="variable"/>
  </w:font>
  <w:font w:name="aptos">
    <w:charset w:val="01"/>
    <w:family w:val="roman"/>
    <w:pitch w:val="variable"/>
  </w:font>
  <w:font w:name="atopos">
    <w:charset w:val="01"/>
    <w:family w:val="roman"/>
    <w:pitch w:val="variable"/>
  </w:font>
  <w:font w:name="sans-serif">
    <w:altName w:val="Arial"/>
    <w:charset w:val="01"/>
    <w:family w:val="roman"/>
    <w:pitch w:val="variable"/>
  </w:font>
  <w:font w:name="Helvetica Neue">
    <w:altName w:val="Helvetica"/>
    <w:charset w:val="01"/>
    <w:family w:val="swiss"/>
    <w:pitch w:val="variable"/>
  </w:font>
  <w:font w:name="Google Sans">
    <w:altName w:val="Roboto"/>
    <w:charset w:val="01"/>
    <w:family w:val="roman"/>
    <w:pitch w:val="variable"/>
  </w:font>
  <w:font w:name="Helvetica Neue">
    <w:altName w:val="Helvetica"/>
    <w:charset w:val="01"/>
    <w:family w:val="roman"/>
    <w:pitch w:val="variable"/>
  </w:font>
  <w:font w:name="Noto Sans Devanagari">
    <w:charset w:val="01"/>
    <w:family w:val="roman"/>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8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382d"/>
    <w:pPr>
      <w:widowControl/>
      <w:suppressAutoHyphens w:val="true"/>
      <w:bidi w:val="0"/>
      <w:spacing w:lineRule="auto" w:line="360" w:before="120" w:after="120"/>
      <w:jc w:val="both"/>
    </w:pPr>
    <w:rPr>
      <w:rFonts w:ascii="Calibri" w:hAnsi="Calibri" w:eastAsia="Calibri" w:cs="Calibri"/>
      <w:color w:val="auto"/>
      <w:kern w:val="0"/>
      <w:sz w:val="22"/>
      <w:szCs w:val="22"/>
      <w:lang w:val="it-IT" w:eastAsia="it-IT" w:bidi="ar-SA"/>
      <w14:ligatures w14:val="none"/>
    </w:rPr>
  </w:style>
  <w:style w:type="paragraph" w:styleId="Heading1">
    <w:name w:val="heading 1"/>
    <w:basedOn w:val="Normal"/>
    <w:next w:val="Normal"/>
    <w:link w:val="Titolo1Carattere"/>
    <w:uiPriority w:val="9"/>
    <w:qFormat/>
    <w:rsid w:val="00dd382d"/>
    <w:pPr>
      <w:keepNext w:val="true"/>
      <w:keepLines/>
      <w:numPr>
        <w:ilvl w:val="0"/>
        <w:numId w:val="1"/>
      </w:numPr>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olo2Carattere"/>
    <w:uiPriority w:val="9"/>
    <w:unhideWhenUsed/>
    <w:qFormat/>
    <w:rsid w:val="008a6c51"/>
    <w:pPr>
      <w:keepNext w:val="true"/>
      <w:keepLines/>
      <w:numPr>
        <w:ilvl w:val="1"/>
        <w:numId w:val="1"/>
      </w:numPr>
      <w:spacing w:before="160" w:after="80"/>
      <w:outlineLvl w:val="1"/>
    </w:pPr>
    <w:rPr>
      <w:rFonts w:ascii="Calibri" w:hAnsi="Calibri" w:eastAsia="" w:cs="Calibri" w:asciiTheme="minorHAnsi" w:cstheme="minorHAnsi" w:eastAsiaTheme="majorEastAsia" w:hAnsiTheme="minorHAnsi"/>
      <w:color w:themeColor="accent1" w:themeShade="bf" w:val="2F5496"/>
      <w:sz w:val="32"/>
      <w:szCs w:val="32"/>
      <w:lang w:val="en-US"/>
    </w:rPr>
  </w:style>
  <w:style w:type="paragraph" w:styleId="Heading3">
    <w:name w:val="heading 3"/>
    <w:basedOn w:val="Normal"/>
    <w:next w:val="Normal"/>
    <w:link w:val="Titolo3Carattere"/>
    <w:uiPriority w:val="9"/>
    <w:unhideWhenUsed/>
    <w:qFormat/>
    <w:rsid w:val="00dd382d"/>
    <w:pPr>
      <w:keepNext w:val="true"/>
      <w:keepLines/>
      <w:numPr>
        <w:ilvl w:val="2"/>
        <w:numId w:val="1"/>
      </w:numPr>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olo4Carattere"/>
    <w:uiPriority w:val="9"/>
    <w:unhideWhenUsed/>
    <w:qFormat/>
    <w:rsid w:val="00dd382d"/>
    <w:pPr>
      <w:keepNext w:val="true"/>
      <w:keepLines/>
      <w:numPr>
        <w:ilvl w:val="3"/>
        <w:numId w:val="1"/>
      </w:numPr>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olo5Carattere"/>
    <w:uiPriority w:val="9"/>
    <w:semiHidden/>
    <w:unhideWhenUsed/>
    <w:qFormat/>
    <w:rsid w:val="00dd382d"/>
    <w:pPr>
      <w:keepNext w:val="true"/>
      <w:keepLines/>
      <w:numPr>
        <w:ilvl w:val="4"/>
        <w:numId w:val="1"/>
      </w:numPr>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olo6Carattere"/>
    <w:uiPriority w:val="9"/>
    <w:semiHidden/>
    <w:unhideWhenUsed/>
    <w:qFormat/>
    <w:rsid w:val="00dd382d"/>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dd382d"/>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dd382d"/>
    <w:pPr>
      <w:keepNext w:val="true"/>
      <w:keepLines/>
      <w:numPr>
        <w:ilvl w:val="7"/>
        <w:numId w:val="1"/>
      </w:numPr>
      <w:spacing w:before="12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dd382d"/>
    <w:pPr>
      <w:keepNext w:val="true"/>
      <w:keepLines/>
      <w:numPr>
        <w:ilvl w:val="8"/>
        <w:numId w:val="1"/>
      </w:numPr>
      <w:spacing w:before="12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olo1Carattere" w:customStyle="1">
    <w:name w:val="Titolo 1 Carattere"/>
    <w:basedOn w:val="DefaultParagraphFont"/>
    <w:link w:val="Heading1"/>
    <w:uiPriority w:val="9"/>
    <w:qFormat/>
    <w:rsid w:val="00dd382d"/>
    <w:rPr>
      <w:rFonts w:ascii="Calibri Light" w:hAnsi="Calibri Light" w:eastAsia="" w:cs="" w:asciiTheme="majorHAnsi" w:cstheme="majorBidi" w:eastAsiaTheme="majorEastAsia" w:hAnsiTheme="majorHAnsi"/>
      <w:color w:themeColor="accent1" w:themeShade="bf" w:val="2F5496"/>
      <w:sz w:val="40"/>
      <w:szCs w:val="40"/>
    </w:rPr>
  </w:style>
  <w:style w:type="character" w:styleId="Titolo2Carattere" w:customStyle="1">
    <w:name w:val="Titolo 2 Carattere"/>
    <w:basedOn w:val="DefaultParagraphFont"/>
    <w:link w:val="Heading2"/>
    <w:uiPriority w:val="9"/>
    <w:qFormat/>
    <w:rsid w:val="008a6c51"/>
    <w:rPr>
      <w:rFonts w:eastAsia="" w:cs="Calibri" w:cstheme="minorHAnsi" w:eastAsiaTheme="majorEastAsia"/>
      <w:color w:themeColor="accent1" w:themeShade="bf" w:val="2F5496"/>
      <w:kern w:val="0"/>
      <w:sz w:val="32"/>
      <w:szCs w:val="32"/>
      <w:lang w:val="en-US" w:eastAsia="it-IT"/>
      <w14:ligatures w14:val="none"/>
    </w:rPr>
  </w:style>
  <w:style w:type="character" w:styleId="Titolo3Carattere" w:customStyle="1">
    <w:name w:val="Titolo 3 Carattere"/>
    <w:basedOn w:val="DefaultParagraphFont"/>
    <w:link w:val="Heading3"/>
    <w:uiPriority w:val="9"/>
    <w:semiHidden/>
    <w:qFormat/>
    <w:rsid w:val="00dd382d"/>
    <w:rPr>
      <w:rFonts w:eastAsia="" w:cs="" w:cstheme="majorBidi" w:eastAsiaTheme="majorEastAsia"/>
      <w:color w:themeColor="accent1" w:themeShade="bf" w:val="2F5496"/>
      <w:sz w:val="28"/>
      <w:szCs w:val="28"/>
    </w:rPr>
  </w:style>
  <w:style w:type="character" w:styleId="Titolo4Carattere" w:customStyle="1">
    <w:name w:val="Titolo 4 Carattere"/>
    <w:basedOn w:val="DefaultParagraphFont"/>
    <w:link w:val="Heading4"/>
    <w:uiPriority w:val="9"/>
    <w:qFormat/>
    <w:rsid w:val="00dd382d"/>
    <w:rPr>
      <w:rFonts w:eastAsia="" w:cs="" w:cstheme="majorBidi" w:eastAsiaTheme="majorEastAsia"/>
      <w:i/>
      <w:iCs/>
      <w:color w:themeColor="accent1" w:themeShade="bf" w:val="2F5496"/>
    </w:rPr>
  </w:style>
  <w:style w:type="character" w:styleId="Titolo5Carattere" w:customStyle="1">
    <w:name w:val="Titolo 5 Carattere"/>
    <w:basedOn w:val="DefaultParagraphFont"/>
    <w:link w:val="Heading5"/>
    <w:uiPriority w:val="9"/>
    <w:semiHidden/>
    <w:qFormat/>
    <w:rsid w:val="00dd382d"/>
    <w:rPr>
      <w:rFonts w:eastAsia="" w:cs="" w:cstheme="majorBidi" w:eastAsiaTheme="majorEastAsia"/>
      <w:color w:themeColor="accent1" w:themeShade="bf" w:val="2F5496"/>
    </w:rPr>
  </w:style>
  <w:style w:type="character" w:styleId="Titolo6Carattere" w:customStyle="1">
    <w:name w:val="Titolo 6 Carattere"/>
    <w:basedOn w:val="DefaultParagraphFont"/>
    <w:link w:val="Heading6"/>
    <w:uiPriority w:val="9"/>
    <w:semiHidden/>
    <w:qFormat/>
    <w:rsid w:val="00dd382d"/>
    <w:rPr>
      <w:rFonts w:eastAsia="" w:cs="" w:cstheme="majorBidi" w:eastAsiaTheme="majorEastAsia"/>
      <w:i/>
      <w:iCs/>
      <w:color w:themeColor="text1" w:themeTint="a6" w:val="595959"/>
    </w:rPr>
  </w:style>
  <w:style w:type="character" w:styleId="Titolo7Carattere" w:customStyle="1">
    <w:name w:val="Titolo 7 Carattere"/>
    <w:basedOn w:val="DefaultParagraphFont"/>
    <w:link w:val="Heading7"/>
    <w:uiPriority w:val="9"/>
    <w:semiHidden/>
    <w:qFormat/>
    <w:rsid w:val="00dd382d"/>
    <w:rPr>
      <w:rFonts w:eastAsia="" w:cs="" w:cstheme="majorBidi" w:eastAsiaTheme="majorEastAsia"/>
      <w:color w:themeColor="text1" w:themeTint="a6" w:val="595959"/>
    </w:rPr>
  </w:style>
  <w:style w:type="character" w:styleId="Titolo8Carattere" w:customStyle="1">
    <w:name w:val="Titolo 8 Carattere"/>
    <w:basedOn w:val="DefaultParagraphFont"/>
    <w:link w:val="Heading8"/>
    <w:uiPriority w:val="9"/>
    <w:semiHidden/>
    <w:qFormat/>
    <w:rsid w:val="00dd382d"/>
    <w:rPr>
      <w:rFonts w:eastAsia="" w:cs="" w:cstheme="majorBidi" w:eastAsiaTheme="majorEastAsia"/>
      <w:i/>
      <w:iCs/>
      <w:color w:themeColor="text1" w:themeTint="d8" w:val="272727"/>
    </w:rPr>
  </w:style>
  <w:style w:type="character" w:styleId="Titolo9Carattere" w:customStyle="1">
    <w:name w:val="Titolo 9 Carattere"/>
    <w:basedOn w:val="DefaultParagraphFont"/>
    <w:link w:val="Heading9"/>
    <w:uiPriority w:val="9"/>
    <w:semiHidden/>
    <w:qFormat/>
    <w:rsid w:val="00dd382d"/>
    <w:rPr>
      <w:rFonts w:eastAsia="" w:cs="" w:cstheme="majorBidi" w:eastAsiaTheme="majorEastAsia"/>
      <w:color w:themeColor="text1" w:themeTint="d8" w:val="272727"/>
    </w:rPr>
  </w:style>
  <w:style w:type="character" w:styleId="TitoloCarattere" w:customStyle="1">
    <w:name w:val="Titolo Carattere"/>
    <w:basedOn w:val="DefaultParagraphFont"/>
    <w:link w:val="Title"/>
    <w:uiPriority w:val="10"/>
    <w:qFormat/>
    <w:rsid w:val="00dd382d"/>
    <w:rPr>
      <w:rFonts w:ascii="Calibri Light" w:hAnsi="Calibri Light"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link w:val="Subtitle"/>
    <w:uiPriority w:val="11"/>
    <w:qFormat/>
    <w:rsid w:val="00dd382d"/>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dd382d"/>
    <w:rPr>
      <w:i/>
      <w:iCs/>
      <w:color w:themeColor="text1" w:themeTint="bf" w:val="404040"/>
    </w:rPr>
  </w:style>
  <w:style w:type="character" w:styleId="IntenseEmphasis">
    <w:name w:val="Intense Emphasis"/>
    <w:basedOn w:val="DefaultParagraphFont"/>
    <w:uiPriority w:val="21"/>
    <w:qFormat/>
    <w:rsid w:val="00dd382d"/>
    <w:rPr>
      <w:i/>
      <w:iCs/>
      <w:color w:themeColor="accent1" w:themeShade="bf" w:val="2F5496"/>
    </w:rPr>
  </w:style>
  <w:style w:type="character" w:styleId="CitazioneintensaCarattere" w:customStyle="1">
    <w:name w:val="Citazione intensa Carattere"/>
    <w:basedOn w:val="DefaultParagraphFont"/>
    <w:link w:val="IntenseQuote"/>
    <w:uiPriority w:val="30"/>
    <w:qFormat/>
    <w:rsid w:val="00dd382d"/>
    <w:rPr>
      <w:i/>
      <w:iCs/>
      <w:color w:themeColor="accent1" w:themeShade="bf" w:val="2F5496"/>
    </w:rPr>
  </w:style>
  <w:style w:type="character" w:styleId="IntenseReference">
    <w:name w:val="Intense Reference"/>
    <w:basedOn w:val="DefaultParagraphFont"/>
    <w:uiPriority w:val="32"/>
    <w:qFormat/>
    <w:rsid w:val="00dd382d"/>
    <w:rPr>
      <w:b/>
      <w:bCs/>
      <w:smallCaps/>
      <w:color w:themeColor="accent1" w:themeShade="bf" w:val="2F5496"/>
      <w:spacing w:val="5"/>
    </w:rPr>
  </w:style>
  <w:style w:type="character" w:styleId="Hyperlink">
    <w:name w:val="Hyperlink"/>
    <w:basedOn w:val="DefaultParagraphFont"/>
    <w:uiPriority w:val="99"/>
    <w:unhideWhenUsed/>
    <w:rsid w:val="00dd382d"/>
    <w:rPr>
      <w:color w:themeColor="hyperlink" w:val="0563C1"/>
      <w:u w:val="single"/>
    </w:rPr>
  </w:style>
  <w:style w:type="character" w:styleId="ParagrafoelencoCarattere" w:customStyle="1">
    <w:name w:val="Paragrafo elenco Carattere"/>
    <w:basedOn w:val="DefaultParagraphFont"/>
    <w:link w:val="ListParagraph"/>
    <w:uiPriority w:val="34"/>
    <w:qFormat/>
    <w:locked/>
    <w:rsid w:val="00dd382d"/>
    <w:rPr/>
  </w:style>
  <w:style w:type="character" w:styleId="UnresolvedMention">
    <w:name w:val="Unresolved Mention"/>
    <w:basedOn w:val="DefaultParagraphFont"/>
    <w:uiPriority w:val="99"/>
    <w:semiHidden/>
    <w:unhideWhenUsed/>
    <w:qFormat/>
    <w:rsid w:val="009c42a5"/>
    <w:rPr>
      <w:color w:val="605E5C"/>
      <w:shd w:fill="E1DFDD" w:val="clear"/>
    </w:rPr>
  </w:style>
  <w:style w:type="character" w:styleId="FollowedHyperlink">
    <w:name w:val="FollowedHyperlink"/>
    <w:basedOn w:val="DefaultParagraphFont"/>
    <w:uiPriority w:val="99"/>
    <w:semiHidden/>
    <w:unhideWhenUsed/>
    <w:rsid w:val="004e0f56"/>
    <w:rPr>
      <w:color w:themeColor="followedHyperlink" w:val="954F72"/>
      <w:u w:val="single"/>
    </w:rPr>
  </w:style>
  <w:style w:type="character" w:styleId="IndexLink" w:customStyle="1">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oloCarattere"/>
    <w:uiPriority w:val="10"/>
    <w:qFormat/>
    <w:rsid w:val="00dd382d"/>
    <w:pPr>
      <w:spacing w:lineRule="auto" w:line="240" w:before="12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dd382d"/>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dd382d"/>
    <w:pPr>
      <w:spacing w:before="160" w:after="120"/>
      <w:jc w:val="center"/>
    </w:pPr>
    <w:rPr>
      <w:i/>
      <w:iCs/>
      <w:color w:themeColor="text1" w:themeTint="bf" w:val="404040"/>
    </w:rPr>
  </w:style>
  <w:style w:type="paragraph" w:styleId="ListParagraph">
    <w:name w:val="List Paragraph"/>
    <w:basedOn w:val="Normal"/>
    <w:link w:val="ParagrafoelencoCarattere"/>
    <w:uiPriority w:val="34"/>
    <w:qFormat/>
    <w:rsid w:val="00dd382d"/>
    <w:pPr>
      <w:spacing w:before="120" w:after="120"/>
      <w:ind w:left="720"/>
      <w:contextualSpacing/>
    </w:pPr>
    <w:rPr/>
  </w:style>
  <w:style w:type="paragraph" w:styleId="IntenseQuote">
    <w:name w:val="Intense Quote"/>
    <w:basedOn w:val="Normal"/>
    <w:next w:val="Normal"/>
    <w:link w:val="CitazioneintensaCarattere"/>
    <w:uiPriority w:val="30"/>
    <w:qFormat/>
    <w:rsid w:val="00dd382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7774fe"/>
    <w:pPr>
      <w:numPr>
        <w:ilvl w:val="0"/>
        <w:numId w:val="0"/>
      </w:numPr>
      <w:spacing w:lineRule="auto" w:line="259" w:before="240" w:after="0"/>
      <w:jc w:val="left"/>
      <w:outlineLvl w:val="9"/>
    </w:pPr>
    <w:rPr>
      <w:sz w:val="32"/>
      <w:szCs w:val="32"/>
    </w:rPr>
  </w:style>
  <w:style w:type="paragraph" w:styleId="TOC1">
    <w:name w:val="toc 1"/>
    <w:basedOn w:val="Normal"/>
    <w:next w:val="Normal"/>
    <w:autoRedefine/>
    <w:uiPriority w:val="39"/>
    <w:unhideWhenUsed/>
    <w:rsid w:val="007774fe"/>
    <w:pPr>
      <w:spacing w:before="120" w:after="100"/>
    </w:pPr>
    <w:rPr/>
  </w:style>
  <w:style w:type="paragraph" w:styleId="TOC2">
    <w:name w:val="toc 2"/>
    <w:basedOn w:val="Normal"/>
    <w:next w:val="Normal"/>
    <w:autoRedefine/>
    <w:uiPriority w:val="39"/>
    <w:unhideWhenUsed/>
    <w:rsid w:val="007774fe"/>
    <w:pPr>
      <w:spacing w:before="120" w:after="100"/>
      <w:ind w:left="220"/>
    </w:pPr>
    <w:rPr/>
  </w:style>
  <w:style w:type="paragraph" w:styleId="TOC3">
    <w:name w:val="toc 3"/>
    <w:basedOn w:val="Index"/>
    <w:uiPriority w:val="39"/>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name w:val="Preformatted Text"/>
    <w:basedOn w:val="Normal"/>
    <w:qFormat/>
    <w:pPr>
      <w:spacing w:before="12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HeaderandFooter"/>
    <w:pPr>
      <w:suppressLineNumbers/>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ea411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agriglia4-colore1">
    <w:name w:val="Grid Table 4 Accent 1"/>
    <w:basedOn w:val="Tabellanormale"/>
    <w:uiPriority w:val="49"/>
    <w:rsid w:val="005a03c2"/>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4-colore5">
    <w:name w:val="Grid Table 4 Accent 5"/>
    <w:basedOn w:val="Tabellanormale"/>
    <w:uiPriority w:val="49"/>
    <w:rsid w:val="008a6c51"/>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dicatoriambientali.isprambiente.it/it/qualita-dellaria/qualita-dell-aria-ambiente-particolato-pm10" TargetMode="External"/><Relationship Id="rId3" Type="http://schemas.openxmlformats.org/officeDocument/2006/relationships/hyperlink" Target="https://dati.arpacampania.it/dataset/dati-rqa-giornalieri-validati" TargetMode="External"/><Relationship Id="rId4"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5" Type="http://schemas.openxmlformats.org/officeDocument/2006/relationships/hyperlink" Target="https://indicatoriambientali.isprambiente.it/it/qualita-dellaria/qualita-dellaria-ambiente-particolato-pm25" TargetMode="External"/><Relationship Id="rId6" Type="http://schemas.openxmlformats.org/officeDocument/2006/relationships/hyperlink" Target="https://dati.arpacampania.it/dataset/?groups=rqa-qualita-aria" TargetMode="External"/><Relationship Id="rId7"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8" Type="http://schemas.openxmlformats.org/officeDocument/2006/relationships/hyperlink" Target="https://dati.arpacampania.it/dataset/?groups=rqa-qualita-aria" TargetMode="External"/><Relationship Id="rId9"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0" Type="http://schemas.openxmlformats.org/officeDocument/2006/relationships/hyperlink" Target="https://indicatoriambientali.isprambiente.it/it/qualita-dellaria/qualita-dellaria-ambiente-biossido-di-azoto-no2" TargetMode="External"/><Relationship Id="rId11" Type="http://schemas.openxmlformats.org/officeDocument/2006/relationships/hyperlink" Target="https://dati.arpacampania.it/dataset/?groups=rqa-qualita-aria" TargetMode="External"/><Relationship Id="rId12"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3" Type="http://schemas.openxmlformats.org/officeDocument/2006/relationships/hyperlink" Target="https://dati.arpacampania.it/dataset/?groups=rqa-qualita-aria" TargetMode="External"/><Relationship Id="rId14"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5" Type="http://schemas.openxmlformats.org/officeDocument/2006/relationships/hyperlink" Target="https://dati.arpacampania.it/dataset/?groups=rqa-qualita-aria" TargetMode="External"/><Relationship Id="rId16"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7" Type="http://schemas.openxmlformats.org/officeDocument/2006/relationships/hyperlink" Target="https://dati.arpacampania.it/dataset/dati-monitoraggio-qualita-aria/resource/ecc3e8af-b648-4e36-9e07-42f2a634477d" TargetMode="External"/><Relationship Id="rId18" Type="http://schemas.openxmlformats.org/officeDocument/2006/relationships/hyperlink" Target="https://dati.arpacampania.it/dataset/?groups=rqa-qualita-aria" TargetMode="External"/><Relationship Id="rId19"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20" Type="http://schemas.openxmlformats.org/officeDocument/2006/relationships/hyperlink" Target="https://dati.arpacampania.it/dataset/dati-rqa-giornalieri-validati/resource/8b04bace-510d-43fd-ae00-280d3191f490" TargetMode="External"/><Relationship Id="rId21" Type="http://schemas.openxmlformats.org/officeDocument/2006/relationships/hyperlink" Target="https://dati.arpacampania.it/dataset/dati-rqa-giornalieri-validati/resource/8b04bace-510d-43fd-ae00-280d3191f490" TargetMode="External"/><Relationship Id="rId22" Type="http://schemas.openxmlformats.org/officeDocument/2006/relationships/hyperlink" Target="https://dati.arpacampania.it/dataset/dati-rqa-giornalieri-validati/resource/8b04bace-510d-43fd-ae00-280d3191f490" TargetMode="External"/><Relationship Id="rId23" Type="http://schemas.openxmlformats.org/officeDocument/2006/relationships/hyperlink" Target="https://dati.arpacampania.it/dataset/dati-rqa-giornalieri-validati/resource/8b04bace-510d-43fd-ae00-280d3191f490" TargetMode="External"/><Relationship Id="rId24" Type="http://schemas.openxmlformats.org/officeDocument/2006/relationships/hyperlink" Target="https://dati.arpacampania.it/dataset/dati-rqa-giornalieri-validati/resource/8b04bace-510d-43fd-ae00-280d3191f490" TargetMode="External"/><Relationship Id="rId25" Type="http://schemas.openxmlformats.org/officeDocument/2006/relationships/hyperlink" Target="https://dati.arpacampania.it/dataset/dati-grezzi-orari-qualita-aria" TargetMode="External"/><Relationship Id="rId26" Type="http://schemas.openxmlformats.org/officeDocument/2006/relationships/hyperlink" Target="https://dati.arpacampania.it/datastore/dump/ecc3e8af-b648-4e36-9e07-42f2a634477d" TargetMode="External"/><Relationship Id="rId27" Type="http://schemas.openxmlformats.org/officeDocument/2006/relationships/hyperlink" Target="https://dati.arpacampania.it/dataset/dati-grezzi-orari-qualita-aria" TargetMode="External"/><Relationship Id="rId28" Type="http://schemas.openxmlformats.org/officeDocument/2006/relationships/hyperlink" Target="https://www.istat.it/tavole-di-dati/temperatura-e-precipitazione-nei-comuni-capoluogo-di-provincia-anno-2021-serie-storica-2006-2021-normale-climatologica-1981-2010/" TargetMode="External"/><Relationship Id="rId29" Type="http://schemas.openxmlformats.org/officeDocument/2006/relationships/hyperlink" Target="http://www.lineameteo.it/index.php?page=68" TargetMode="External"/><Relationship Id="rId30" Type="http://schemas.openxmlformats.org/officeDocument/2006/relationships/hyperlink" Target="https://www.ilmeteo.it/portale/archivio-meteo/" TargetMode="External"/><Relationship Id="rId31" Type="http://schemas.openxmlformats.org/officeDocument/2006/relationships/hyperlink" Target="https://agricoltura.regione.campania.it/meteo/archivio_meteo.html" TargetMode="External"/><Relationship Id="rId32" Type="http://schemas.openxmlformats.org/officeDocument/2006/relationships/hyperlink" Target="http://www.lineameteo.it/index.php?page=68" TargetMode="External"/><Relationship Id="rId33" Type="http://schemas.openxmlformats.org/officeDocument/2006/relationships/hyperlink" Target="https://www.ilmeteo.it/portale/archivio-meteo/" TargetMode="External"/><Relationship Id="rId34" Type="http://schemas.openxmlformats.org/officeDocument/2006/relationships/hyperlink" Target="https://agricoltura.regione.campania.it/meteo/archivio_meteo.html" TargetMode="External"/><Relationship Id="rId35" Type="http://schemas.openxmlformats.org/officeDocument/2006/relationships/hyperlink" Target="https://www.solaritaly.enea.it/TabelleRad/TabelleRadIt.php" TargetMode="External"/><Relationship Id="rId36" Type="http://schemas.openxmlformats.org/officeDocument/2006/relationships/hyperlink" Target="https://www.ilmeteo.it/portale/archivio-meteo/" TargetMode="External"/><Relationship Id="rId37" Type="http://schemas.openxmlformats.org/officeDocument/2006/relationships/hyperlink" Target="https://agricoltura.regione.campania.it/meteo/archivio_meteo.html" TargetMode="External"/><Relationship Id="rId38" Type="http://schemas.openxmlformats.org/officeDocument/2006/relationships/hyperlink" Target="http://www.lineameteo.it/index.php?page=68" TargetMode="External"/><Relationship Id="rId39" Type="http://schemas.openxmlformats.org/officeDocument/2006/relationships/hyperlink" Target="https://www.ilmeteo.it/portale/archivio-meteo/" TargetMode="External"/><Relationship Id="rId40" Type="http://schemas.openxmlformats.org/officeDocument/2006/relationships/hyperlink" Target="https://agricoltura.regione.campania.it/meteo/archivio_meteo.html" TargetMode="External"/><Relationship Id="rId41" Type="http://schemas.openxmlformats.org/officeDocument/2006/relationships/hyperlink" Target="https://agricoltura.regione.campania.it/meteo/archivio_meteo.html" TargetMode="External"/><Relationship Id="rId42" Type="http://schemas.openxmlformats.org/officeDocument/2006/relationships/hyperlink" Target="https://indicatoriambientali.isprambiente.it/it/temi" TargetMode="External"/><Relationship Id="rId43" Type="http://schemas.openxmlformats.org/officeDocument/2006/relationships/hyperlink" Target="https://www.isprambiente.gov.it/it/banche-dati" TargetMode="External"/><Relationship Id="rId44" Type="http://schemas.openxmlformats.org/officeDocument/2006/relationships/hyperlink" Target="https://www.snpambiente.it/dati/" TargetMode="External"/><Relationship Id="rId45" Type="http://schemas.openxmlformats.org/officeDocument/2006/relationships/hyperlink" Target="https://dati.arpacampania.it/" TargetMode="External"/><Relationship Id="rId46" Type="http://schemas.openxmlformats.org/officeDocument/2006/relationships/hyperlink" Target="https://dati.arpacampania.it/dataset/monitoraggio-acque-superficiali-s07" TargetMode="External"/><Relationship Id="rId47" Type="http://schemas.openxmlformats.org/officeDocument/2006/relationships/image" Target="media/image1.png"/><Relationship Id="rId48" Type="http://schemas.openxmlformats.org/officeDocument/2006/relationships/hyperlink" Target="https://www.mdpi.com/1660-4601/18/2/704" TargetMode="External"/><Relationship Id="rId49" Type="http://schemas.openxmlformats.org/officeDocument/2006/relationships/hyperlink" Target="https://www.mdpi.com/2076-0817/13/5/370" TargetMode="External"/><Relationship Id="rId50" Type="http://schemas.openxmlformats.org/officeDocument/2006/relationships/hyperlink" Target="https://link.springer.com/article/10.1186/s12936-018-2220-x" TargetMode="External"/><Relationship Id="rId51" Type="http://schemas.openxmlformats.org/officeDocument/2006/relationships/hyperlink" Target="https://journals.lww.com/jvbd/fulltext/2013/50030/Spatial_correlations_of_population_and_ecological.4.aspx" TargetMode="External"/><Relationship Id="rId52" Type="http://schemas.openxmlformats.org/officeDocument/2006/relationships/hyperlink" Target="https://link.springer.com/content/pdf/10.1186/1476-072X-13-26.pdf" TargetMode="Externa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649A9-3BB3-4262-A690-63B40FB15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4969</TotalTime>
  <Application>LibreOffice/25.2.6.2$Linux_X86_64 LibreOffice_project/520$Build-2</Application>
  <AppVersion>15.0000</AppVersion>
  <Pages>40</Pages>
  <Words>6573</Words>
  <Characters>44703</Characters>
  <CharactersWithSpaces>50915</CharactersWithSpaces>
  <Paragraphs>1319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2025-08-29T07:03:00Z</dcterms:created>
  <dc:creator>Renato Grassia</dc:creator>
  <dc:description/>
  <dc:language>en-US</dc:language>
  <cp:lastModifiedBy/>
  <dcterms:modified xsi:type="dcterms:W3CDTF">2025-10-24T10:04:14Z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file>